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45" w:rsidRPr="00AE0D22" w:rsidRDefault="00A3639D" w:rsidP="00C1316D">
      <w:pPr>
        <w:pStyle w:val="H1"/>
        <w:rPr>
          <w:lang w:val="fr-FR"/>
        </w:rPr>
      </w:pPr>
      <w:r w:rsidRPr="00AE0D22">
        <w:rPr>
          <w:lang w:val="fr-FR"/>
        </w:rPr>
        <w:t>Feuille de route pour l’examen, les enseignements et l’amélioration</w:t>
      </w:r>
    </w:p>
    <w:p w:rsidR="003A66D4" w:rsidRPr="00AE0D22" w:rsidRDefault="00ED3733" w:rsidP="006D6B0C">
      <w:pPr>
        <w:pStyle w:val="H1"/>
        <w:ind w:left="-170"/>
        <w:rPr>
          <w:sz w:val="20"/>
          <w:szCs w:val="20"/>
          <w:lang w:val="fr-FR"/>
        </w:rPr>
      </w:pPr>
      <w:r w:rsidRPr="00AE0D22">
        <w:rPr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249.8pt;mso-position-vertical:absolute">
            <v:imagedata r:id="rId8" o:title="01-Preparedness-rodmap-EN3"/>
          </v:shape>
        </w:pict>
      </w:r>
    </w:p>
    <w:p w:rsidR="00A03445" w:rsidRPr="00AE0D22" w:rsidRDefault="00A03445" w:rsidP="00C1316D">
      <w:pPr>
        <w:pStyle w:val="Heading2"/>
        <w:rPr>
          <w:lang w:val="fr-FR"/>
        </w:rPr>
      </w:pPr>
      <w:r w:rsidRPr="00AE0D22">
        <w:rPr>
          <w:lang w:val="fr-FR"/>
        </w:rPr>
        <w:t>INTRODUCTION</w:t>
      </w:r>
    </w:p>
    <w:p w:rsidR="001D2B3B" w:rsidRPr="00AE0D22" w:rsidRDefault="001D2B3B" w:rsidP="00CA04FF">
      <w:pPr>
        <w:rPr>
          <w:lang w:val="fr-FR"/>
        </w:rPr>
      </w:pPr>
      <w:r w:rsidRPr="00AE0D22">
        <w:rPr>
          <w:rFonts w:cs="Arial"/>
          <w:lang w:val="fr-FR"/>
        </w:rPr>
        <w:t xml:space="preserve">Pour mettre en œuvre des opérations de transferts monétaires </w:t>
      </w:r>
      <w:r w:rsidR="003D1FDA" w:rsidRPr="00AE0D22">
        <w:rPr>
          <w:rFonts w:cs="Arial"/>
          <w:lang w:val="fr-FR"/>
        </w:rPr>
        <w:t>en temps opportun et à grande échelle dans une situation d’urgence</w:t>
      </w:r>
      <w:r w:rsidRPr="00AE0D22">
        <w:rPr>
          <w:rFonts w:cs="Arial"/>
          <w:lang w:val="fr-FR"/>
        </w:rPr>
        <w:t xml:space="preserve">, les questions </w:t>
      </w:r>
      <w:r w:rsidR="003D1FDA" w:rsidRPr="00AE0D22">
        <w:rPr>
          <w:rFonts w:cs="Arial"/>
          <w:lang w:val="fr-FR"/>
        </w:rPr>
        <w:t>relatives à la distribution d’</w:t>
      </w:r>
      <w:r w:rsidRPr="00AE0D22">
        <w:rPr>
          <w:rFonts w:cs="Arial"/>
          <w:lang w:val="fr-FR"/>
        </w:rPr>
        <w:t xml:space="preserve">espèces doivent être prises en compte tout au long du processus de préparation. </w:t>
      </w:r>
      <w:r w:rsidR="003D1FDA" w:rsidRPr="00AE0D22">
        <w:rPr>
          <w:rFonts w:cs="Arial"/>
          <w:lang w:val="fr-FR"/>
        </w:rPr>
        <w:t xml:space="preserve">Cette </w:t>
      </w:r>
      <w:r w:rsidRPr="00AE0D22">
        <w:rPr>
          <w:rFonts w:cs="Arial"/>
          <w:lang w:val="fr-FR"/>
        </w:rPr>
        <w:t xml:space="preserve">feuille de route est </w:t>
      </w:r>
      <w:r w:rsidR="00CA04FF" w:rsidRPr="00AE0D22">
        <w:rPr>
          <w:rFonts w:cs="Arial"/>
          <w:lang w:val="fr-FR"/>
        </w:rPr>
        <w:t>consacrée aux</w:t>
      </w:r>
      <w:r w:rsidRPr="00AE0D22">
        <w:rPr>
          <w:rFonts w:cs="Arial"/>
          <w:lang w:val="fr-FR"/>
        </w:rPr>
        <w:t xml:space="preserve"> processus visant à évaluer la préparation aux programmes de transferts monétaires</w:t>
      </w:r>
      <w:r w:rsidR="00E962CA" w:rsidRPr="00AE0D22">
        <w:rPr>
          <w:rFonts w:cs="Arial"/>
          <w:lang w:val="fr-FR"/>
        </w:rPr>
        <w:t xml:space="preserve"> </w:t>
      </w:r>
      <w:r w:rsidR="00CA04FF" w:rsidRPr="00AE0D22">
        <w:rPr>
          <w:rFonts w:cs="Arial"/>
          <w:lang w:val="fr-FR"/>
        </w:rPr>
        <w:t>(PTM) et</w:t>
      </w:r>
      <w:r w:rsidRPr="00AE0D22">
        <w:rPr>
          <w:rFonts w:cs="Arial"/>
          <w:lang w:val="fr-FR"/>
        </w:rPr>
        <w:t xml:space="preserve"> les opérations de transferts monétaires</w:t>
      </w:r>
      <w:r w:rsidR="00CA04FF" w:rsidRPr="00AE0D22">
        <w:rPr>
          <w:rFonts w:cs="Arial"/>
          <w:lang w:val="fr-FR"/>
        </w:rPr>
        <w:t>,</w:t>
      </w:r>
      <w:r w:rsidRPr="00AE0D22">
        <w:rPr>
          <w:rFonts w:cs="Arial"/>
          <w:lang w:val="fr-FR"/>
        </w:rPr>
        <w:t xml:space="preserve"> et à documenter les enseignements tirés afin de </w:t>
      </w:r>
      <w:r w:rsidR="00B252D7" w:rsidRPr="00AE0D22">
        <w:rPr>
          <w:rFonts w:cs="Arial"/>
          <w:lang w:val="fr-FR"/>
        </w:rPr>
        <w:t>r</w:t>
      </w:r>
      <w:r w:rsidR="00CE2793" w:rsidRPr="00AE0D22">
        <w:rPr>
          <w:rFonts w:cs="Arial"/>
          <w:lang w:val="fr-FR"/>
        </w:rPr>
        <w:t>assembler</w:t>
      </w:r>
      <w:r w:rsidR="00B252D7" w:rsidRPr="00AE0D22">
        <w:rPr>
          <w:rFonts w:cs="Arial"/>
          <w:lang w:val="fr-FR"/>
        </w:rPr>
        <w:t xml:space="preserve"> un nombre croissant de données sur les </w:t>
      </w:r>
      <w:r w:rsidR="00CA04FF" w:rsidRPr="00AE0D22">
        <w:rPr>
          <w:rFonts w:cs="Arial"/>
          <w:lang w:val="fr-FR"/>
        </w:rPr>
        <w:t>PTM</w:t>
      </w:r>
      <w:r w:rsidR="00B252D7" w:rsidRPr="00AE0D22">
        <w:rPr>
          <w:rFonts w:cs="Arial"/>
          <w:lang w:val="fr-FR"/>
        </w:rPr>
        <w:t xml:space="preserve">. </w:t>
      </w:r>
      <w:r w:rsidR="00CA04FF" w:rsidRPr="00AE0D22">
        <w:rPr>
          <w:rFonts w:cs="Arial"/>
          <w:lang w:val="fr-FR"/>
        </w:rPr>
        <w:t>La structure de ce document se fonde sur</w:t>
      </w:r>
      <w:r w:rsidR="00B252D7" w:rsidRPr="00AE0D22">
        <w:rPr>
          <w:rFonts w:cs="Arial"/>
          <w:lang w:val="fr-FR"/>
        </w:rPr>
        <w:t xml:space="preserve"> l’étape</w:t>
      </w:r>
      <w:r w:rsidR="00F25863" w:rsidRPr="00AE0D22">
        <w:rPr>
          <w:rFonts w:cs="Arial"/>
          <w:lang w:val="fr-FR"/>
        </w:rPr>
        <w:t xml:space="preserve"> </w:t>
      </w:r>
      <w:r w:rsidR="00CA04FF" w:rsidRPr="00AE0D22">
        <w:rPr>
          <w:rFonts w:cs="Arial"/>
          <w:lang w:val="fr-FR"/>
        </w:rPr>
        <w:t xml:space="preserve">« Revue, enseignements et amélioration » </w:t>
      </w:r>
      <w:r w:rsidR="00CA04FF" w:rsidRPr="00AE0D22">
        <w:rPr>
          <w:rFonts w:cs="Arial"/>
          <w:lang w:val="fr-FR"/>
        </w:rPr>
        <w:t xml:space="preserve">du guide du Mouvement international de la Croix-Rouge et du Croissant-Rouge intitulé </w:t>
      </w:r>
      <w:r w:rsidR="00CA04FF" w:rsidRPr="00AE0D22">
        <w:rPr>
          <w:rFonts w:cs="Arial"/>
          <w:i/>
          <w:lang w:val="fr-FR"/>
        </w:rPr>
        <w:t>Programmes de transferts monétaires : lignes directrices en matière d’intégration et de préparation</w:t>
      </w:r>
      <w:r w:rsidR="00B252D7" w:rsidRPr="00AE0D22">
        <w:rPr>
          <w:rFonts w:cs="Arial"/>
          <w:lang w:val="fr-FR"/>
        </w:rPr>
        <w:t>.</w:t>
      </w:r>
    </w:p>
    <w:p w:rsidR="00F3100F" w:rsidRPr="00AE0D22" w:rsidRDefault="00F3100F" w:rsidP="00ED3733">
      <w:pPr>
        <w:rPr>
          <w:lang w:val="fr-FR"/>
        </w:rPr>
      </w:pPr>
      <w:r w:rsidRPr="00AE0D22">
        <w:rPr>
          <w:lang w:val="fr-FR"/>
        </w:rPr>
        <w:t xml:space="preserve">Les étapes et les étapes subsidiaires ne doivent pas nécessairement </w:t>
      </w:r>
      <w:r w:rsidR="00CA04FF" w:rsidRPr="00AE0D22">
        <w:rPr>
          <w:lang w:val="fr-FR"/>
        </w:rPr>
        <w:t>être réalisées</w:t>
      </w:r>
      <w:r w:rsidR="00ED3733">
        <w:rPr>
          <w:lang w:val="fr-FR"/>
        </w:rPr>
        <w:t xml:space="preserve"> selon</w:t>
      </w:r>
      <w:r w:rsidRPr="00AE0D22">
        <w:rPr>
          <w:lang w:val="fr-FR"/>
        </w:rPr>
        <w:t xml:space="preserve"> </w:t>
      </w:r>
      <w:r w:rsidR="00CA04FF" w:rsidRPr="00AE0D22">
        <w:rPr>
          <w:lang w:val="fr-FR"/>
        </w:rPr>
        <w:t>l’</w:t>
      </w:r>
      <w:r w:rsidRPr="00AE0D22">
        <w:rPr>
          <w:lang w:val="fr-FR"/>
        </w:rPr>
        <w:t xml:space="preserve">ordre </w:t>
      </w:r>
      <w:r w:rsidR="00CA04FF" w:rsidRPr="00AE0D22">
        <w:rPr>
          <w:lang w:val="fr-FR"/>
        </w:rPr>
        <w:t>p</w:t>
      </w:r>
      <w:r w:rsidR="00CA04FF" w:rsidRPr="00AE0D22">
        <w:rPr>
          <w:lang w:val="fr-FR"/>
        </w:rPr>
        <w:t xml:space="preserve">roposé </w:t>
      </w:r>
      <w:r w:rsidRPr="00AE0D22">
        <w:rPr>
          <w:lang w:val="fr-FR"/>
        </w:rPr>
        <w:t xml:space="preserve">et peuvent même être menées de manière simultanée. Chaque étape subsidiaire </w:t>
      </w:r>
      <w:r w:rsidRPr="00AE0D22">
        <w:rPr>
          <w:rFonts w:cs="Arial"/>
          <w:lang w:val="fr-FR"/>
        </w:rPr>
        <w:t xml:space="preserve">contient des outils qui pourront se révéler utiles au fur et à mesure que vous avancerez dans le processus. </w:t>
      </w:r>
      <w:r w:rsidRPr="00AE0D22">
        <w:rPr>
          <w:lang w:val="fr-FR"/>
        </w:rPr>
        <w:t xml:space="preserve">Vous ne serez peut-être pas en mesure d’utiliser tous les outils </w:t>
      </w:r>
      <w:r w:rsidR="00CA04FF" w:rsidRPr="00AE0D22">
        <w:rPr>
          <w:lang w:val="fr-FR"/>
        </w:rPr>
        <w:t>proposés</w:t>
      </w:r>
      <w:r w:rsidRPr="00AE0D22">
        <w:rPr>
          <w:lang w:val="fr-FR"/>
        </w:rPr>
        <w:t>, mais il est important de respecter au moins les normes minimales définies pour cette étape.</w:t>
      </w:r>
    </w:p>
    <w:p w:rsidR="00A03445" w:rsidRPr="00AE0D22" w:rsidRDefault="00A3639D" w:rsidP="00C1316D">
      <w:pPr>
        <w:pStyle w:val="Heading2"/>
        <w:rPr>
          <w:lang w:val="fr-FR"/>
        </w:rPr>
      </w:pPr>
      <w:r w:rsidRPr="00AE0D22">
        <w:rPr>
          <w:lang w:val="fr-FR"/>
        </w:rPr>
        <w:t>Normes minimales</w:t>
      </w:r>
    </w:p>
    <w:p w:rsidR="00F3100F" w:rsidRPr="00AE0D22" w:rsidRDefault="00F3100F" w:rsidP="00CA04FF">
      <w:pPr>
        <w:pStyle w:val="Bullet1"/>
        <w:rPr>
          <w:lang w:val="fr-FR"/>
        </w:rPr>
      </w:pPr>
      <w:r w:rsidRPr="00AE0D22">
        <w:rPr>
          <w:lang w:val="fr-FR"/>
        </w:rPr>
        <w:t xml:space="preserve">Le plan d’action pour la préparation aux </w:t>
      </w:r>
      <w:r w:rsidR="00CA04FF" w:rsidRPr="00AE0D22">
        <w:rPr>
          <w:lang w:val="fr-FR"/>
        </w:rPr>
        <w:t>PTM</w:t>
      </w:r>
      <w:r w:rsidRPr="00AE0D22">
        <w:rPr>
          <w:lang w:val="fr-FR"/>
        </w:rPr>
        <w:t xml:space="preserve"> doit </w:t>
      </w:r>
      <w:r w:rsidR="00CA04FF" w:rsidRPr="00AE0D22">
        <w:rPr>
          <w:lang w:val="fr-FR"/>
        </w:rPr>
        <w:t>prévoir</w:t>
      </w:r>
      <w:r w:rsidRPr="00AE0D22">
        <w:rPr>
          <w:lang w:val="fr-FR"/>
        </w:rPr>
        <w:t xml:space="preserve"> les activités et les ressources </w:t>
      </w:r>
      <w:r w:rsidR="00CA04FF" w:rsidRPr="00AE0D22">
        <w:rPr>
          <w:lang w:val="fr-FR"/>
        </w:rPr>
        <w:t>nécessaires</w:t>
      </w:r>
      <w:r w:rsidRPr="00AE0D22">
        <w:rPr>
          <w:lang w:val="fr-FR"/>
        </w:rPr>
        <w:t xml:space="preserve"> à l’examen et à l’évaluation.</w:t>
      </w:r>
    </w:p>
    <w:p w:rsidR="00116612" w:rsidRPr="00AE0D22" w:rsidRDefault="00F3100F" w:rsidP="006C72FF">
      <w:pPr>
        <w:pStyle w:val="Bullet1"/>
        <w:rPr>
          <w:lang w:val="fr-FR"/>
        </w:rPr>
      </w:pPr>
      <w:r w:rsidRPr="00AE0D22">
        <w:rPr>
          <w:lang w:val="fr-FR"/>
        </w:rPr>
        <w:t xml:space="preserve">Les mandats respectifs du coordonnateur des </w:t>
      </w:r>
      <w:r w:rsidR="00121FA3" w:rsidRPr="00AE0D22">
        <w:rPr>
          <w:lang w:val="fr-FR"/>
        </w:rPr>
        <w:t>PTM</w:t>
      </w:r>
      <w:r w:rsidRPr="00AE0D22">
        <w:rPr>
          <w:lang w:val="fr-FR"/>
        </w:rPr>
        <w:t xml:space="preserve"> et du groupe de travail technique de la Société nationale doivent </w:t>
      </w:r>
      <w:r w:rsidR="00121FA3" w:rsidRPr="00AE0D22">
        <w:rPr>
          <w:lang w:val="fr-FR"/>
        </w:rPr>
        <w:t>définir</w:t>
      </w:r>
      <w:r w:rsidRPr="00AE0D22">
        <w:rPr>
          <w:lang w:val="fr-FR"/>
        </w:rPr>
        <w:t xml:space="preserve"> les rôles et les responsabilités liés </w:t>
      </w:r>
      <w:r w:rsidR="006C72FF" w:rsidRPr="00AE0D22">
        <w:rPr>
          <w:lang w:val="fr-FR"/>
        </w:rPr>
        <w:t xml:space="preserve">au suivi et à l’évaluation de </w:t>
      </w:r>
      <w:r w:rsidRPr="00AE0D22">
        <w:rPr>
          <w:lang w:val="fr-FR"/>
        </w:rPr>
        <w:t xml:space="preserve">la </w:t>
      </w:r>
      <w:r w:rsidRPr="00AE0D22">
        <w:rPr>
          <w:lang w:val="fr-FR"/>
        </w:rPr>
        <w:lastRenderedPageBreak/>
        <w:t xml:space="preserve">préparation aux </w:t>
      </w:r>
      <w:r w:rsidR="00121FA3" w:rsidRPr="00AE0D22">
        <w:rPr>
          <w:lang w:val="fr-FR"/>
        </w:rPr>
        <w:t>PTM</w:t>
      </w:r>
      <w:r w:rsidRPr="00AE0D22">
        <w:rPr>
          <w:lang w:val="fr-FR"/>
        </w:rPr>
        <w:t>.</w:t>
      </w:r>
    </w:p>
    <w:p w:rsidR="00116612" w:rsidRPr="00AE0D22" w:rsidRDefault="00F3100F" w:rsidP="00121FA3">
      <w:pPr>
        <w:pStyle w:val="Bullet1"/>
        <w:rPr>
          <w:lang w:val="fr-FR"/>
        </w:rPr>
      </w:pPr>
      <w:r w:rsidRPr="00AE0D22">
        <w:rPr>
          <w:lang w:val="fr-FR"/>
        </w:rPr>
        <w:t xml:space="preserve">La préparation aux </w:t>
      </w:r>
      <w:r w:rsidR="00121FA3" w:rsidRPr="00AE0D22">
        <w:rPr>
          <w:lang w:val="fr-FR"/>
        </w:rPr>
        <w:t>PTM</w:t>
      </w:r>
      <w:r w:rsidRPr="00AE0D22">
        <w:rPr>
          <w:lang w:val="fr-FR"/>
        </w:rPr>
        <w:t xml:space="preserve"> doit être évaluée par le biais d’un</w:t>
      </w:r>
      <w:r w:rsidR="00E962CA" w:rsidRPr="00AE0D22">
        <w:rPr>
          <w:lang w:val="fr-FR"/>
        </w:rPr>
        <w:t xml:space="preserve"> processus</w:t>
      </w:r>
      <w:r w:rsidRPr="00AE0D22">
        <w:rPr>
          <w:lang w:val="fr-FR"/>
        </w:rPr>
        <w:t xml:space="preserve"> </w:t>
      </w:r>
      <w:r w:rsidR="00E962CA" w:rsidRPr="00AE0D22">
        <w:rPr>
          <w:lang w:val="fr-FR"/>
        </w:rPr>
        <w:t>d’évaluation</w:t>
      </w:r>
      <w:r w:rsidRPr="00AE0D22">
        <w:rPr>
          <w:lang w:val="fr-FR"/>
        </w:rPr>
        <w:t xml:space="preserve"> interne mené par le coordonnateur et le groupe de travail technique de la Société nationale.</w:t>
      </w:r>
    </w:p>
    <w:p w:rsidR="00116612" w:rsidRPr="00AE0D22" w:rsidRDefault="00F51FA8" w:rsidP="00121FA3">
      <w:pPr>
        <w:pStyle w:val="Bullet1"/>
        <w:rPr>
          <w:lang w:val="fr-FR"/>
        </w:rPr>
      </w:pPr>
      <w:r w:rsidRPr="00AE0D22">
        <w:rPr>
          <w:lang w:val="fr-FR"/>
        </w:rPr>
        <w:t>Les processus et les outils lié</w:t>
      </w:r>
      <w:r w:rsidR="00F3100F" w:rsidRPr="00AE0D22">
        <w:rPr>
          <w:lang w:val="fr-FR"/>
        </w:rPr>
        <w:t xml:space="preserve">s à la préparation aux </w:t>
      </w:r>
      <w:r w:rsidR="00121FA3" w:rsidRPr="00AE0D22">
        <w:rPr>
          <w:lang w:val="fr-FR"/>
        </w:rPr>
        <w:t>PTM</w:t>
      </w:r>
      <w:r w:rsidR="00F3100F" w:rsidRPr="00AE0D22">
        <w:rPr>
          <w:lang w:val="fr-FR"/>
        </w:rPr>
        <w:t xml:space="preserve"> doivent être </w:t>
      </w:r>
      <w:r w:rsidRPr="00AE0D22">
        <w:rPr>
          <w:lang w:val="fr-FR"/>
        </w:rPr>
        <w:t>testés</w:t>
      </w:r>
      <w:r w:rsidR="00F3100F" w:rsidRPr="00AE0D22">
        <w:rPr>
          <w:lang w:val="fr-FR"/>
        </w:rPr>
        <w:t xml:space="preserve"> et adaptés au contexte local.</w:t>
      </w:r>
    </w:p>
    <w:p w:rsidR="00116612" w:rsidRPr="00AE0D22" w:rsidRDefault="00F3100F" w:rsidP="00BC1F3F">
      <w:pPr>
        <w:pStyle w:val="Bullet1"/>
        <w:keepNext/>
        <w:keepLines/>
        <w:ind w:left="714" w:hanging="357"/>
        <w:rPr>
          <w:lang w:val="fr-FR"/>
        </w:rPr>
      </w:pPr>
      <w:r w:rsidRPr="00AE0D22">
        <w:rPr>
          <w:lang w:val="fr-FR"/>
        </w:rPr>
        <w:t>Les opérations de transferts monétaires doivent être évaluées par un consultant ou une équipe externe</w:t>
      </w:r>
      <w:r w:rsidR="00116612" w:rsidRPr="00AE0D22">
        <w:rPr>
          <w:lang w:val="fr-FR"/>
        </w:rPr>
        <w:t xml:space="preserve">. </w:t>
      </w:r>
    </w:p>
    <w:p w:rsidR="00116612" w:rsidRPr="00AE0D22" w:rsidRDefault="00F3100F" w:rsidP="00BC1F3F">
      <w:pPr>
        <w:pStyle w:val="Bullet1"/>
        <w:keepNext/>
        <w:keepLines/>
        <w:ind w:left="714" w:hanging="357"/>
        <w:rPr>
          <w:lang w:val="fr-FR"/>
        </w:rPr>
      </w:pPr>
      <w:r w:rsidRPr="00AE0D22">
        <w:rPr>
          <w:lang w:val="fr-FR"/>
        </w:rPr>
        <w:t>Les rapports d’évaluation, les études de cas et les fiches d’information doivent être communiqués à l’interne aux partenaires du Mouvement et à l’externe à d’autres acteurs et réseaux.</w:t>
      </w:r>
    </w:p>
    <w:p w:rsidR="00A03445" w:rsidRPr="00AE0D22" w:rsidRDefault="00A3639D" w:rsidP="00C1316D">
      <w:pPr>
        <w:pStyle w:val="Heading2"/>
        <w:rPr>
          <w:lang w:val="fr-FR"/>
        </w:rPr>
      </w:pPr>
      <w:r w:rsidRPr="00AE0D22">
        <w:rPr>
          <w:lang w:val="fr-FR"/>
        </w:rPr>
        <w:t>Étapes subsidiaires et outils</w:t>
      </w:r>
    </w:p>
    <w:p w:rsidR="00F3100F" w:rsidRPr="00AE0D22" w:rsidRDefault="00F3100F" w:rsidP="00C1316D">
      <w:pPr>
        <w:pStyle w:val="Heading3"/>
        <w:rPr>
          <w:lang w:val="fr-FR"/>
        </w:rPr>
      </w:pPr>
      <w:r w:rsidRPr="00AE0D22">
        <w:rPr>
          <w:lang w:val="fr-FR"/>
        </w:rPr>
        <w:t>Créer un environnement d’apprentissage</w:t>
      </w:r>
    </w:p>
    <w:p w:rsidR="00F51FA8" w:rsidRPr="00AE0D22" w:rsidRDefault="00F51FA8" w:rsidP="00C506FE">
      <w:pPr>
        <w:rPr>
          <w:lang w:val="fr-FR"/>
        </w:rPr>
      </w:pPr>
      <w:r w:rsidRPr="00AE0D22">
        <w:rPr>
          <w:lang w:val="fr-FR"/>
        </w:rPr>
        <w:t xml:space="preserve">Le </w:t>
      </w:r>
      <w:r w:rsidR="00E022BB" w:rsidRPr="00AE0D22">
        <w:rPr>
          <w:lang w:val="fr-FR"/>
        </w:rPr>
        <w:t xml:space="preserve">coordonnateur des </w:t>
      </w:r>
      <w:r w:rsidR="00121FA3" w:rsidRPr="00AE0D22">
        <w:rPr>
          <w:lang w:val="fr-FR"/>
        </w:rPr>
        <w:t>PTM</w:t>
      </w:r>
      <w:r w:rsidR="00E022BB" w:rsidRPr="00AE0D22">
        <w:rPr>
          <w:lang w:val="fr-FR"/>
        </w:rPr>
        <w:t xml:space="preserve"> et le groupe de travail technique doivent diriger la mise en place des systèmes de suivi et d’évaluation de la préparation aux </w:t>
      </w:r>
      <w:r w:rsidR="00121FA3" w:rsidRPr="00AE0D22">
        <w:rPr>
          <w:lang w:val="fr-FR"/>
        </w:rPr>
        <w:t>PTM</w:t>
      </w:r>
      <w:r w:rsidR="00E022BB" w:rsidRPr="00AE0D22">
        <w:rPr>
          <w:lang w:val="fr-FR"/>
        </w:rPr>
        <w:t xml:space="preserve"> et promouvoir la mise en </w:t>
      </w:r>
      <w:r w:rsidR="00E962CA" w:rsidRPr="00AE0D22">
        <w:rPr>
          <w:lang w:val="fr-FR"/>
        </w:rPr>
        <w:t>évidence</w:t>
      </w:r>
      <w:r w:rsidR="00E022BB" w:rsidRPr="00AE0D22">
        <w:rPr>
          <w:lang w:val="fr-FR"/>
        </w:rPr>
        <w:t xml:space="preserve"> systématique des enseignements tirés dans les différents départements. Ils devront planifier et mener des évaluations du plan d’action pour la préparation aux </w:t>
      </w:r>
      <w:r w:rsidR="00C506FE" w:rsidRPr="00AE0D22">
        <w:rPr>
          <w:lang w:val="fr-FR"/>
        </w:rPr>
        <w:t>PTM</w:t>
      </w:r>
      <w:r w:rsidR="00E022BB" w:rsidRPr="00AE0D22">
        <w:rPr>
          <w:lang w:val="fr-FR"/>
        </w:rPr>
        <w:t xml:space="preserve"> et élaborer les systèmes</w:t>
      </w:r>
      <w:r w:rsidR="00E962CA" w:rsidRPr="00AE0D22">
        <w:rPr>
          <w:lang w:val="fr-FR"/>
        </w:rPr>
        <w:t xml:space="preserve"> et les outils nécessaires</w:t>
      </w:r>
      <w:r w:rsidR="00E022BB" w:rsidRPr="00AE0D22">
        <w:rPr>
          <w:lang w:val="fr-FR"/>
        </w:rPr>
        <w:t xml:space="preserve">. Les outils de cette étape subsidiaire </w:t>
      </w:r>
      <w:r w:rsidR="00C506FE" w:rsidRPr="00AE0D22">
        <w:rPr>
          <w:lang w:val="fr-FR"/>
        </w:rPr>
        <w:t>comprennent</w:t>
      </w:r>
      <w:r w:rsidR="00E022BB" w:rsidRPr="00AE0D22">
        <w:rPr>
          <w:lang w:val="fr-FR"/>
        </w:rPr>
        <w:t xml:space="preserve"> un modèle de rapport mensuel permettant au coordonnateur et au groupe de travail technique de rassembler les informations </w:t>
      </w:r>
      <w:r w:rsidR="00C506FE" w:rsidRPr="00AE0D22">
        <w:rPr>
          <w:lang w:val="fr-FR"/>
        </w:rPr>
        <w:t>fournies par les</w:t>
      </w:r>
      <w:r w:rsidR="00E022BB" w:rsidRPr="00AE0D22">
        <w:rPr>
          <w:lang w:val="fr-FR"/>
        </w:rPr>
        <w:t xml:space="preserve"> différents secteurs et d’informer les hauts responsables et </w:t>
      </w:r>
      <w:r w:rsidR="00C506FE" w:rsidRPr="00AE0D22">
        <w:rPr>
          <w:lang w:val="fr-FR"/>
        </w:rPr>
        <w:t>les partenaires du Mouvement des progrès réalisés dans la mise en œuvre</w:t>
      </w:r>
      <w:r w:rsidR="00E022BB" w:rsidRPr="00AE0D22">
        <w:rPr>
          <w:lang w:val="fr-FR"/>
        </w:rPr>
        <w:t xml:space="preserve"> du plan d’action.</w:t>
      </w:r>
    </w:p>
    <w:p w:rsidR="00417D24" w:rsidRPr="00AE0D22" w:rsidRDefault="00F51FA8" w:rsidP="00C1316D">
      <w:pPr>
        <w:pStyle w:val="Heading3"/>
        <w:rPr>
          <w:lang w:val="fr-FR"/>
        </w:rPr>
      </w:pPr>
      <w:r w:rsidRPr="00AE0D22">
        <w:rPr>
          <w:lang w:val="fr-FR"/>
        </w:rPr>
        <w:t>Évaluation interne des opérations de transferts monétaires</w:t>
      </w:r>
    </w:p>
    <w:p w:rsidR="00E022BB" w:rsidRPr="00AE0D22" w:rsidRDefault="00E022BB" w:rsidP="00ED3733">
      <w:pPr>
        <w:rPr>
          <w:lang w:val="fr-FR"/>
        </w:rPr>
      </w:pPr>
      <w:r w:rsidRPr="00AE0D22">
        <w:rPr>
          <w:lang w:val="fr-FR"/>
        </w:rPr>
        <w:t xml:space="preserve">L’évaluation du processus de préparation aux </w:t>
      </w:r>
      <w:r w:rsidR="00C506FE" w:rsidRPr="00AE0D22">
        <w:rPr>
          <w:lang w:val="fr-FR"/>
        </w:rPr>
        <w:t>PTM</w:t>
      </w:r>
      <w:r w:rsidRPr="00AE0D22">
        <w:rPr>
          <w:lang w:val="fr-FR"/>
        </w:rPr>
        <w:t xml:space="preserve"> </w:t>
      </w:r>
      <w:r w:rsidR="00ED3733">
        <w:rPr>
          <w:lang w:val="fr-FR"/>
        </w:rPr>
        <w:t>permet de recenser</w:t>
      </w:r>
      <w:r w:rsidRPr="00AE0D22">
        <w:rPr>
          <w:lang w:val="fr-FR"/>
        </w:rPr>
        <w:t xml:space="preserve"> les réalisations clés au regard des plans, documenter les bonnes pratiques et formuler des recommandations visant à améliorer les résultats et les processus. L’organisation d’un atelier d’un ou deux jours </w:t>
      </w:r>
      <w:r w:rsidR="00EC3FB1" w:rsidRPr="00AE0D22">
        <w:rPr>
          <w:lang w:val="fr-FR"/>
        </w:rPr>
        <w:t xml:space="preserve">peut </w:t>
      </w:r>
      <w:r w:rsidR="00C506FE" w:rsidRPr="00AE0D22">
        <w:rPr>
          <w:lang w:val="fr-FR"/>
        </w:rPr>
        <w:t>être une occasion de mettre</w:t>
      </w:r>
      <w:r w:rsidR="002835A9" w:rsidRPr="00AE0D22">
        <w:rPr>
          <w:lang w:val="fr-FR"/>
        </w:rPr>
        <w:t xml:space="preserve"> en </w:t>
      </w:r>
      <w:r w:rsidR="00F25863" w:rsidRPr="00AE0D22">
        <w:rPr>
          <w:lang w:val="fr-FR"/>
        </w:rPr>
        <w:t>évidence</w:t>
      </w:r>
      <w:r w:rsidR="002835A9" w:rsidRPr="00AE0D22">
        <w:rPr>
          <w:lang w:val="fr-FR"/>
        </w:rPr>
        <w:t xml:space="preserve"> d</w:t>
      </w:r>
      <w:r w:rsidRPr="00AE0D22">
        <w:rPr>
          <w:lang w:val="fr-FR"/>
        </w:rPr>
        <w:t>es réalisations c</w:t>
      </w:r>
      <w:r w:rsidR="002835A9" w:rsidRPr="00AE0D22">
        <w:rPr>
          <w:lang w:val="fr-FR"/>
        </w:rPr>
        <w:t>lés et d</w:t>
      </w:r>
      <w:r w:rsidR="00EC3FB1" w:rsidRPr="00AE0D22">
        <w:rPr>
          <w:lang w:val="fr-FR"/>
        </w:rPr>
        <w:t xml:space="preserve">es enseignements tirés </w:t>
      </w:r>
      <w:r w:rsidRPr="00AE0D22">
        <w:rPr>
          <w:lang w:val="fr-FR"/>
        </w:rPr>
        <w:t xml:space="preserve">et </w:t>
      </w:r>
      <w:r w:rsidR="00C506FE" w:rsidRPr="00AE0D22">
        <w:rPr>
          <w:lang w:val="fr-FR"/>
        </w:rPr>
        <w:t>de formuler des</w:t>
      </w:r>
      <w:r w:rsidR="00EC3FB1" w:rsidRPr="00AE0D22">
        <w:rPr>
          <w:lang w:val="fr-FR"/>
        </w:rPr>
        <w:t xml:space="preserve"> recommandations. L’approche et les outils utilisés</w:t>
      </w:r>
      <w:r w:rsidR="00C506FE" w:rsidRPr="00AE0D22">
        <w:rPr>
          <w:lang w:val="fr-FR"/>
        </w:rPr>
        <w:t xml:space="preserve"> </w:t>
      </w:r>
      <w:r w:rsidR="00EC3FB1" w:rsidRPr="00AE0D22">
        <w:rPr>
          <w:lang w:val="fr-FR"/>
        </w:rPr>
        <w:t xml:space="preserve">sont similaires à ceux de l’atelier initial consacré à la préparation. L’analyse SWOT et les outils </w:t>
      </w:r>
      <w:r w:rsidR="00432521" w:rsidRPr="00AE0D22">
        <w:rPr>
          <w:lang w:val="fr-FR"/>
        </w:rPr>
        <w:t>d</w:t>
      </w:r>
      <w:r w:rsidR="00EC3FB1" w:rsidRPr="00AE0D22">
        <w:rPr>
          <w:lang w:val="fr-FR"/>
        </w:rPr>
        <w:t xml:space="preserve">’autoévaluation peuvent être actualisés et utilisés aux fins de l’évaluation. Les outils de cette étape subsidiaire </w:t>
      </w:r>
      <w:r w:rsidR="00432521" w:rsidRPr="00AE0D22">
        <w:rPr>
          <w:lang w:val="fr-FR"/>
        </w:rPr>
        <w:t>comprennent</w:t>
      </w:r>
      <w:r w:rsidR="00EC3FB1" w:rsidRPr="00AE0D22">
        <w:rPr>
          <w:lang w:val="fr-FR"/>
        </w:rPr>
        <w:t xml:space="preserve"> des modèles pour l’évaluation de la préparation aux </w:t>
      </w:r>
      <w:r w:rsidR="00432521" w:rsidRPr="00AE0D22">
        <w:rPr>
          <w:lang w:val="fr-FR"/>
        </w:rPr>
        <w:t>PTM</w:t>
      </w:r>
      <w:r w:rsidR="00EC3FB1" w:rsidRPr="00AE0D22">
        <w:rPr>
          <w:lang w:val="fr-FR"/>
        </w:rPr>
        <w:t xml:space="preserve">, </w:t>
      </w:r>
      <w:r w:rsidR="00F25863" w:rsidRPr="00AE0D22">
        <w:rPr>
          <w:lang w:val="fr-FR"/>
        </w:rPr>
        <w:t xml:space="preserve">pour </w:t>
      </w:r>
      <w:r w:rsidR="00EC3FB1" w:rsidRPr="00AE0D22">
        <w:rPr>
          <w:lang w:val="fr-FR"/>
        </w:rPr>
        <w:t xml:space="preserve">l’élaboration du mandat et </w:t>
      </w:r>
      <w:r w:rsidR="00F25863" w:rsidRPr="00AE0D22">
        <w:rPr>
          <w:lang w:val="fr-FR"/>
        </w:rPr>
        <w:t xml:space="preserve">pour </w:t>
      </w:r>
      <w:r w:rsidR="00EC3FB1" w:rsidRPr="00AE0D22">
        <w:rPr>
          <w:lang w:val="fr-FR"/>
        </w:rPr>
        <w:t xml:space="preserve">l’établissement de rapports, ainsi que de brèves indications sur les </w:t>
      </w:r>
      <w:r w:rsidR="00ED3733">
        <w:rPr>
          <w:lang w:val="fr-FR"/>
        </w:rPr>
        <w:t xml:space="preserve">principaux </w:t>
      </w:r>
      <w:r w:rsidR="00EC3FB1" w:rsidRPr="00AE0D22">
        <w:rPr>
          <w:lang w:val="fr-FR"/>
        </w:rPr>
        <w:t xml:space="preserve">aspects </w:t>
      </w:r>
      <w:r w:rsidR="00432521" w:rsidRPr="00AE0D22">
        <w:rPr>
          <w:lang w:val="fr-FR"/>
        </w:rPr>
        <w:t>à prendre</w:t>
      </w:r>
      <w:r w:rsidR="00EC3FB1" w:rsidRPr="00AE0D22">
        <w:rPr>
          <w:lang w:val="fr-FR"/>
        </w:rPr>
        <w:t xml:space="preserve"> en co</w:t>
      </w:r>
      <w:r w:rsidR="002835A9" w:rsidRPr="00AE0D22">
        <w:rPr>
          <w:lang w:val="fr-FR"/>
        </w:rPr>
        <w:t xml:space="preserve">mpte </w:t>
      </w:r>
      <w:r w:rsidR="00432521" w:rsidRPr="00AE0D22">
        <w:rPr>
          <w:lang w:val="fr-FR"/>
        </w:rPr>
        <w:t>pour</w:t>
      </w:r>
      <w:r w:rsidR="002835A9" w:rsidRPr="00AE0D22">
        <w:rPr>
          <w:lang w:val="fr-FR"/>
        </w:rPr>
        <w:t xml:space="preserve"> l’organisatio</w:t>
      </w:r>
      <w:bookmarkStart w:id="0" w:name="_GoBack"/>
      <w:bookmarkEnd w:id="0"/>
      <w:r w:rsidR="002835A9" w:rsidRPr="00AE0D22">
        <w:rPr>
          <w:lang w:val="fr-FR"/>
        </w:rPr>
        <w:t>n de</w:t>
      </w:r>
      <w:r w:rsidR="00EC3FB1" w:rsidRPr="00AE0D22">
        <w:rPr>
          <w:lang w:val="fr-FR"/>
        </w:rPr>
        <w:t xml:space="preserve"> </w:t>
      </w:r>
      <w:r w:rsidR="002835A9" w:rsidRPr="00AE0D22">
        <w:rPr>
          <w:lang w:val="fr-FR"/>
        </w:rPr>
        <w:t>l’</w:t>
      </w:r>
      <w:r w:rsidR="00EC3FB1" w:rsidRPr="00AE0D22">
        <w:rPr>
          <w:lang w:val="fr-FR"/>
        </w:rPr>
        <w:t xml:space="preserve">atelier consacré aux enseignements tirés. </w:t>
      </w:r>
    </w:p>
    <w:p w:rsidR="00F51FA8" w:rsidRPr="00AE0D22" w:rsidRDefault="00F51FA8" w:rsidP="00F51FA8">
      <w:pPr>
        <w:pStyle w:val="Heading3"/>
        <w:rPr>
          <w:lang w:val="fr-FR"/>
        </w:rPr>
      </w:pPr>
      <w:r w:rsidRPr="00AE0D22">
        <w:rPr>
          <w:lang w:val="fr-FR"/>
        </w:rPr>
        <w:t>Évaluation externe des opérations de transferts monétaires</w:t>
      </w:r>
    </w:p>
    <w:p w:rsidR="00EC3FB1" w:rsidRPr="00AE0D22" w:rsidRDefault="00EC3FB1" w:rsidP="00432521">
      <w:pPr>
        <w:rPr>
          <w:lang w:val="fr-FR" w:eastAsia="en-GB"/>
        </w:rPr>
      </w:pPr>
      <w:r w:rsidRPr="00AE0D22">
        <w:rPr>
          <w:lang w:val="fr-FR" w:eastAsia="en-GB"/>
        </w:rPr>
        <w:t xml:space="preserve">Une </w:t>
      </w:r>
      <w:r w:rsidRPr="00AE0D22">
        <w:rPr>
          <w:b/>
          <w:lang w:val="fr-FR" w:eastAsia="en-GB"/>
        </w:rPr>
        <w:t>évaluation externe</w:t>
      </w:r>
      <w:r w:rsidRPr="00AE0D22">
        <w:rPr>
          <w:lang w:val="fr-FR" w:eastAsia="en-GB"/>
        </w:rPr>
        <w:t xml:space="preserve"> doit être </w:t>
      </w:r>
      <w:r w:rsidR="00432521" w:rsidRPr="00AE0D22">
        <w:rPr>
          <w:lang w:val="fr-FR" w:eastAsia="en-GB"/>
        </w:rPr>
        <w:t>réalisée</w:t>
      </w:r>
      <w:r w:rsidR="002835A9" w:rsidRPr="00AE0D22">
        <w:rPr>
          <w:lang w:val="fr-FR" w:eastAsia="en-GB"/>
        </w:rPr>
        <w:t xml:space="preserve"> </w:t>
      </w:r>
      <w:r w:rsidRPr="00AE0D22">
        <w:rPr>
          <w:lang w:val="fr-FR" w:eastAsia="en-GB"/>
        </w:rPr>
        <w:t xml:space="preserve">au terme des opérations de transferts monétaires afin d’identifier de manière systématique et impartiale les forces et les faiblesses du processus. L’évaluation doit mettre en évidence les enseignements tirés et </w:t>
      </w:r>
      <w:r w:rsidR="00432521" w:rsidRPr="00AE0D22">
        <w:rPr>
          <w:lang w:val="fr-FR" w:eastAsia="en-GB"/>
        </w:rPr>
        <w:t>formuler des</w:t>
      </w:r>
      <w:r w:rsidRPr="00AE0D22">
        <w:rPr>
          <w:lang w:val="fr-FR" w:eastAsia="en-GB"/>
        </w:rPr>
        <w:t xml:space="preserve"> recommandations clés visant à améliorer les pratiques actuelles et futures. L’évaluation doit couvrir le processus, l’élaboration, les résultats (y compris les ressources allouées et les dépenses engagées) et l’impact de la préparation aux </w:t>
      </w:r>
      <w:r w:rsidR="00432521" w:rsidRPr="00AE0D22">
        <w:rPr>
          <w:lang w:val="fr-FR" w:eastAsia="en-GB"/>
        </w:rPr>
        <w:t>PTM</w:t>
      </w:r>
      <w:r w:rsidRPr="00AE0D22">
        <w:rPr>
          <w:lang w:val="fr-FR" w:eastAsia="en-GB"/>
        </w:rPr>
        <w:t xml:space="preserve">. Le plan d’action pour la préparation aux </w:t>
      </w:r>
      <w:r w:rsidR="00432521" w:rsidRPr="00AE0D22">
        <w:rPr>
          <w:lang w:val="fr-FR" w:eastAsia="en-GB"/>
        </w:rPr>
        <w:t>PTM</w:t>
      </w:r>
      <w:r w:rsidRPr="00AE0D22">
        <w:rPr>
          <w:lang w:val="fr-FR" w:eastAsia="en-GB"/>
        </w:rPr>
        <w:t xml:space="preserve"> doit </w:t>
      </w:r>
      <w:r w:rsidR="00432521" w:rsidRPr="00AE0D22">
        <w:rPr>
          <w:lang w:val="fr-FR" w:eastAsia="en-GB"/>
        </w:rPr>
        <w:t>prévoir</w:t>
      </w:r>
      <w:r w:rsidRPr="00AE0D22">
        <w:rPr>
          <w:lang w:val="fr-FR" w:eastAsia="en-GB"/>
        </w:rPr>
        <w:t xml:space="preserve"> l’évaluation des opérations de transferts monétaires et intégrer les enseignements tirés</w:t>
      </w:r>
      <w:r w:rsidR="00CE2793" w:rsidRPr="00AE0D22">
        <w:rPr>
          <w:lang w:val="fr-FR" w:eastAsia="en-GB"/>
        </w:rPr>
        <w:t xml:space="preserve">. Les outils de cette étape subsidiaire </w:t>
      </w:r>
      <w:r w:rsidR="00432521" w:rsidRPr="00AE0D22">
        <w:rPr>
          <w:lang w:val="fr-FR" w:eastAsia="en-GB"/>
        </w:rPr>
        <w:t>comprennent</w:t>
      </w:r>
      <w:r w:rsidR="00CE2793" w:rsidRPr="00AE0D22">
        <w:rPr>
          <w:lang w:val="fr-FR" w:eastAsia="en-GB"/>
        </w:rPr>
        <w:t xml:space="preserve"> une feuille de route pour l’évaluation des </w:t>
      </w:r>
      <w:r w:rsidR="00432521" w:rsidRPr="00AE0D22">
        <w:rPr>
          <w:lang w:val="fr-FR" w:eastAsia="en-GB"/>
        </w:rPr>
        <w:t>PTM</w:t>
      </w:r>
      <w:r w:rsidR="00CE2793" w:rsidRPr="00AE0D22">
        <w:rPr>
          <w:lang w:val="fr-FR" w:eastAsia="en-GB"/>
        </w:rPr>
        <w:t xml:space="preserve">. </w:t>
      </w:r>
    </w:p>
    <w:p w:rsidR="00CE2793" w:rsidRPr="00AE0D22" w:rsidRDefault="00CE2793" w:rsidP="00006501">
      <w:pPr>
        <w:rPr>
          <w:lang w:val="fr-FR"/>
        </w:rPr>
      </w:pPr>
      <w:r w:rsidRPr="00AE0D22">
        <w:rPr>
          <w:lang w:val="fr-FR" w:eastAsia="en-GB"/>
        </w:rPr>
        <w:t xml:space="preserve">Les </w:t>
      </w:r>
      <w:r w:rsidRPr="00AE0D22">
        <w:rPr>
          <w:b/>
          <w:i/>
          <w:lang w:val="fr-FR"/>
        </w:rPr>
        <w:t xml:space="preserve">études de cas </w:t>
      </w:r>
      <w:r w:rsidR="0064153B" w:rsidRPr="00AE0D22">
        <w:rPr>
          <w:lang w:val="fr-FR"/>
        </w:rPr>
        <w:t>réalisées</w:t>
      </w:r>
      <w:r w:rsidRPr="00AE0D22">
        <w:rPr>
          <w:lang w:val="fr-FR"/>
        </w:rPr>
        <w:t xml:space="preserve"> par des évaluateurs externes constituent également un moyen </w:t>
      </w:r>
      <w:r w:rsidR="002835A9" w:rsidRPr="00AE0D22">
        <w:rPr>
          <w:lang w:val="fr-FR"/>
        </w:rPr>
        <w:t>utile</w:t>
      </w:r>
      <w:r w:rsidRPr="00AE0D22">
        <w:rPr>
          <w:lang w:val="fr-FR"/>
        </w:rPr>
        <w:t xml:space="preserve"> </w:t>
      </w:r>
      <w:r w:rsidR="0064153B" w:rsidRPr="00AE0D22">
        <w:rPr>
          <w:lang w:val="fr-FR"/>
        </w:rPr>
        <w:t>de</w:t>
      </w:r>
      <w:r w:rsidRPr="00AE0D22">
        <w:rPr>
          <w:lang w:val="fr-FR"/>
        </w:rPr>
        <w:t xml:space="preserve"> </w:t>
      </w:r>
      <w:r w:rsidR="002835A9" w:rsidRPr="00AE0D22">
        <w:rPr>
          <w:lang w:val="fr-FR"/>
        </w:rPr>
        <w:t>mettre en évidence</w:t>
      </w:r>
      <w:r w:rsidRPr="00AE0D22">
        <w:rPr>
          <w:lang w:val="fr-FR"/>
        </w:rPr>
        <w:t xml:space="preserve"> les points forts, les défis et les solutions </w:t>
      </w:r>
      <w:r w:rsidR="00006501" w:rsidRPr="00AE0D22">
        <w:rPr>
          <w:lang w:val="fr-FR"/>
        </w:rPr>
        <w:t>propres à une opération</w:t>
      </w:r>
      <w:r w:rsidRPr="00AE0D22">
        <w:rPr>
          <w:lang w:val="fr-FR"/>
        </w:rPr>
        <w:t xml:space="preserve"> de transferts monétaires. Elles peuvent être </w:t>
      </w:r>
      <w:r w:rsidR="00006501" w:rsidRPr="00AE0D22">
        <w:rPr>
          <w:lang w:val="fr-FR"/>
        </w:rPr>
        <w:t>utilisées pour appuyer</w:t>
      </w:r>
      <w:r w:rsidR="003E437A" w:rsidRPr="00AE0D22">
        <w:rPr>
          <w:lang w:val="fr-FR"/>
        </w:rPr>
        <w:t xml:space="preserve"> la mobilisation de</w:t>
      </w:r>
      <w:r w:rsidRPr="00AE0D22">
        <w:rPr>
          <w:lang w:val="fr-FR"/>
        </w:rPr>
        <w:t xml:space="preserve"> ressources et </w:t>
      </w:r>
      <w:r w:rsidR="00006501" w:rsidRPr="00AE0D22">
        <w:rPr>
          <w:lang w:val="fr-FR"/>
        </w:rPr>
        <w:t>le</w:t>
      </w:r>
      <w:r w:rsidRPr="00AE0D22">
        <w:rPr>
          <w:lang w:val="fr-FR"/>
        </w:rPr>
        <w:t xml:space="preserve"> renforcement des capacités.</w:t>
      </w:r>
    </w:p>
    <w:p w:rsidR="005C6F57" w:rsidRPr="00AE0D22" w:rsidRDefault="00F51FA8" w:rsidP="00C1316D">
      <w:pPr>
        <w:pStyle w:val="Heading3"/>
        <w:rPr>
          <w:lang w:val="fr-FR"/>
        </w:rPr>
      </w:pPr>
      <w:r w:rsidRPr="00AE0D22">
        <w:rPr>
          <w:lang w:val="fr-FR"/>
        </w:rPr>
        <w:t>Documenter et diffuser les enseignements tirés et enrichir les connaissances mondiales</w:t>
      </w:r>
    </w:p>
    <w:p w:rsidR="00595CF6" w:rsidRPr="00AE0D22" w:rsidRDefault="00386A25" w:rsidP="00933327">
      <w:pPr>
        <w:spacing w:after="240"/>
        <w:rPr>
          <w:lang w:val="fr-FR" w:eastAsia="en-GB"/>
        </w:rPr>
      </w:pPr>
      <w:r w:rsidRPr="00AE0D22">
        <w:rPr>
          <w:lang w:val="fr-FR" w:eastAsia="en-GB"/>
        </w:rPr>
        <w:t xml:space="preserve">Il est important de faire connaître et de promouvoir les bonnes pratiques et les enseignements tirés </w:t>
      </w:r>
      <w:r w:rsidR="00933327" w:rsidRPr="00AE0D22">
        <w:rPr>
          <w:lang w:val="fr-FR" w:eastAsia="en-GB"/>
        </w:rPr>
        <w:t>de</w:t>
      </w:r>
      <w:r w:rsidRPr="00AE0D22">
        <w:rPr>
          <w:lang w:val="fr-FR" w:eastAsia="en-GB"/>
        </w:rPr>
        <w:t xml:space="preserve"> la préparation aux </w:t>
      </w:r>
      <w:r w:rsidR="00933327" w:rsidRPr="00AE0D22">
        <w:rPr>
          <w:lang w:val="fr-FR" w:eastAsia="en-GB"/>
        </w:rPr>
        <w:t>PTM</w:t>
      </w:r>
      <w:r w:rsidRPr="00AE0D22">
        <w:rPr>
          <w:lang w:val="fr-FR" w:eastAsia="en-GB"/>
        </w:rPr>
        <w:t>, tant auprès des partenaires du Mouvement qu’auprès des acteurs et réseaux extérieur</w:t>
      </w:r>
      <w:r w:rsidR="00933327" w:rsidRPr="00AE0D22">
        <w:rPr>
          <w:lang w:val="fr-FR" w:eastAsia="en-GB"/>
        </w:rPr>
        <w:t>s. La diffusion d’</w:t>
      </w:r>
      <w:r w:rsidRPr="00AE0D22">
        <w:rPr>
          <w:lang w:val="fr-FR" w:eastAsia="en-GB"/>
        </w:rPr>
        <w:t xml:space="preserve">outils, d’études de cas, d’informations et de supports audiovisuels peut </w:t>
      </w:r>
      <w:r w:rsidR="002835A9" w:rsidRPr="00AE0D22">
        <w:rPr>
          <w:lang w:val="fr-FR" w:eastAsia="en-GB"/>
        </w:rPr>
        <w:t>contribuer à</w:t>
      </w:r>
      <w:r w:rsidRPr="00AE0D22">
        <w:rPr>
          <w:lang w:val="fr-FR" w:eastAsia="en-GB"/>
        </w:rPr>
        <w:t xml:space="preserve"> promouvoir les efforts de la Société nationale et </w:t>
      </w:r>
      <w:r w:rsidR="00933327" w:rsidRPr="00AE0D22">
        <w:rPr>
          <w:lang w:val="fr-FR" w:eastAsia="en-GB"/>
        </w:rPr>
        <w:t>apporte</w:t>
      </w:r>
      <w:r w:rsidRPr="00AE0D22">
        <w:rPr>
          <w:lang w:val="fr-FR" w:eastAsia="en-GB"/>
        </w:rPr>
        <w:t xml:space="preserve"> une contribution précieuse </w:t>
      </w:r>
      <w:r w:rsidR="00933327" w:rsidRPr="00AE0D22">
        <w:rPr>
          <w:lang w:val="fr-FR" w:eastAsia="en-GB"/>
        </w:rPr>
        <w:t>au</w:t>
      </w:r>
      <w:r w:rsidRPr="00AE0D22">
        <w:rPr>
          <w:lang w:val="fr-FR" w:eastAsia="en-GB"/>
        </w:rPr>
        <w:t xml:space="preserve"> secteur de l’aide humanitaire. Une Société nationale doit être disposée à fournir un soutien technique à d’autres Sociétés nationales mettant en œuvre des initiatives similaires. Les outils de cette étape subsidiaire </w:t>
      </w:r>
      <w:r w:rsidR="00933327" w:rsidRPr="00AE0D22">
        <w:rPr>
          <w:lang w:val="fr-FR" w:eastAsia="en-GB"/>
        </w:rPr>
        <w:t>comprennent</w:t>
      </w:r>
      <w:r w:rsidRPr="00AE0D22">
        <w:rPr>
          <w:lang w:val="fr-FR" w:eastAsia="en-GB"/>
        </w:rPr>
        <w:t xml:space="preserve"> des modèles pour l’élaboration d’études de cas et de fiches d’information.</w:t>
      </w:r>
    </w:p>
    <w:p w:rsidR="00933327" w:rsidRPr="00AE0D22" w:rsidRDefault="00933327" w:rsidP="00933327">
      <w:pPr>
        <w:spacing w:after="240"/>
        <w:rPr>
          <w:lang w:val="fr-FR" w:eastAsia="en-GB"/>
        </w:rPr>
      </w:pPr>
    </w:p>
    <w:tbl>
      <w:tblPr>
        <w:tblStyle w:val="TableGray"/>
        <w:tblW w:w="0" w:type="auto"/>
        <w:tblInd w:w="142" w:type="dxa"/>
        <w:tblLook w:val="04A0" w:firstRow="1" w:lastRow="0" w:firstColumn="1" w:lastColumn="0" w:noHBand="0" w:noVBand="1"/>
      </w:tblPr>
      <w:tblGrid>
        <w:gridCol w:w="9706"/>
      </w:tblGrid>
      <w:tr w:rsidR="00764A04" w:rsidRPr="00AE0D22" w:rsidTr="00764A04">
        <w:tc>
          <w:tcPr>
            <w:tcW w:w="9706" w:type="dxa"/>
          </w:tcPr>
          <w:p w:rsidR="00764A04" w:rsidRPr="00AE0D22" w:rsidRDefault="00764A04" w:rsidP="00764A04">
            <w:pPr>
              <w:pStyle w:val="RefTitre"/>
              <w:rPr>
                <w:lang w:val="fr-FR"/>
              </w:rPr>
            </w:pPr>
            <w:r w:rsidRPr="00AE0D22">
              <w:rPr>
                <w:lang w:val="fr-FR"/>
              </w:rPr>
              <w:t>DOCUMENTS</w:t>
            </w:r>
            <w:r w:rsidR="00A3639D" w:rsidRPr="00AE0D22">
              <w:rPr>
                <w:lang w:val="fr-FR"/>
              </w:rPr>
              <w:t xml:space="preserve"> DE RÉFÉRENCE</w:t>
            </w:r>
          </w:p>
          <w:p w:rsidR="00764A04" w:rsidRPr="00AE0D22" w:rsidRDefault="00A3639D" w:rsidP="00764A04">
            <w:pPr>
              <w:pStyle w:val="RefItem1"/>
              <w:rPr>
                <w:lang w:val="fr-FR"/>
              </w:rPr>
            </w:pPr>
            <w:r w:rsidRPr="00AE0D22">
              <w:rPr>
                <w:lang w:val="fr-FR"/>
              </w:rPr>
              <w:t>Guide pour la planification d’urgence</w:t>
            </w:r>
            <w:r w:rsidR="00933327" w:rsidRPr="00AE0D22">
              <w:rPr>
                <w:lang w:val="fr-FR"/>
              </w:rPr>
              <w:t>,</w:t>
            </w:r>
            <w:r w:rsidR="00764A04" w:rsidRPr="00AE0D22">
              <w:rPr>
                <w:lang w:val="fr-FR"/>
              </w:rPr>
              <w:t xml:space="preserve"> </w:t>
            </w:r>
            <w:r w:rsidR="00933327" w:rsidRPr="00AE0D22">
              <w:rPr>
                <w:lang w:val="fr-FR"/>
              </w:rPr>
              <w:t>Fédération internationale, 2012</w:t>
            </w:r>
          </w:p>
          <w:p w:rsidR="00764A04" w:rsidRPr="00AE0D22" w:rsidRDefault="00A3639D" w:rsidP="00933327">
            <w:pPr>
              <w:pStyle w:val="RefItem1"/>
              <w:rPr>
                <w:lang w:val="fr-FR"/>
              </w:rPr>
            </w:pPr>
            <w:r w:rsidRPr="00AE0D22">
              <w:rPr>
                <w:i/>
                <w:iCs/>
                <w:lang w:val="fr-FR"/>
              </w:rPr>
              <w:t>Si</w:t>
            </w:r>
            <w:r w:rsidR="00933327" w:rsidRPr="00AE0D22">
              <w:rPr>
                <w:i/>
                <w:iCs/>
                <w:lang w:val="fr-FR"/>
              </w:rPr>
              <w:t>mulation guidance and templates</w:t>
            </w:r>
            <w:r w:rsidR="00933327" w:rsidRPr="00AE0D22">
              <w:rPr>
                <w:lang w:val="fr-FR"/>
              </w:rPr>
              <w:t xml:space="preserve">, </w:t>
            </w:r>
            <w:r w:rsidR="00933327" w:rsidRPr="00AE0D22">
              <w:rPr>
                <w:lang w:val="fr-FR"/>
              </w:rPr>
              <w:t>Fédération internationale, 2015</w:t>
            </w:r>
          </w:p>
          <w:p w:rsidR="00764A04" w:rsidRPr="00AE0D22" w:rsidRDefault="00764A04" w:rsidP="00764A04">
            <w:pPr>
              <w:pStyle w:val="RefItem1"/>
              <w:rPr>
                <w:lang w:val="fr-FR"/>
              </w:rPr>
            </w:pPr>
            <w:r w:rsidRPr="00AE0D22">
              <w:rPr>
                <w:i/>
                <w:iCs/>
                <w:lang w:val="fr-FR"/>
              </w:rPr>
              <w:t>Good Practice Review: Cash transfer programming in emergencies</w:t>
            </w:r>
            <w:r w:rsidR="00933327" w:rsidRPr="00AE0D22">
              <w:rPr>
                <w:lang w:val="fr-FR"/>
              </w:rPr>
              <w:t>,</w:t>
            </w:r>
            <w:r w:rsidR="00A3639D" w:rsidRPr="00AE0D22">
              <w:rPr>
                <w:lang w:val="fr-FR"/>
              </w:rPr>
              <w:t xml:space="preserve"> Humanitarian Practice Network, </w:t>
            </w:r>
            <w:r w:rsidRPr="00AE0D22">
              <w:rPr>
                <w:lang w:val="fr-FR"/>
              </w:rPr>
              <w:t>2011</w:t>
            </w:r>
            <w:r w:rsidR="00A3639D" w:rsidRPr="00AE0D22">
              <w:rPr>
                <w:lang w:val="fr-FR"/>
              </w:rPr>
              <w:t xml:space="preserve"> (en anglais</w:t>
            </w:r>
            <w:r w:rsidRPr="00AE0D22">
              <w:rPr>
                <w:lang w:val="fr-FR"/>
              </w:rPr>
              <w:t>)</w:t>
            </w:r>
            <w:r w:rsidR="00A3639D" w:rsidRPr="00AE0D22">
              <w:rPr>
                <w:lang w:val="fr-FR"/>
              </w:rPr>
              <w:t> :</w:t>
            </w:r>
            <w:r w:rsidRPr="00AE0D22">
              <w:rPr>
                <w:lang w:val="fr-FR"/>
              </w:rPr>
              <w:t xml:space="preserve"> </w:t>
            </w:r>
            <w:hyperlink r:id="rId9" w:history="1">
              <w:r w:rsidRPr="00AE0D22">
                <w:rPr>
                  <w:rStyle w:val="Hyperlink"/>
                  <w:lang w:val="fr-FR"/>
                </w:rPr>
                <w:t>http://www.odihpn.org/documents%2Fgpr11.pdf</w:t>
              </w:r>
            </w:hyperlink>
          </w:p>
          <w:p w:rsidR="00764A04" w:rsidRPr="00AE0D22" w:rsidRDefault="00764A04" w:rsidP="00933327">
            <w:pPr>
              <w:pStyle w:val="RefItem1"/>
              <w:rPr>
                <w:lang w:val="fr-FR"/>
              </w:rPr>
            </w:pPr>
            <w:r w:rsidRPr="00AE0D22">
              <w:rPr>
                <w:i/>
                <w:iCs/>
                <w:lang w:val="fr-FR"/>
              </w:rPr>
              <w:t>Evaluating humanitarian action using the OECD-DAC criteria</w:t>
            </w:r>
            <w:r w:rsidR="00933327" w:rsidRPr="00AE0D22">
              <w:rPr>
                <w:lang w:val="fr-FR"/>
              </w:rPr>
              <w:t>,</w:t>
            </w:r>
            <w:r w:rsidRPr="00AE0D22">
              <w:rPr>
                <w:lang w:val="fr-FR"/>
              </w:rPr>
              <w:t xml:space="preserve"> ALNAP </w:t>
            </w:r>
            <w:r w:rsidR="00A3639D" w:rsidRPr="00AE0D22">
              <w:rPr>
                <w:lang w:val="fr-FR"/>
              </w:rPr>
              <w:t xml:space="preserve">(en anglais) : </w:t>
            </w:r>
            <w:hyperlink r:id="rId10" w:history="1">
              <w:r w:rsidRPr="00AE0D22">
                <w:rPr>
                  <w:rStyle w:val="Hyperlink"/>
                  <w:rFonts w:eastAsia="Times New Roman"/>
                  <w:lang w:val="fr-FR"/>
                </w:rPr>
                <w:t>http://www.alnap.org/resource/5253</w:t>
              </w:r>
            </w:hyperlink>
          </w:p>
        </w:tc>
      </w:tr>
    </w:tbl>
    <w:p w:rsidR="00764A04" w:rsidRPr="00AE0D22" w:rsidRDefault="00764A04" w:rsidP="00764A04">
      <w:pPr>
        <w:rPr>
          <w:w w:val="102"/>
          <w:lang w:val="fr-FR"/>
        </w:rPr>
      </w:pPr>
    </w:p>
    <w:sectPr w:rsidR="00764A04" w:rsidRPr="00AE0D22" w:rsidSect="00C1316D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0D1BC7" w15:done="0"/>
  <w15:commentEx w15:paraId="71BB97E7" w15:done="0"/>
  <w15:commentEx w15:paraId="5F933B8A" w15:done="0"/>
  <w15:commentEx w15:paraId="383EA5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84" w:rsidRDefault="00A96F84" w:rsidP="00E1143F">
      <w:r>
        <w:separator/>
      </w:r>
    </w:p>
  </w:endnote>
  <w:endnote w:type="continuationSeparator" w:id="0">
    <w:p w:rsidR="00A96F84" w:rsidRDefault="00A96F84" w:rsidP="00E1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F6" w:rsidRPr="00A3639D" w:rsidRDefault="00595CF6">
    <w:pPr>
      <w:pStyle w:val="Footer"/>
      <w:rPr>
        <w:lang w:val="fr-FR"/>
      </w:rPr>
    </w:pPr>
    <w:r w:rsidRPr="00A3639D">
      <w:rPr>
        <w:lang w:val="fr-FR"/>
      </w:rPr>
      <w:t>Module 1</w:t>
    </w:r>
    <w:r w:rsidR="007B57DE" w:rsidRPr="00A3639D">
      <w:rPr>
        <w:lang w:val="fr-FR"/>
      </w:rPr>
      <w:t xml:space="preserve">. </w:t>
    </w:r>
    <w:r w:rsidR="00A3639D" w:rsidRPr="00A3639D">
      <w:rPr>
        <w:lang w:val="fr-FR"/>
      </w:rPr>
      <w:t>Étape</w:t>
    </w:r>
    <w:r w:rsidR="007B57DE" w:rsidRPr="00A3639D">
      <w:rPr>
        <w:lang w:val="fr-FR"/>
      </w:rPr>
      <w:t xml:space="preserve"> 3.</w:t>
    </w:r>
    <w:r w:rsidR="00A3639D" w:rsidRPr="00A3639D">
      <w:rPr>
        <w:lang w:val="fr-FR"/>
      </w:rPr>
      <w:t xml:space="preserve"> Feuille de route pour l’examen, les enseignements et l’amélioration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6D" w:rsidRPr="00B45C74" w:rsidRDefault="00B343D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C1316D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D373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C1316D" w:rsidRPr="00A3639D" w:rsidRDefault="00C1316D" w:rsidP="00ED1B2B">
    <w:pPr>
      <w:pStyle w:val="Footer"/>
      <w:rPr>
        <w:lang w:val="fr-FR"/>
      </w:rPr>
    </w:pPr>
    <w:r w:rsidRPr="00A3639D">
      <w:rPr>
        <w:b/>
        <w:lang w:val="fr-FR"/>
      </w:rPr>
      <w:t>Module 1.</w:t>
    </w:r>
    <w:r w:rsidRPr="00A3639D">
      <w:rPr>
        <w:lang w:val="fr-FR"/>
      </w:rPr>
      <w:t xml:space="preserve"> </w:t>
    </w:r>
    <w:r w:rsidR="00A3639D" w:rsidRPr="00A3639D">
      <w:rPr>
        <w:lang w:val="fr-FR"/>
      </w:rPr>
      <w:t>Étape</w:t>
    </w:r>
    <w:r w:rsidRPr="00A3639D">
      <w:rPr>
        <w:lang w:val="fr-FR"/>
      </w:rPr>
      <w:t xml:space="preserve"> 3</w:t>
    </w:r>
    <w:r w:rsidR="00A3639D" w:rsidRPr="00A3639D">
      <w:rPr>
        <w:lang w:val="fr-FR"/>
      </w:rPr>
      <w:t>.</w:t>
    </w:r>
    <w:r w:rsidRPr="00A3639D">
      <w:rPr>
        <w:lang w:val="fr-FR"/>
      </w:rPr>
      <w:t xml:space="preserve"> </w:t>
    </w:r>
    <w:r w:rsidR="00A3639D">
      <w:rPr>
        <w:lang w:val="fr-FR"/>
      </w:rPr>
      <w:t>Feuille de route pour l’examen, les enseignements et l’amélioration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84" w:rsidRDefault="00A96F84" w:rsidP="00E1143F">
      <w:r>
        <w:separator/>
      </w:r>
    </w:p>
  </w:footnote>
  <w:footnote w:type="continuationSeparator" w:id="0">
    <w:p w:rsidR="00A96F84" w:rsidRDefault="00A96F84" w:rsidP="00E11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6D" w:rsidRPr="00A3639D" w:rsidRDefault="00A3639D" w:rsidP="00173FF2">
    <w:pPr>
      <w:pStyle w:val="Header"/>
      <w:rPr>
        <w:sz w:val="14"/>
        <w:szCs w:val="14"/>
        <w:lang w:val="fr-FR"/>
      </w:rPr>
    </w:pPr>
    <w:r w:rsidRPr="00A3639D">
      <w:rPr>
        <w:rStyle w:val="Pantone485"/>
        <w:sz w:val="14"/>
        <w:szCs w:val="14"/>
        <w:lang w:val="fr-FR"/>
      </w:rPr>
      <w:t>Mouvement international de la Croix-Rouge et du Croissant-Rouge</w:t>
    </w:r>
    <w:r w:rsidR="00C1316D" w:rsidRPr="00A3639D">
      <w:rPr>
        <w:rFonts w:cs="Caecilia-Light"/>
        <w:color w:val="FF0000"/>
        <w:sz w:val="14"/>
        <w:szCs w:val="14"/>
        <w:lang w:val="fr-FR"/>
      </w:rPr>
      <w:t xml:space="preserve"> </w:t>
    </w:r>
    <w:r w:rsidR="00C1316D" w:rsidRPr="00A3639D">
      <w:rPr>
        <w:rStyle w:val="PageNumber"/>
        <w:bCs/>
        <w:sz w:val="14"/>
        <w:szCs w:val="14"/>
        <w:lang w:val="fr-FR"/>
      </w:rPr>
      <w:t>I</w:t>
    </w:r>
    <w:r w:rsidR="00C1316D" w:rsidRPr="00A3639D">
      <w:rPr>
        <w:rStyle w:val="PageNumber"/>
        <w:color w:val="FF0000"/>
        <w:sz w:val="14"/>
        <w:szCs w:val="14"/>
        <w:lang w:val="fr-FR"/>
      </w:rPr>
      <w:t xml:space="preserve"> </w:t>
    </w:r>
    <w:r>
      <w:rPr>
        <w:b/>
        <w:sz w:val="14"/>
        <w:szCs w:val="14"/>
        <w:lang w:val="fr-FR"/>
      </w:rPr>
      <w:t>Boîte à outils pour la distribution d’espèces dans les situations d’urgence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A8" w:rsidRPr="0012791B" w:rsidRDefault="008601A8" w:rsidP="008601A8">
    <w:pPr>
      <w:pStyle w:val="Header"/>
      <w:spacing w:line="240" w:lineRule="auto"/>
      <w:rPr>
        <w:b/>
        <w:color w:val="DC281E"/>
        <w:sz w:val="24"/>
        <w:szCs w:val="24"/>
        <w:lang w:val="fr-FR"/>
      </w:rPr>
    </w:pPr>
    <w:r w:rsidRPr="0012791B">
      <w:rPr>
        <w:b/>
        <w:noProof/>
        <w:color w:val="DC281E"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593A6938" wp14:editId="30E37F82">
          <wp:simplePos x="0" y="0"/>
          <wp:positionH relativeFrom="margin">
            <wp:posOffset>316865</wp:posOffset>
          </wp:positionH>
          <wp:positionV relativeFrom="margin">
            <wp:posOffset>-1280795</wp:posOffset>
          </wp:positionV>
          <wp:extent cx="630555" cy="735330"/>
          <wp:effectExtent l="0" t="0" r="0" b="0"/>
          <wp:wrapSquare wrapText="bothSides"/>
          <wp:docPr id="3" name="Picture 3" descr="CICR logo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CR logo-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791B">
      <w:rPr>
        <w:b/>
        <w:noProof/>
        <w:color w:val="DC281E"/>
        <w:sz w:val="24"/>
        <w:szCs w:val="24"/>
        <w:lang w:val="en-GB" w:eastAsia="en-GB"/>
      </w:rPr>
      <w:drawing>
        <wp:anchor distT="0" distB="0" distL="114300" distR="114300" simplePos="0" relativeHeight="251660288" behindDoc="0" locked="0" layoutInCell="1" allowOverlap="1" wp14:anchorId="229F62DD" wp14:editId="57A07A72">
          <wp:simplePos x="0" y="0"/>
          <wp:positionH relativeFrom="margin">
            <wp:posOffset>2590165</wp:posOffset>
          </wp:positionH>
          <wp:positionV relativeFrom="margin">
            <wp:posOffset>-915670</wp:posOffset>
          </wp:positionV>
          <wp:extent cx="3187065" cy="3086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316D" w:rsidRDefault="00C1316D" w:rsidP="00C16D71">
    <w:pPr>
      <w:pStyle w:val="Header"/>
      <w:spacing w:line="240" w:lineRule="auto"/>
      <w:rPr>
        <w:b/>
        <w:sz w:val="24"/>
        <w:szCs w:val="24"/>
      </w:rPr>
    </w:pPr>
  </w:p>
  <w:p w:rsidR="008601A8" w:rsidRDefault="008601A8" w:rsidP="00C16D71">
    <w:pPr>
      <w:pStyle w:val="Header"/>
      <w:spacing w:line="240" w:lineRule="auto"/>
      <w:rPr>
        <w:b/>
        <w:sz w:val="24"/>
        <w:szCs w:val="24"/>
      </w:rPr>
    </w:pPr>
  </w:p>
  <w:p w:rsidR="008601A8" w:rsidRPr="007563A1" w:rsidRDefault="008601A8" w:rsidP="00C16D71">
    <w:pPr>
      <w:pStyle w:val="Header"/>
      <w:spacing w:line="240" w:lineRule="auto"/>
      <w:rPr>
        <w:b/>
        <w:sz w:val="24"/>
        <w:szCs w:val="24"/>
      </w:rPr>
    </w:pPr>
  </w:p>
  <w:p w:rsidR="00C1316D" w:rsidRPr="007563A1" w:rsidRDefault="00C1316D" w:rsidP="00C16D71">
    <w:pPr>
      <w:pStyle w:val="Header"/>
      <w:spacing w:line="240" w:lineRule="auto"/>
      <w:rPr>
        <w:b/>
        <w:sz w:val="24"/>
        <w:szCs w:val="24"/>
      </w:rPr>
    </w:pPr>
  </w:p>
  <w:p w:rsidR="00C1316D" w:rsidRPr="00A3639D" w:rsidRDefault="00A3639D" w:rsidP="008601A8">
    <w:pPr>
      <w:pStyle w:val="Header1"/>
      <w:rPr>
        <w:rStyle w:val="Pantone485"/>
        <w:lang w:val="fr-FR"/>
      </w:rPr>
    </w:pPr>
    <w:r w:rsidRPr="00A3639D">
      <w:rPr>
        <w:rStyle w:val="Pantone485"/>
        <w:lang w:val="fr-FR"/>
      </w:rPr>
      <w:t xml:space="preserve">Boîte à outils </w:t>
    </w:r>
    <w:r>
      <w:rPr>
        <w:rStyle w:val="Pantone485"/>
        <w:lang w:val="fr-FR"/>
      </w:rPr>
      <w:t xml:space="preserve">pour </w:t>
    </w:r>
    <w:r w:rsidR="008601A8">
      <w:rPr>
        <w:rStyle w:val="Pantone485"/>
        <w:lang w:val="fr-FR"/>
      </w:rPr>
      <w:t>les transferts monétaires</w:t>
    </w:r>
    <w:r>
      <w:rPr>
        <w:rStyle w:val="Pantone485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linkStyles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3445"/>
    <w:rsid w:val="00006501"/>
    <w:rsid w:val="00032CA8"/>
    <w:rsid w:val="00036113"/>
    <w:rsid w:val="000A7CE8"/>
    <w:rsid w:val="000C5626"/>
    <w:rsid w:val="00116612"/>
    <w:rsid w:val="00121FA3"/>
    <w:rsid w:val="001247C1"/>
    <w:rsid w:val="00134C8E"/>
    <w:rsid w:val="001800BC"/>
    <w:rsid w:val="001D1AB3"/>
    <w:rsid w:val="001D2B3B"/>
    <w:rsid w:val="001D62D6"/>
    <w:rsid w:val="002835A9"/>
    <w:rsid w:val="00287871"/>
    <w:rsid w:val="002D4571"/>
    <w:rsid w:val="00346889"/>
    <w:rsid w:val="00386A25"/>
    <w:rsid w:val="003A27C4"/>
    <w:rsid w:val="003A66D4"/>
    <w:rsid w:val="003D1FDA"/>
    <w:rsid w:val="003E437A"/>
    <w:rsid w:val="0041027B"/>
    <w:rsid w:val="00417D24"/>
    <w:rsid w:val="00432521"/>
    <w:rsid w:val="004C151C"/>
    <w:rsid w:val="004E0D0B"/>
    <w:rsid w:val="004E4858"/>
    <w:rsid w:val="00595CF6"/>
    <w:rsid w:val="005A56D7"/>
    <w:rsid w:val="005C6F57"/>
    <w:rsid w:val="006040FC"/>
    <w:rsid w:val="0064153B"/>
    <w:rsid w:val="00644F50"/>
    <w:rsid w:val="0066332E"/>
    <w:rsid w:val="006921DF"/>
    <w:rsid w:val="006C72FF"/>
    <w:rsid w:val="006D074D"/>
    <w:rsid w:val="006D6B0C"/>
    <w:rsid w:val="00734FEC"/>
    <w:rsid w:val="007369B7"/>
    <w:rsid w:val="007563A1"/>
    <w:rsid w:val="007629A4"/>
    <w:rsid w:val="00764A04"/>
    <w:rsid w:val="00797AA8"/>
    <w:rsid w:val="007B57DE"/>
    <w:rsid w:val="007F3211"/>
    <w:rsid w:val="00806021"/>
    <w:rsid w:val="00840D9A"/>
    <w:rsid w:val="008601A8"/>
    <w:rsid w:val="0089205B"/>
    <w:rsid w:val="008A0153"/>
    <w:rsid w:val="008B26E5"/>
    <w:rsid w:val="008B2E2D"/>
    <w:rsid w:val="008C2AFA"/>
    <w:rsid w:val="009012EA"/>
    <w:rsid w:val="00925B66"/>
    <w:rsid w:val="00933327"/>
    <w:rsid w:val="009613B1"/>
    <w:rsid w:val="009658F2"/>
    <w:rsid w:val="00970FF7"/>
    <w:rsid w:val="00973754"/>
    <w:rsid w:val="00975F3C"/>
    <w:rsid w:val="009777FB"/>
    <w:rsid w:val="009D4BE1"/>
    <w:rsid w:val="009D6B80"/>
    <w:rsid w:val="00A03445"/>
    <w:rsid w:val="00A062A2"/>
    <w:rsid w:val="00A16B47"/>
    <w:rsid w:val="00A3639D"/>
    <w:rsid w:val="00A9099D"/>
    <w:rsid w:val="00A96F84"/>
    <w:rsid w:val="00AB7BD7"/>
    <w:rsid w:val="00AC6BD6"/>
    <w:rsid w:val="00AD4918"/>
    <w:rsid w:val="00AE0D22"/>
    <w:rsid w:val="00AF585F"/>
    <w:rsid w:val="00B252D7"/>
    <w:rsid w:val="00B3194A"/>
    <w:rsid w:val="00B343D9"/>
    <w:rsid w:val="00B66301"/>
    <w:rsid w:val="00B74E0D"/>
    <w:rsid w:val="00B85B3B"/>
    <w:rsid w:val="00BC1F3F"/>
    <w:rsid w:val="00C1316D"/>
    <w:rsid w:val="00C506FE"/>
    <w:rsid w:val="00CA04FF"/>
    <w:rsid w:val="00CB00D3"/>
    <w:rsid w:val="00CB4893"/>
    <w:rsid w:val="00CD7151"/>
    <w:rsid w:val="00CE2793"/>
    <w:rsid w:val="00E022BB"/>
    <w:rsid w:val="00E1143F"/>
    <w:rsid w:val="00E33D8D"/>
    <w:rsid w:val="00E56E59"/>
    <w:rsid w:val="00E60C6A"/>
    <w:rsid w:val="00E75BC3"/>
    <w:rsid w:val="00E962CA"/>
    <w:rsid w:val="00EA1D87"/>
    <w:rsid w:val="00EB1049"/>
    <w:rsid w:val="00EC3FB1"/>
    <w:rsid w:val="00ED3733"/>
    <w:rsid w:val="00ED70D0"/>
    <w:rsid w:val="00F25863"/>
    <w:rsid w:val="00F3100F"/>
    <w:rsid w:val="00F41AE7"/>
    <w:rsid w:val="00F51FA8"/>
    <w:rsid w:val="00F54D17"/>
    <w:rsid w:val="00F649D1"/>
    <w:rsid w:val="00F825E1"/>
    <w:rsid w:val="00FC5161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0C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6D6B0C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D6B0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B0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6B0C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6B0C"/>
    <w:rPr>
      <w:rFonts w:ascii="Arial" w:eastAsiaTheme="minorHAnsi" w:hAnsi="Arial" w:cstheme="minorBidi"/>
      <w:color w:val="auto"/>
      <w:sz w:val="20"/>
    </w:rPr>
  </w:style>
  <w:style w:type="table" w:styleId="TableGrid">
    <w:name w:val="Table Grid"/>
    <w:basedOn w:val="TableNormal"/>
    <w:uiPriority w:val="59"/>
    <w:rsid w:val="006D6B0C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C5161"/>
    <w:pPr>
      <w:spacing w:before="120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6B0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D6B0C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D6B0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D6B0C"/>
    <w:rPr>
      <w:rFonts w:ascii="Arial" w:hAnsi="Arial"/>
      <w:color w:val="auto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B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3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3B1"/>
    <w:rPr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D6B0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D6B0C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0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0C"/>
    <w:rPr>
      <w:rFonts w:ascii="Lucida Grande" w:hAnsi="Lucida Grande" w:cs="Lucida Grande"/>
      <w:color w:val="auto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6B0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6B0C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D6B0C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B0C"/>
    <w:rPr>
      <w:rFonts w:ascii="Arial" w:hAnsi="Arial"/>
      <w:b/>
      <w:color w:val="auto"/>
      <w:szCs w:val="24"/>
    </w:rPr>
  </w:style>
  <w:style w:type="paragraph" w:customStyle="1" w:styleId="Default">
    <w:name w:val="Default"/>
    <w:rsid w:val="006D6B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6D6B0C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6D6B0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D6B0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6B0C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6D6B0C"/>
    <w:rPr>
      <w:vertAlign w:val="superscript"/>
    </w:rPr>
  </w:style>
  <w:style w:type="paragraph" w:styleId="Revision">
    <w:name w:val="Revision"/>
    <w:hidden/>
    <w:uiPriority w:val="99"/>
    <w:semiHidden/>
    <w:rsid w:val="006D6B0C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D6B0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D6B0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autoRedefine/>
    <w:rsid w:val="006D6B0C"/>
    <w:pPr>
      <w:numPr>
        <w:numId w:val="1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D6B0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D6B0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D6B0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D6B0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D6B0C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6D6B0C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D6B0C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6D6B0C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D6B0C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D6B0C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D6B0C"/>
    <w:pPr>
      <w:ind w:left="567"/>
    </w:pPr>
    <w:rPr>
      <w:rFonts w:cs="Arial"/>
      <w:b/>
    </w:rPr>
  </w:style>
  <w:style w:type="paragraph" w:customStyle="1" w:styleId="Heading3NotBold">
    <w:name w:val="Heading 3 Not Bold"/>
    <w:basedOn w:val="Normal"/>
    <w:qFormat/>
    <w:rsid w:val="007563A1"/>
    <w:pPr>
      <w:widowControl w:val="0"/>
      <w:spacing w:before="240"/>
    </w:pPr>
    <w:rPr>
      <w:rFonts w:cs="Arial"/>
      <w:sz w:val="22"/>
    </w:rPr>
  </w:style>
  <w:style w:type="paragraph" w:customStyle="1" w:styleId="TitreTableau">
    <w:name w:val="Titre Tableau"/>
    <w:basedOn w:val="Normal"/>
    <w:qFormat/>
    <w:rsid w:val="006D6B0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D6B0C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0C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6D6B0C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D6B0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B0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6B0C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6B0C"/>
    <w:rPr>
      <w:rFonts w:ascii="Arial" w:eastAsiaTheme="minorHAnsi" w:hAnsi="Arial" w:cstheme="minorBidi"/>
      <w:color w:val="auto"/>
      <w:sz w:val="20"/>
    </w:rPr>
  </w:style>
  <w:style w:type="table" w:styleId="TableGrid">
    <w:name w:val="Table Grid"/>
    <w:basedOn w:val="TableNormal"/>
    <w:uiPriority w:val="59"/>
    <w:rsid w:val="006D6B0C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C5161"/>
    <w:pPr>
      <w:spacing w:before="120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6B0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D6B0C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D6B0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D6B0C"/>
    <w:rPr>
      <w:rFonts w:ascii="Arial" w:hAnsi="Arial"/>
      <w:color w:val="auto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B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3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3B1"/>
    <w:rPr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D6B0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D6B0C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0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0C"/>
    <w:rPr>
      <w:rFonts w:ascii="Lucida Grande" w:hAnsi="Lucida Grande" w:cs="Lucida Grande"/>
      <w:color w:val="auto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6B0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6B0C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D6B0C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B0C"/>
    <w:rPr>
      <w:rFonts w:ascii="Arial" w:hAnsi="Arial"/>
      <w:b/>
      <w:color w:val="auto"/>
      <w:szCs w:val="24"/>
    </w:rPr>
  </w:style>
  <w:style w:type="paragraph" w:customStyle="1" w:styleId="Default">
    <w:name w:val="Default"/>
    <w:rsid w:val="006D6B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6D6B0C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6D6B0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D6B0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6B0C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6D6B0C"/>
    <w:rPr>
      <w:vertAlign w:val="superscript"/>
    </w:rPr>
  </w:style>
  <w:style w:type="paragraph" w:styleId="Revision">
    <w:name w:val="Revision"/>
    <w:hidden/>
    <w:uiPriority w:val="99"/>
    <w:semiHidden/>
    <w:rsid w:val="006D6B0C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D6B0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D6B0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autoRedefine/>
    <w:rsid w:val="006D6B0C"/>
    <w:pPr>
      <w:numPr>
        <w:numId w:val="1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D6B0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D6B0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D6B0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D6B0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D6B0C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6D6B0C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D6B0C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6D6B0C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D6B0C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D6B0C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D6B0C"/>
    <w:pPr>
      <w:ind w:left="567"/>
    </w:pPr>
    <w:rPr>
      <w:rFonts w:cs="Arial"/>
      <w:b/>
    </w:rPr>
  </w:style>
  <w:style w:type="paragraph" w:customStyle="1" w:styleId="Heading3NotBold">
    <w:name w:val="Heading 3 Not Bold"/>
    <w:basedOn w:val="Normal"/>
    <w:qFormat/>
    <w:rsid w:val="007563A1"/>
    <w:pPr>
      <w:widowControl w:val="0"/>
      <w:spacing w:before="240"/>
    </w:pPr>
    <w:rPr>
      <w:rFonts w:cs="Arial"/>
      <w:sz w:val="22"/>
    </w:rPr>
  </w:style>
  <w:style w:type="paragraph" w:customStyle="1" w:styleId="TitreTableau">
    <w:name w:val="Titre Tableau"/>
    <w:basedOn w:val="Normal"/>
    <w:qFormat/>
    <w:rsid w:val="006D6B0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D6B0C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nap.org/resource/52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hpn.org/documents%2Fgpr11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346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54</cp:revision>
  <cp:lastPrinted>2016-03-30T10:33:00Z</cp:lastPrinted>
  <dcterms:created xsi:type="dcterms:W3CDTF">2015-06-04T09:18:00Z</dcterms:created>
  <dcterms:modified xsi:type="dcterms:W3CDTF">2016-03-30T12:04:00Z</dcterms:modified>
</cp:coreProperties>
</file>