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615" w:rsidRPr="00F4049E" w:rsidRDefault="0080338F" w:rsidP="008E5991">
      <w:pPr>
        <w:pStyle w:val="H1"/>
        <w:rPr>
          <w:rFonts w:cs="Arial"/>
          <w:lang w:val="fr-FR"/>
        </w:rPr>
      </w:pPr>
      <w:r w:rsidRPr="00F4049E">
        <w:rPr>
          <w:rFonts w:cs="Arial"/>
          <w:lang w:val="fr-FR"/>
        </w:rPr>
        <w:t>Feuille de route pour l’analyse des solutions d’intervention</w:t>
      </w:r>
    </w:p>
    <w:p w:rsidR="003179F0" w:rsidRPr="00F4049E" w:rsidRDefault="003179F0" w:rsidP="008E5991">
      <w:pPr>
        <w:pStyle w:val="H1"/>
        <w:rPr>
          <w:rFonts w:cs="Arial"/>
          <w:lang w:val="fr-FR"/>
        </w:rPr>
      </w:pPr>
    </w:p>
    <w:p w:rsidR="007D1A58" w:rsidRPr="00F4049E" w:rsidRDefault="007D1A58" w:rsidP="008E5991">
      <w:pPr>
        <w:pStyle w:val="Heading2"/>
        <w:rPr>
          <w:rFonts w:cs="Arial"/>
          <w:lang w:val="fr-FR"/>
        </w:rPr>
      </w:pPr>
      <w:r w:rsidRPr="00F4049E">
        <w:rPr>
          <w:rFonts w:cs="Arial"/>
          <w:lang w:val="fr-FR"/>
        </w:rPr>
        <w:t>INTRODUCTION</w:t>
      </w:r>
    </w:p>
    <w:p w:rsidR="0080338F" w:rsidRPr="00F4049E" w:rsidRDefault="00281261" w:rsidP="00003A3F">
      <w:pPr>
        <w:rPr>
          <w:rFonts w:cs="Arial"/>
          <w:shd w:val="clear" w:color="auto" w:fill="FFFFFF"/>
          <w:lang w:val="fr-FR" w:eastAsia="it-IT"/>
        </w:rPr>
      </w:pPr>
      <w:r w:rsidRPr="00F4049E">
        <w:rPr>
          <w:rFonts w:cs="Arial"/>
          <w:shd w:val="clear" w:color="auto" w:fill="FFFFFF"/>
          <w:lang w:val="fr-FR" w:eastAsia="it-IT"/>
        </w:rPr>
        <w:t>Cette</w:t>
      </w:r>
      <w:r w:rsidR="0080338F" w:rsidRPr="00F4049E">
        <w:rPr>
          <w:rFonts w:cs="Arial"/>
          <w:shd w:val="clear" w:color="auto" w:fill="FFFFFF"/>
          <w:lang w:val="fr-FR" w:eastAsia="it-IT"/>
        </w:rPr>
        <w:t xml:space="preserve"> feuille de route </w:t>
      </w:r>
      <w:r w:rsidR="00D0052B" w:rsidRPr="00F4049E">
        <w:rPr>
          <w:rFonts w:cs="Arial"/>
          <w:shd w:val="clear" w:color="auto" w:fill="FFFFFF"/>
          <w:lang w:val="fr-FR" w:eastAsia="it-IT"/>
        </w:rPr>
        <w:t xml:space="preserve">vous fournira de brèves </w:t>
      </w:r>
      <w:r w:rsidRPr="00F4049E">
        <w:rPr>
          <w:rFonts w:cs="Arial"/>
          <w:shd w:val="clear" w:color="auto" w:fill="FFFFFF"/>
          <w:lang w:val="fr-FR" w:eastAsia="it-IT"/>
        </w:rPr>
        <w:t xml:space="preserve">orientations sur </w:t>
      </w:r>
      <w:r w:rsidR="00D0052B" w:rsidRPr="00F4049E">
        <w:rPr>
          <w:rFonts w:cs="Arial"/>
          <w:shd w:val="clear" w:color="auto" w:fill="FFFFFF"/>
          <w:lang w:val="fr-FR" w:eastAsia="it-IT"/>
        </w:rPr>
        <w:t xml:space="preserve">le processus d’analyse des solutions d’intervention. L’analyse des solutions d’intervention </w:t>
      </w:r>
      <w:r w:rsidR="00246F45" w:rsidRPr="00F4049E">
        <w:rPr>
          <w:rFonts w:cs="Arial"/>
          <w:shd w:val="clear" w:color="auto" w:fill="FFFFFF"/>
          <w:lang w:val="fr-FR" w:eastAsia="it-IT"/>
        </w:rPr>
        <w:t>vient généralement</w:t>
      </w:r>
      <w:r w:rsidR="00D0052B" w:rsidRPr="00F4049E">
        <w:rPr>
          <w:rFonts w:cs="Arial"/>
          <w:shd w:val="clear" w:color="auto" w:fill="FFFFFF"/>
          <w:lang w:val="fr-FR" w:eastAsia="it-IT"/>
        </w:rPr>
        <w:t xml:space="preserve"> </w:t>
      </w:r>
      <w:r w:rsidRPr="00F4049E">
        <w:rPr>
          <w:rFonts w:cs="Arial"/>
          <w:shd w:val="clear" w:color="auto" w:fill="FFFFFF"/>
          <w:lang w:val="fr-FR" w:eastAsia="it-IT"/>
        </w:rPr>
        <w:t>après</w:t>
      </w:r>
      <w:r w:rsidR="00D0052B" w:rsidRPr="00F4049E">
        <w:rPr>
          <w:rFonts w:cs="Arial"/>
          <w:shd w:val="clear" w:color="auto" w:fill="FFFFFF"/>
          <w:lang w:val="fr-FR" w:eastAsia="it-IT"/>
        </w:rPr>
        <w:t xml:space="preserve"> l’évaluation initiale, </w:t>
      </w:r>
      <w:r w:rsidR="00246F45" w:rsidRPr="00F4049E">
        <w:rPr>
          <w:rFonts w:cs="Arial"/>
          <w:shd w:val="clear" w:color="auto" w:fill="FFFFFF"/>
          <w:lang w:val="fr-FR" w:eastAsia="it-IT"/>
        </w:rPr>
        <w:t xml:space="preserve">qui vise notamment à recenser les </w:t>
      </w:r>
      <w:r w:rsidR="00D0052B" w:rsidRPr="00F4049E">
        <w:rPr>
          <w:rFonts w:cs="Arial"/>
          <w:shd w:val="clear" w:color="auto" w:fill="FFFFFF"/>
          <w:lang w:val="fr-FR" w:eastAsia="it-IT"/>
        </w:rPr>
        <w:t>besoins</w:t>
      </w:r>
      <w:r w:rsidR="00FB5A96" w:rsidRPr="00F4049E">
        <w:rPr>
          <w:rStyle w:val="FootnoteReference"/>
          <w:rFonts w:cs="Arial"/>
          <w:szCs w:val="22"/>
          <w:lang w:val="fr-FR"/>
        </w:rPr>
        <w:footnoteReference w:id="1"/>
      </w:r>
      <w:r w:rsidR="00D0052B" w:rsidRPr="00F4049E">
        <w:rPr>
          <w:rFonts w:cs="Arial"/>
          <w:shd w:val="clear" w:color="auto" w:fill="FFFFFF"/>
          <w:lang w:val="fr-FR" w:eastAsia="it-IT"/>
        </w:rPr>
        <w:t xml:space="preserve"> de</w:t>
      </w:r>
      <w:r w:rsidR="00246F45" w:rsidRPr="00F4049E">
        <w:rPr>
          <w:rFonts w:cs="Arial"/>
          <w:shd w:val="clear" w:color="auto" w:fill="FFFFFF"/>
          <w:lang w:val="fr-FR" w:eastAsia="it-IT"/>
        </w:rPr>
        <w:t xml:space="preserve"> la population</w:t>
      </w:r>
      <w:r w:rsidR="00D0052B" w:rsidRPr="00F4049E">
        <w:rPr>
          <w:rFonts w:cs="Arial"/>
          <w:shd w:val="clear" w:color="auto" w:fill="FFFFFF"/>
          <w:lang w:val="fr-FR" w:eastAsia="it-IT"/>
        </w:rPr>
        <w:t xml:space="preserve"> touc</w:t>
      </w:r>
      <w:r w:rsidR="00246F45" w:rsidRPr="00F4049E">
        <w:rPr>
          <w:rFonts w:cs="Arial"/>
          <w:shd w:val="clear" w:color="auto" w:fill="FFFFFF"/>
          <w:lang w:val="fr-FR" w:eastAsia="it-IT"/>
        </w:rPr>
        <w:t>hée</w:t>
      </w:r>
      <w:r w:rsidR="00FB5A96" w:rsidRPr="00F4049E">
        <w:rPr>
          <w:rFonts w:cs="Arial"/>
          <w:shd w:val="clear" w:color="auto" w:fill="FFFFFF"/>
          <w:lang w:val="fr-FR" w:eastAsia="it-IT"/>
        </w:rPr>
        <w:t xml:space="preserve">. </w:t>
      </w:r>
      <w:r w:rsidR="00003A3F" w:rsidRPr="00F4049E">
        <w:rPr>
          <w:rFonts w:cs="Arial"/>
          <w:shd w:val="clear" w:color="auto" w:fill="FFFFFF"/>
          <w:lang w:val="fr-FR" w:eastAsia="it-IT"/>
        </w:rPr>
        <w:t>Elle</w:t>
      </w:r>
      <w:r w:rsidR="00FB5A96" w:rsidRPr="00F4049E">
        <w:rPr>
          <w:rFonts w:cs="Arial"/>
          <w:shd w:val="clear" w:color="auto" w:fill="FFFFFF"/>
          <w:lang w:val="fr-FR" w:eastAsia="it-IT"/>
        </w:rPr>
        <w:t xml:space="preserve"> vous permettra de déterminer les solutions d’intervention </w:t>
      </w:r>
      <w:r w:rsidR="00003A3F" w:rsidRPr="00F4049E">
        <w:rPr>
          <w:rFonts w:cs="Arial"/>
          <w:shd w:val="clear" w:color="auto" w:fill="FFFFFF"/>
          <w:lang w:val="fr-FR" w:eastAsia="it-IT"/>
        </w:rPr>
        <w:t>qui sont appropriées et faisables</w:t>
      </w:r>
      <w:r w:rsidR="00FB5A96" w:rsidRPr="00F4049E">
        <w:rPr>
          <w:rFonts w:cs="Arial"/>
          <w:shd w:val="clear" w:color="auto" w:fill="FFFFFF"/>
          <w:lang w:val="fr-FR" w:eastAsia="it-IT"/>
        </w:rPr>
        <w:t xml:space="preserve"> au vu des objectifs fixés pour répondre aux besoins d’urgence.</w:t>
      </w:r>
    </w:p>
    <w:p w:rsidR="00FB5A96" w:rsidRPr="00F4049E" w:rsidRDefault="003112DC" w:rsidP="00FC6422">
      <w:pPr>
        <w:rPr>
          <w:rFonts w:cs="Arial"/>
          <w:shd w:val="clear" w:color="auto" w:fill="FFFFFF"/>
          <w:lang w:val="fr-FR" w:eastAsia="it-IT"/>
        </w:rPr>
      </w:pPr>
      <w:r w:rsidRPr="00F4049E">
        <w:rPr>
          <w:rFonts w:cs="Arial"/>
          <w:shd w:val="clear" w:color="auto" w:fill="FFFFFF"/>
          <w:lang w:val="fr-FR" w:eastAsia="it-IT"/>
        </w:rPr>
        <w:t>Pour les besoins</w:t>
      </w:r>
      <w:r w:rsidR="00FB5A96" w:rsidRPr="00F4049E">
        <w:rPr>
          <w:rFonts w:cs="Arial"/>
          <w:shd w:val="clear" w:color="auto" w:fill="FFFFFF"/>
          <w:lang w:val="fr-FR" w:eastAsia="it-IT"/>
        </w:rPr>
        <w:t xml:space="preserve"> de la Boîte à outils, le processus d’analyse des solutions d’intervention a été divisé en étapes, elles-mêmes divisées en étapes subsidiaires. Chaque étape subsidiaire </w:t>
      </w:r>
      <w:r w:rsidRPr="00F4049E">
        <w:rPr>
          <w:rFonts w:cs="Arial"/>
          <w:shd w:val="clear" w:color="auto" w:fill="FFFFFF"/>
          <w:lang w:val="fr-FR" w:eastAsia="it-IT"/>
        </w:rPr>
        <w:t>comprend</w:t>
      </w:r>
      <w:r w:rsidR="00FB5A96" w:rsidRPr="00F4049E">
        <w:rPr>
          <w:rFonts w:cs="Arial"/>
          <w:shd w:val="clear" w:color="auto" w:fill="FFFFFF"/>
          <w:lang w:val="fr-FR" w:eastAsia="it-IT"/>
        </w:rPr>
        <w:t xml:space="preserve"> des outils pouvant êt</w:t>
      </w:r>
      <w:r w:rsidR="001903B1" w:rsidRPr="00F4049E">
        <w:rPr>
          <w:rFonts w:cs="Arial"/>
          <w:shd w:val="clear" w:color="auto" w:fill="FFFFFF"/>
          <w:lang w:val="fr-FR" w:eastAsia="it-IT"/>
        </w:rPr>
        <w:t xml:space="preserve">re adaptés afin d’être </w:t>
      </w:r>
      <w:r w:rsidR="00FB5A96" w:rsidRPr="00F4049E">
        <w:rPr>
          <w:rFonts w:cs="Arial"/>
          <w:shd w:val="clear" w:color="auto" w:fill="FFFFFF"/>
          <w:lang w:val="fr-FR" w:eastAsia="it-IT"/>
        </w:rPr>
        <w:t xml:space="preserve">utilisés dans </w:t>
      </w:r>
      <w:r w:rsidRPr="00F4049E">
        <w:rPr>
          <w:rFonts w:cs="Arial"/>
          <w:shd w:val="clear" w:color="auto" w:fill="FFFFFF"/>
          <w:lang w:val="fr-FR" w:eastAsia="it-IT"/>
        </w:rPr>
        <w:t>des</w:t>
      </w:r>
      <w:r w:rsidR="00FB5A96" w:rsidRPr="00F4049E">
        <w:rPr>
          <w:rFonts w:cs="Arial"/>
          <w:shd w:val="clear" w:color="auto" w:fill="FFFFFF"/>
          <w:lang w:val="fr-FR" w:eastAsia="it-IT"/>
        </w:rPr>
        <w:t xml:space="preserve"> contextes et programmes de transferts monétaires</w:t>
      </w:r>
      <w:r w:rsidRPr="00F4049E">
        <w:rPr>
          <w:rFonts w:cs="Arial"/>
          <w:shd w:val="clear" w:color="auto" w:fill="FFFFFF"/>
          <w:lang w:val="fr-FR" w:eastAsia="it-IT"/>
        </w:rPr>
        <w:t xml:space="preserve"> (PTM) variés</w:t>
      </w:r>
      <w:r w:rsidR="00FB5A96" w:rsidRPr="00F4049E">
        <w:rPr>
          <w:rFonts w:cs="Arial"/>
          <w:shd w:val="clear" w:color="auto" w:fill="FFFFFF"/>
          <w:lang w:val="fr-FR" w:eastAsia="it-IT"/>
        </w:rPr>
        <w:t xml:space="preserve">, </w:t>
      </w:r>
      <w:r w:rsidR="008601C3" w:rsidRPr="00F4049E">
        <w:rPr>
          <w:rFonts w:cs="Arial"/>
          <w:shd w:val="clear" w:color="auto" w:fill="FFFFFF"/>
          <w:lang w:val="fr-FR" w:eastAsia="it-IT"/>
        </w:rPr>
        <w:t xml:space="preserve">par différentes organisations. </w:t>
      </w:r>
      <w:r w:rsidR="00FC6422" w:rsidRPr="00F4049E">
        <w:rPr>
          <w:bCs/>
          <w:iCs/>
          <w:lang w:val="fr-FR"/>
        </w:rPr>
        <w:t>Lorsque vous adaptez les outils à votre contexte et à vos besoins, vous pouvez consulter les orientations détaillées contenues dans les documents de référence suggérés aux niveaux du module et des étapes</w:t>
      </w:r>
      <w:r w:rsidR="008601C3" w:rsidRPr="00F4049E">
        <w:rPr>
          <w:bCs/>
          <w:lang w:val="fr-FR"/>
        </w:rPr>
        <w:t xml:space="preserve">. </w:t>
      </w:r>
    </w:p>
    <w:p w:rsidR="008601C3" w:rsidRPr="00F4049E" w:rsidRDefault="004B6EBB" w:rsidP="00FC6422">
      <w:pPr>
        <w:rPr>
          <w:shd w:val="clear" w:color="auto" w:fill="FFFFFF"/>
          <w:lang w:val="fr-FR" w:eastAsia="it-IT"/>
        </w:rPr>
      </w:pPr>
      <w:r w:rsidRPr="00F4049E">
        <w:rPr>
          <w:shd w:val="clear" w:color="auto" w:fill="FFFFFF"/>
          <w:lang w:val="fr-FR" w:eastAsia="it-IT"/>
        </w:rPr>
        <w:t xml:space="preserve">Les étapes et les étapes subsidiaires sont indicatives et ne doivent pas nécessairement </w:t>
      </w:r>
      <w:r w:rsidR="003112DC" w:rsidRPr="00F4049E">
        <w:rPr>
          <w:shd w:val="clear" w:color="auto" w:fill="FFFFFF"/>
          <w:lang w:val="fr-FR" w:eastAsia="it-IT"/>
        </w:rPr>
        <w:t>être réalisées selon l’ordre proposé</w:t>
      </w:r>
      <w:r w:rsidRPr="00F4049E">
        <w:rPr>
          <w:shd w:val="clear" w:color="auto" w:fill="FFFFFF"/>
          <w:lang w:val="fr-FR" w:eastAsia="it-IT"/>
        </w:rPr>
        <w:t xml:space="preserve">. </w:t>
      </w:r>
      <w:r w:rsidR="003112DC" w:rsidRPr="00F4049E">
        <w:rPr>
          <w:shd w:val="clear" w:color="auto" w:fill="FFFFFF"/>
          <w:lang w:val="fr-FR" w:eastAsia="it-IT"/>
        </w:rPr>
        <w:t xml:space="preserve">Il est probable que vous deviez </w:t>
      </w:r>
      <w:r w:rsidRPr="00F4049E">
        <w:rPr>
          <w:shd w:val="clear" w:color="auto" w:fill="FFFFFF"/>
          <w:lang w:val="fr-FR" w:eastAsia="it-IT"/>
        </w:rPr>
        <w:t>aller et venir dans le</w:t>
      </w:r>
      <w:r w:rsidR="001903B1" w:rsidRPr="00F4049E">
        <w:rPr>
          <w:shd w:val="clear" w:color="auto" w:fill="FFFFFF"/>
          <w:lang w:val="fr-FR" w:eastAsia="it-IT"/>
        </w:rPr>
        <w:t>s documents du</w:t>
      </w:r>
      <w:r w:rsidRPr="00F4049E">
        <w:rPr>
          <w:shd w:val="clear" w:color="auto" w:fill="FFFFFF"/>
          <w:lang w:val="fr-FR" w:eastAsia="it-IT"/>
        </w:rPr>
        <w:t xml:space="preserve"> module pour obtenir les résultats </w:t>
      </w:r>
      <w:r w:rsidR="001903B1" w:rsidRPr="00F4049E">
        <w:rPr>
          <w:shd w:val="clear" w:color="auto" w:fill="FFFFFF"/>
          <w:lang w:val="fr-FR" w:eastAsia="it-IT"/>
        </w:rPr>
        <w:t>attendus</w:t>
      </w:r>
      <w:r w:rsidRPr="00F4049E">
        <w:rPr>
          <w:shd w:val="clear" w:color="auto" w:fill="FFFFFF"/>
          <w:lang w:val="fr-FR" w:eastAsia="it-IT"/>
        </w:rPr>
        <w:t xml:space="preserve">. Il se peut même que vous deviez sauter certaines des étapes ou des étapes subsidiaires proposées, en raison du manque de temps et de ressources, un problème courant dans les situations d’urgence. Dans tous les cas, vous devrez au moins respecter les normes minimales définies pour le module. Des normes minimales ont également été définies pour chaque étape afin de vous aider à </w:t>
      </w:r>
      <w:r w:rsidR="00FC6422" w:rsidRPr="00F4049E">
        <w:rPr>
          <w:shd w:val="clear" w:color="auto" w:fill="FFFFFF"/>
          <w:lang w:val="fr-FR" w:eastAsia="it-IT"/>
        </w:rPr>
        <w:t>définir</w:t>
      </w:r>
      <w:r w:rsidRPr="00F4049E">
        <w:rPr>
          <w:shd w:val="clear" w:color="auto" w:fill="FFFFFF"/>
          <w:lang w:val="fr-FR" w:eastAsia="it-IT"/>
        </w:rPr>
        <w:t xml:space="preserve"> </w:t>
      </w:r>
      <w:r w:rsidR="001903B1" w:rsidRPr="00F4049E">
        <w:rPr>
          <w:shd w:val="clear" w:color="auto" w:fill="FFFFFF"/>
          <w:lang w:val="fr-FR" w:eastAsia="it-IT"/>
        </w:rPr>
        <w:t>les</w:t>
      </w:r>
      <w:r w:rsidRPr="00F4049E">
        <w:rPr>
          <w:shd w:val="clear" w:color="auto" w:fill="FFFFFF"/>
          <w:lang w:val="fr-FR" w:eastAsia="it-IT"/>
        </w:rPr>
        <w:t xml:space="preserve"> </w:t>
      </w:r>
      <w:r w:rsidR="00FC6422" w:rsidRPr="00F4049E">
        <w:rPr>
          <w:shd w:val="clear" w:color="auto" w:fill="FFFFFF"/>
          <w:lang w:val="fr-FR" w:eastAsia="it-IT"/>
        </w:rPr>
        <w:t>aspects</w:t>
      </w:r>
      <w:r w:rsidRPr="00F4049E">
        <w:rPr>
          <w:shd w:val="clear" w:color="auto" w:fill="FFFFFF"/>
          <w:lang w:val="fr-FR" w:eastAsia="it-IT"/>
        </w:rPr>
        <w:t xml:space="preserve"> </w:t>
      </w:r>
      <w:r w:rsidR="001903B1" w:rsidRPr="00F4049E">
        <w:rPr>
          <w:shd w:val="clear" w:color="auto" w:fill="FFFFFF"/>
          <w:lang w:val="fr-FR" w:eastAsia="it-IT"/>
        </w:rPr>
        <w:t>prioritaires</w:t>
      </w:r>
      <w:r w:rsidRPr="00F4049E">
        <w:rPr>
          <w:shd w:val="clear" w:color="auto" w:fill="FFFFFF"/>
          <w:lang w:val="fr-FR" w:eastAsia="it-IT"/>
        </w:rPr>
        <w:t>.</w:t>
      </w:r>
      <w:r w:rsidR="00D65801" w:rsidRPr="00F4049E">
        <w:rPr>
          <w:shd w:val="clear" w:color="auto" w:fill="FFFFFF"/>
          <w:lang w:val="fr-FR" w:eastAsia="it-IT"/>
        </w:rPr>
        <w:t xml:space="preserve"> </w:t>
      </w:r>
    </w:p>
    <w:p w:rsidR="001B79C9" w:rsidRPr="00F4049E" w:rsidRDefault="0080338F" w:rsidP="008E5991">
      <w:pPr>
        <w:pStyle w:val="Heading2"/>
        <w:rPr>
          <w:rFonts w:cs="Arial"/>
          <w:lang w:val="fr-FR"/>
        </w:rPr>
      </w:pPr>
      <w:r w:rsidRPr="00F4049E">
        <w:rPr>
          <w:rFonts w:cs="Arial"/>
          <w:lang w:val="fr-FR"/>
        </w:rPr>
        <w:t>normes minimales</w:t>
      </w:r>
    </w:p>
    <w:p w:rsidR="004B6EBB" w:rsidRPr="00F4049E" w:rsidRDefault="004B6EBB" w:rsidP="001B79C9">
      <w:pPr>
        <w:pStyle w:val="ListParagraph"/>
        <w:numPr>
          <w:ilvl w:val="0"/>
          <w:numId w:val="14"/>
        </w:numPr>
        <w:spacing w:after="60"/>
        <w:contextualSpacing w:val="0"/>
        <w:jc w:val="left"/>
        <w:rPr>
          <w:rFonts w:eastAsia="Times New Roman" w:cs="Arial"/>
          <w:color w:val="000000"/>
          <w:szCs w:val="24"/>
          <w:lang w:val="fr-FR"/>
        </w:rPr>
      </w:pPr>
      <w:r w:rsidRPr="00F4049E">
        <w:rPr>
          <w:rFonts w:eastAsia="Times New Roman" w:cs="Arial"/>
          <w:color w:val="000000"/>
          <w:szCs w:val="24"/>
          <w:lang w:val="fr-FR"/>
        </w:rPr>
        <w:t>Les membres des départements des finances et de la logistique doivent participer au processus de sélection des modalités et des mécanismes de transfert monétaire.</w:t>
      </w:r>
    </w:p>
    <w:p w:rsidR="00F90F42" w:rsidRPr="00F4049E" w:rsidRDefault="004B6EBB" w:rsidP="001B79C9">
      <w:pPr>
        <w:pStyle w:val="ListParagraph"/>
        <w:numPr>
          <w:ilvl w:val="0"/>
          <w:numId w:val="14"/>
        </w:numPr>
        <w:spacing w:after="60"/>
        <w:contextualSpacing w:val="0"/>
        <w:jc w:val="left"/>
        <w:rPr>
          <w:rFonts w:eastAsia="Times New Roman" w:cs="Arial"/>
          <w:color w:val="000000"/>
          <w:szCs w:val="24"/>
          <w:lang w:val="fr-FR"/>
        </w:rPr>
      </w:pPr>
      <w:r w:rsidRPr="00F4049E">
        <w:rPr>
          <w:rFonts w:eastAsia="Times New Roman" w:cs="Arial"/>
          <w:color w:val="000000"/>
          <w:szCs w:val="24"/>
          <w:lang w:val="fr-FR"/>
        </w:rPr>
        <w:t>La faisabilité de cha</w:t>
      </w:r>
      <w:r w:rsidR="00D65801" w:rsidRPr="00F4049E">
        <w:rPr>
          <w:rFonts w:eastAsia="Times New Roman" w:cs="Arial"/>
          <w:color w:val="000000"/>
          <w:szCs w:val="24"/>
          <w:lang w:val="fr-FR"/>
        </w:rPr>
        <w:t>cun des mécanismes et des</w:t>
      </w:r>
      <w:r w:rsidRPr="00F4049E">
        <w:rPr>
          <w:rFonts w:eastAsia="Times New Roman" w:cs="Arial"/>
          <w:color w:val="000000"/>
          <w:szCs w:val="24"/>
          <w:lang w:val="fr-FR"/>
        </w:rPr>
        <w:t xml:space="preserve"> modalité</w:t>
      </w:r>
      <w:r w:rsidR="00D65801" w:rsidRPr="00F4049E">
        <w:rPr>
          <w:rFonts w:eastAsia="Times New Roman" w:cs="Arial"/>
          <w:color w:val="000000"/>
          <w:szCs w:val="24"/>
          <w:lang w:val="fr-FR"/>
        </w:rPr>
        <w:t>s</w:t>
      </w:r>
      <w:r w:rsidRPr="00F4049E">
        <w:rPr>
          <w:rFonts w:eastAsia="Times New Roman" w:cs="Arial"/>
          <w:color w:val="000000"/>
          <w:szCs w:val="24"/>
          <w:lang w:val="fr-FR"/>
        </w:rPr>
        <w:t xml:space="preserve"> de transfert potentiels doit être vérifiée.</w:t>
      </w:r>
    </w:p>
    <w:p w:rsidR="00853516" w:rsidRPr="00F4049E" w:rsidRDefault="004B6EBB" w:rsidP="0023442F">
      <w:pPr>
        <w:pStyle w:val="ListParagraph"/>
        <w:numPr>
          <w:ilvl w:val="0"/>
          <w:numId w:val="14"/>
        </w:numPr>
        <w:spacing w:after="60"/>
        <w:contextualSpacing w:val="0"/>
        <w:jc w:val="left"/>
        <w:rPr>
          <w:rFonts w:eastAsia="Times New Roman" w:cs="Arial"/>
          <w:color w:val="000000"/>
          <w:szCs w:val="24"/>
          <w:lang w:val="fr-FR"/>
        </w:rPr>
      </w:pPr>
      <w:r w:rsidRPr="00F4049E">
        <w:rPr>
          <w:rFonts w:eastAsia="Times New Roman" w:cs="Arial"/>
          <w:color w:val="000000"/>
          <w:szCs w:val="24"/>
          <w:lang w:val="fr-FR"/>
        </w:rPr>
        <w:t>La sélection des modalités et des mécanismes doit se fonder sur une analyse comparative</w:t>
      </w:r>
      <w:r w:rsidR="001903B1" w:rsidRPr="00F4049E">
        <w:rPr>
          <w:rFonts w:eastAsia="Times New Roman" w:cs="Arial"/>
          <w:color w:val="000000"/>
          <w:szCs w:val="24"/>
          <w:lang w:val="fr-FR"/>
        </w:rPr>
        <w:t xml:space="preserve"> </w:t>
      </w:r>
      <w:r w:rsidR="0023442F" w:rsidRPr="00F4049E">
        <w:rPr>
          <w:rFonts w:eastAsia="Times New Roman" w:cs="Arial"/>
          <w:color w:val="000000"/>
          <w:szCs w:val="24"/>
          <w:lang w:val="fr-FR"/>
        </w:rPr>
        <w:t>tenant au moins compte</w:t>
      </w:r>
      <w:r w:rsidRPr="00F4049E">
        <w:rPr>
          <w:rFonts w:eastAsia="Times New Roman" w:cs="Arial"/>
          <w:color w:val="000000"/>
          <w:szCs w:val="24"/>
          <w:lang w:val="fr-FR"/>
        </w:rPr>
        <w:t xml:space="preserve"> </w:t>
      </w:r>
      <w:r w:rsidR="0023442F" w:rsidRPr="00F4049E">
        <w:rPr>
          <w:rFonts w:eastAsia="Times New Roman" w:cs="Arial"/>
          <w:color w:val="000000"/>
          <w:szCs w:val="24"/>
          <w:lang w:val="fr-FR"/>
        </w:rPr>
        <w:t>d</w:t>
      </w:r>
      <w:r w:rsidR="003D09CC" w:rsidRPr="00F4049E">
        <w:rPr>
          <w:rFonts w:eastAsia="Times New Roman" w:cs="Arial"/>
          <w:color w:val="000000"/>
          <w:szCs w:val="24"/>
          <w:lang w:val="fr-FR"/>
        </w:rPr>
        <w:t>es risques</w:t>
      </w:r>
      <w:r w:rsidR="0023442F" w:rsidRPr="00F4049E">
        <w:rPr>
          <w:rFonts w:eastAsia="Times New Roman" w:cs="Arial"/>
          <w:color w:val="000000"/>
          <w:szCs w:val="24"/>
          <w:lang w:val="fr-FR"/>
        </w:rPr>
        <w:t xml:space="preserve">, des moyens de les atténuer et des </w:t>
      </w:r>
      <w:r w:rsidR="003D09CC" w:rsidRPr="00F4049E">
        <w:rPr>
          <w:rFonts w:eastAsia="Times New Roman" w:cs="Arial"/>
          <w:color w:val="000000"/>
          <w:szCs w:val="24"/>
          <w:lang w:val="fr-FR"/>
        </w:rPr>
        <w:t>coûts.</w:t>
      </w:r>
    </w:p>
    <w:p w:rsidR="001B79C9" w:rsidRPr="00F4049E" w:rsidRDefault="003D09CC" w:rsidP="001B79C9">
      <w:pPr>
        <w:pStyle w:val="ListParagraph"/>
        <w:numPr>
          <w:ilvl w:val="0"/>
          <w:numId w:val="14"/>
        </w:numPr>
        <w:spacing w:after="60"/>
        <w:contextualSpacing w:val="0"/>
        <w:jc w:val="left"/>
        <w:rPr>
          <w:rFonts w:eastAsia="Times New Roman" w:cs="Arial"/>
          <w:color w:val="000000"/>
          <w:szCs w:val="24"/>
          <w:lang w:val="fr-FR"/>
        </w:rPr>
      </w:pPr>
      <w:r w:rsidRPr="00F4049E">
        <w:rPr>
          <w:rFonts w:eastAsia="Times New Roman" w:cs="Arial"/>
          <w:color w:val="000000"/>
          <w:szCs w:val="24"/>
          <w:lang w:val="fr-FR"/>
        </w:rPr>
        <w:t>Les préférences des béné</w:t>
      </w:r>
      <w:r w:rsidR="0023442F" w:rsidRPr="00F4049E">
        <w:rPr>
          <w:rFonts w:eastAsia="Times New Roman" w:cs="Arial"/>
          <w:color w:val="000000"/>
          <w:szCs w:val="24"/>
          <w:lang w:val="fr-FR"/>
        </w:rPr>
        <w:t xml:space="preserve">ficiaires et leurs capacités (par </w:t>
      </w:r>
      <w:r w:rsidRPr="00F4049E">
        <w:rPr>
          <w:rFonts w:eastAsia="Times New Roman" w:cs="Arial"/>
          <w:color w:val="000000"/>
          <w:szCs w:val="24"/>
          <w:lang w:val="fr-FR"/>
        </w:rPr>
        <w:t xml:space="preserve">ex. à utiliser les technologies), ainsi que les aspects liés aux rapports </w:t>
      </w:r>
      <w:r w:rsidR="0023442F" w:rsidRPr="00F4049E">
        <w:rPr>
          <w:rFonts w:eastAsia="Times New Roman" w:cs="Arial"/>
          <w:color w:val="000000"/>
          <w:szCs w:val="24"/>
          <w:lang w:val="fr-FR"/>
        </w:rPr>
        <w:t xml:space="preserve">de force </w:t>
      </w:r>
      <w:r w:rsidRPr="00F4049E">
        <w:rPr>
          <w:rFonts w:eastAsia="Times New Roman" w:cs="Arial"/>
          <w:color w:val="000000"/>
          <w:szCs w:val="24"/>
          <w:lang w:val="fr-FR"/>
        </w:rPr>
        <w:t xml:space="preserve">au sein des ménages, doivent être pris en compte. </w:t>
      </w:r>
    </w:p>
    <w:p w:rsidR="001B79C9" w:rsidRPr="00F4049E" w:rsidRDefault="001569C2" w:rsidP="001B79C9">
      <w:pPr>
        <w:pStyle w:val="ListParagraph"/>
        <w:numPr>
          <w:ilvl w:val="0"/>
          <w:numId w:val="14"/>
        </w:numPr>
        <w:spacing w:after="60"/>
        <w:contextualSpacing w:val="0"/>
        <w:jc w:val="left"/>
        <w:rPr>
          <w:rFonts w:eastAsia="Times New Roman" w:cs="Arial"/>
          <w:color w:val="000000"/>
          <w:szCs w:val="24"/>
          <w:lang w:val="fr-FR"/>
        </w:rPr>
      </w:pPr>
      <w:r w:rsidRPr="00F4049E">
        <w:rPr>
          <w:rFonts w:eastAsia="Times New Roman" w:cs="Arial"/>
          <w:color w:val="000000"/>
          <w:szCs w:val="24"/>
          <w:lang w:val="fr-FR"/>
        </w:rPr>
        <w:t>La capacité de</w:t>
      </w:r>
      <w:r w:rsidR="003D09CC" w:rsidRPr="00F4049E">
        <w:rPr>
          <w:rFonts w:eastAsia="Times New Roman" w:cs="Arial"/>
          <w:color w:val="000000"/>
          <w:szCs w:val="24"/>
          <w:lang w:val="fr-FR"/>
        </w:rPr>
        <w:t xml:space="preserve"> </w:t>
      </w:r>
      <w:r w:rsidRPr="00F4049E">
        <w:rPr>
          <w:rFonts w:eastAsia="Times New Roman" w:cs="Arial"/>
          <w:color w:val="000000"/>
          <w:szCs w:val="24"/>
          <w:lang w:val="fr-FR"/>
        </w:rPr>
        <w:t>l’organisme</w:t>
      </w:r>
      <w:r w:rsidR="003D09CC" w:rsidRPr="00F4049E">
        <w:rPr>
          <w:rFonts w:eastAsia="Times New Roman" w:cs="Arial"/>
          <w:color w:val="000000"/>
          <w:szCs w:val="24"/>
          <w:lang w:val="fr-FR"/>
        </w:rPr>
        <w:t>/</w:t>
      </w:r>
      <w:r w:rsidRPr="00F4049E">
        <w:rPr>
          <w:rFonts w:eastAsia="Times New Roman" w:cs="Arial"/>
          <w:color w:val="000000"/>
          <w:szCs w:val="24"/>
          <w:lang w:val="fr-FR"/>
        </w:rPr>
        <w:t xml:space="preserve">des </w:t>
      </w:r>
      <w:r w:rsidR="003D09CC" w:rsidRPr="00F4049E">
        <w:rPr>
          <w:rFonts w:eastAsia="Times New Roman" w:cs="Arial"/>
          <w:color w:val="000000"/>
          <w:szCs w:val="24"/>
          <w:lang w:val="fr-FR"/>
        </w:rPr>
        <w:t>partenaires à distribuer des espèces par le biais des modalités/mécanismes sélectionnés doit être prise en compte.</w:t>
      </w:r>
    </w:p>
    <w:p w:rsidR="00E01226" w:rsidRPr="00F4049E" w:rsidRDefault="00305BE1" w:rsidP="00E01226">
      <w:pPr>
        <w:pStyle w:val="ListParagraph"/>
        <w:numPr>
          <w:ilvl w:val="0"/>
          <w:numId w:val="14"/>
        </w:numPr>
        <w:spacing w:after="60"/>
        <w:contextualSpacing w:val="0"/>
        <w:jc w:val="left"/>
        <w:rPr>
          <w:rFonts w:eastAsia="Times New Roman" w:cs="Arial"/>
          <w:color w:val="000000"/>
          <w:szCs w:val="24"/>
          <w:lang w:val="fr-FR"/>
        </w:rPr>
      </w:pPr>
      <w:r w:rsidRPr="00F4049E">
        <w:rPr>
          <w:rFonts w:eastAsia="Times New Roman" w:cs="Arial"/>
          <w:color w:val="000000"/>
          <w:szCs w:val="24"/>
          <w:lang w:val="fr-FR"/>
        </w:rPr>
        <w:t xml:space="preserve">Les solutions d’intervention doivent être en adéquation avec les politiques et les pratiques du gouvernement local et d’autres acteurs humanitaires. </w:t>
      </w:r>
    </w:p>
    <w:p w:rsidR="00305BE1" w:rsidRPr="00F4049E" w:rsidRDefault="00305BE1" w:rsidP="00527882">
      <w:pPr>
        <w:pStyle w:val="ListParagraph"/>
        <w:numPr>
          <w:ilvl w:val="0"/>
          <w:numId w:val="16"/>
        </w:numPr>
        <w:spacing w:after="60"/>
        <w:contextualSpacing w:val="0"/>
        <w:jc w:val="left"/>
        <w:rPr>
          <w:rFonts w:eastAsia="Times New Roman" w:cs="Arial"/>
          <w:color w:val="000000"/>
          <w:szCs w:val="24"/>
          <w:lang w:val="fr-FR"/>
        </w:rPr>
      </w:pPr>
      <w:r w:rsidRPr="00F4049E">
        <w:rPr>
          <w:rFonts w:eastAsia="Times New Roman" w:cs="Arial"/>
          <w:color w:val="000000"/>
          <w:szCs w:val="24"/>
          <w:lang w:val="fr-FR"/>
        </w:rPr>
        <w:t>Le montant et la durée des transferts monétai</w:t>
      </w:r>
      <w:r w:rsidR="00E754E1" w:rsidRPr="00F4049E">
        <w:rPr>
          <w:rFonts w:eastAsia="Times New Roman" w:cs="Arial"/>
          <w:color w:val="000000"/>
          <w:szCs w:val="24"/>
          <w:lang w:val="fr-FR"/>
        </w:rPr>
        <w:t xml:space="preserve">res doivent </w:t>
      </w:r>
      <w:r w:rsidR="001903B1" w:rsidRPr="00F4049E">
        <w:rPr>
          <w:rFonts w:eastAsia="Times New Roman" w:cs="Arial"/>
          <w:color w:val="000000"/>
          <w:szCs w:val="24"/>
          <w:lang w:val="fr-FR"/>
        </w:rPr>
        <w:t>correspondre à</w:t>
      </w:r>
      <w:r w:rsidR="00E754E1" w:rsidRPr="00F4049E">
        <w:rPr>
          <w:rFonts w:eastAsia="Times New Roman" w:cs="Arial"/>
          <w:color w:val="000000"/>
          <w:szCs w:val="24"/>
          <w:lang w:val="fr-FR"/>
        </w:rPr>
        <w:t xml:space="preserve"> ce dont les ménages ont besoin pour atteindre l’objectif du programme sans recourir à des stratégies d’adaptation néfastes</w:t>
      </w:r>
      <w:r w:rsidR="00ED35DF" w:rsidRPr="00F4049E">
        <w:rPr>
          <w:rFonts w:eastAsia="Times New Roman" w:cs="Arial"/>
          <w:color w:val="000000"/>
          <w:szCs w:val="24"/>
          <w:lang w:val="fr-FR"/>
        </w:rPr>
        <w:t xml:space="preserve">. Le montant doit </w:t>
      </w:r>
      <w:r w:rsidR="001903B1" w:rsidRPr="00F4049E">
        <w:rPr>
          <w:rFonts w:eastAsia="Times New Roman" w:cs="Arial"/>
          <w:color w:val="000000"/>
          <w:szCs w:val="24"/>
          <w:lang w:val="fr-FR"/>
        </w:rPr>
        <w:t>être discuté</w:t>
      </w:r>
      <w:r w:rsidR="00ED35DF" w:rsidRPr="00F4049E">
        <w:rPr>
          <w:rFonts w:eastAsia="Times New Roman" w:cs="Arial"/>
          <w:color w:val="000000"/>
          <w:szCs w:val="24"/>
          <w:lang w:val="fr-FR"/>
        </w:rPr>
        <w:t xml:space="preserve"> avec la communauté.</w:t>
      </w:r>
    </w:p>
    <w:p w:rsidR="00527882" w:rsidRPr="00F4049E" w:rsidRDefault="00ED35DF" w:rsidP="00527882">
      <w:pPr>
        <w:pStyle w:val="ListParagraph"/>
        <w:numPr>
          <w:ilvl w:val="0"/>
          <w:numId w:val="16"/>
        </w:numPr>
        <w:spacing w:after="60"/>
        <w:contextualSpacing w:val="0"/>
        <w:jc w:val="left"/>
        <w:rPr>
          <w:rFonts w:eastAsia="Times New Roman" w:cs="Arial"/>
          <w:color w:val="000000"/>
          <w:szCs w:val="24"/>
          <w:lang w:val="fr-FR"/>
        </w:rPr>
      </w:pPr>
      <w:r w:rsidRPr="00F4049E">
        <w:rPr>
          <w:rFonts w:eastAsia="Times New Roman" w:cs="Arial"/>
          <w:color w:val="000000"/>
          <w:szCs w:val="24"/>
          <w:lang w:val="fr-FR"/>
        </w:rPr>
        <w:t xml:space="preserve">Les critères </w:t>
      </w:r>
      <w:r w:rsidR="001219AD" w:rsidRPr="00F4049E">
        <w:rPr>
          <w:rFonts w:eastAsia="Times New Roman" w:cs="Arial"/>
          <w:color w:val="000000"/>
          <w:szCs w:val="24"/>
          <w:lang w:val="fr-FR"/>
        </w:rPr>
        <w:t>de ciblage</w:t>
      </w:r>
      <w:r w:rsidRPr="00F4049E">
        <w:rPr>
          <w:rFonts w:eastAsia="Times New Roman" w:cs="Arial"/>
          <w:color w:val="000000"/>
          <w:szCs w:val="24"/>
          <w:lang w:val="fr-FR"/>
        </w:rPr>
        <w:t xml:space="preserve"> doivent être liés aux objectifs de l’intervention, adaptés à la population locale et au contexte,</w:t>
      </w:r>
      <w:r w:rsidR="00D65801" w:rsidRPr="00F4049E">
        <w:rPr>
          <w:rFonts w:eastAsia="Times New Roman" w:cs="Arial"/>
          <w:color w:val="000000"/>
          <w:szCs w:val="24"/>
          <w:lang w:val="fr-FR"/>
        </w:rPr>
        <w:t xml:space="preserve"> et fais</w:t>
      </w:r>
      <w:r w:rsidRPr="00F4049E">
        <w:rPr>
          <w:rFonts w:eastAsia="Times New Roman" w:cs="Arial"/>
          <w:color w:val="000000"/>
          <w:szCs w:val="24"/>
          <w:lang w:val="fr-FR"/>
        </w:rPr>
        <w:t>ables au regard des ressources disponibles.</w:t>
      </w:r>
    </w:p>
    <w:p w:rsidR="001B79C9" w:rsidRPr="00F4049E" w:rsidRDefault="00ED35DF" w:rsidP="001B79C9">
      <w:pPr>
        <w:pStyle w:val="ListParagraph"/>
        <w:numPr>
          <w:ilvl w:val="0"/>
          <w:numId w:val="16"/>
        </w:numPr>
        <w:spacing w:after="60"/>
        <w:contextualSpacing w:val="0"/>
        <w:jc w:val="left"/>
        <w:rPr>
          <w:rFonts w:eastAsia="Times New Roman" w:cs="Arial"/>
          <w:lang w:val="fr-FR"/>
        </w:rPr>
      </w:pPr>
      <w:r w:rsidRPr="00F4049E">
        <w:rPr>
          <w:rFonts w:eastAsia="Times New Roman" w:cs="Arial"/>
          <w:lang w:val="fr-FR"/>
        </w:rPr>
        <w:lastRenderedPageBreak/>
        <w:t>Le choix du mécanisme d</w:t>
      </w:r>
      <w:r w:rsidR="001219AD" w:rsidRPr="00F4049E">
        <w:rPr>
          <w:rFonts w:eastAsia="Times New Roman" w:cs="Arial"/>
          <w:lang w:val="fr-FR"/>
        </w:rPr>
        <w:t>e ciblage</w:t>
      </w:r>
      <w:r w:rsidRPr="00F4049E">
        <w:rPr>
          <w:rFonts w:eastAsia="Times New Roman" w:cs="Arial"/>
          <w:lang w:val="fr-FR"/>
        </w:rPr>
        <w:t xml:space="preserve"> doit prendre en compte les</w:t>
      </w:r>
      <w:r w:rsidR="00D65801" w:rsidRPr="00F4049E">
        <w:rPr>
          <w:rFonts w:eastAsia="Times New Roman" w:cs="Arial"/>
          <w:lang w:val="fr-FR"/>
        </w:rPr>
        <w:t xml:space="preserve"> aspects liés aux</w:t>
      </w:r>
      <w:r w:rsidRPr="00F4049E">
        <w:rPr>
          <w:rFonts w:eastAsia="Times New Roman" w:cs="Arial"/>
          <w:lang w:val="fr-FR"/>
        </w:rPr>
        <w:t xml:space="preserve"> coûts, </w:t>
      </w:r>
      <w:r w:rsidR="00D65801" w:rsidRPr="00F4049E">
        <w:rPr>
          <w:rFonts w:eastAsia="Times New Roman" w:cs="Arial"/>
          <w:lang w:val="fr-FR"/>
        </w:rPr>
        <w:t>à la précision</w:t>
      </w:r>
      <w:r w:rsidRPr="00F4049E">
        <w:rPr>
          <w:rFonts w:eastAsia="Times New Roman" w:cs="Arial"/>
          <w:lang w:val="fr-FR"/>
        </w:rPr>
        <w:t xml:space="preserve">, </w:t>
      </w:r>
      <w:r w:rsidR="00D65801" w:rsidRPr="00F4049E">
        <w:rPr>
          <w:rFonts w:eastAsia="Times New Roman" w:cs="Arial"/>
          <w:lang w:val="fr-FR"/>
        </w:rPr>
        <w:t xml:space="preserve">à </w:t>
      </w:r>
      <w:r w:rsidRPr="00F4049E">
        <w:rPr>
          <w:rFonts w:eastAsia="Times New Roman" w:cs="Arial"/>
          <w:lang w:val="fr-FR"/>
        </w:rPr>
        <w:t xml:space="preserve">la faisabilité et </w:t>
      </w:r>
      <w:r w:rsidR="00D65801" w:rsidRPr="00F4049E">
        <w:rPr>
          <w:rFonts w:eastAsia="Times New Roman" w:cs="Arial"/>
          <w:lang w:val="fr-FR"/>
        </w:rPr>
        <w:t>au calendrier</w:t>
      </w:r>
      <w:r w:rsidRPr="00F4049E">
        <w:rPr>
          <w:rFonts w:eastAsia="Times New Roman" w:cs="Arial"/>
          <w:lang w:val="fr-FR"/>
        </w:rPr>
        <w:t>.</w:t>
      </w:r>
    </w:p>
    <w:p w:rsidR="006D3A93" w:rsidRPr="00F4049E" w:rsidRDefault="00ED35DF" w:rsidP="00DE5AA0">
      <w:pPr>
        <w:pStyle w:val="ListParagraph"/>
        <w:numPr>
          <w:ilvl w:val="0"/>
          <w:numId w:val="16"/>
        </w:numPr>
        <w:spacing w:after="60"/>
        <w:contextualSpacing w:val="0"/>
        <w:jc w:val="left"/>
        <w:rPr>
          <w:rFonts w:eastAsia="Times New Roman" w:cs="Arial"/>
          <w:lang w:val="fr-FR"/>
        </w:rPr>
      </w:pPr>
      <w:r w:rsidRPr="00F4049E">
        <w:rPr>
          <w:rFonts w:eastAsia="Times New Roman" w:cs="Arial"/>
          <w:lang w:val="fr-FR"/>
        </w:rPr>
        <w:t xml:space="preserve">Les programmes « argent contre travail » doivent être envisagés lorsque des travaux </w:t>
      </w:r>
      <w:r w:rsidR="001903B1" w:rsidRPr="00F4049E">
        <w:rPr>
          <w:rFonts w:eastAsia="Times New Roman" w:cs="Arial"/>
          <w:lang w:val="fr-FR"/>
        </w:rPr>
        <w:t xml:space="preserve">d’intérêt </w:t>
      </w:r>
      <w:r w:rsidRPr="00F4049E">
        <w:rPr>
          <w:rFonts w:eastAsia="Times New Roman" w:cs="Arial"/>
          <w:lang w:val="fr-FR"/>
        </w:rPr>
        <w:t>communaut</w:t>
      </w:r>
      <w:r w:rsidR="001903B1" w:rsidRPr="00F4049E">
        <w:rPr>
          <w:rFonts w:eastAsia="Times New Roman" w:cs="Arial"/>
          <w:lang w:val="fr-FR"/>
        </w:rPr>
        <w:t>aire</w:t>
      </w:r>
      <w:r w:rsidRPr="00F4049E">
        <w:rPr>
          <w:rFonts w:eastAsia="Times New Roman" w:cs="Arial"/>
          <w:lang w:val="fr-FR"/>
        </w:rPr>
        <w:t xml:space="preserve"> sont nécessaires, </w:t>
      </w:r>
      <w:r w:rsidR="00DE5AA0" w:rsidRPr="00F4049E">
        <w:rPr>
          <w:rFonts w:eastAsia="Times New Roman" w:cs="Arial"/>
          <w:lang w:val="fr-FR"/>
        </w:rPr>
        <w:t>qu’ils</w:t>
      </w:r>
      <w:r w:rsidRPr="00F4049E">
        <w:rPr>
          <w:rFonts w:eastAsia="Times New Roman" w:cs="Arial"/>
          <w:lang w:val="fr-FR"/>
        </w:rPr>
        <w:t xml:space="preserve"> </w:t>
      </w:r>
      <w:r w:rsidR="001903B1" w:rsidRPr="00F4049E">
        <w:rPr>
          <w:rFonts w:eastAsia="Times New Roman" w:cs="Arial"/>
          <w:lang w:val="fr-FR"/>
        </w:rPr>
        <w:t xml:space="preserve">peuvent </w:t>
      </w:r>
      <w:r w:rsidRPr="00F4049E">
        <w:rPr>
          <w:rFonts w:eastAsia="Times New Roman" w:cs="Arial"/>
          <w:lang w:val="fr-FR"/>
        </w:rPr>
        <w:t>être acceptés et réalisés par la population locale et qu’ils n’interfèrent pas avec les moyens de subsistance traditionnels.</w:t>
      </w:r>
    </w:p>
    <w:p w:rsidR="00D528AB" w:rsidRPr="00F4049E" w:rsidRDefault="0080338F" w:rsidP="008E5991">
      <w:pPr>
        <w:pStyle w:val="Heading2"/>
        <w:rPr>
          <w:rFonts w:cs="Arial"/>
          <w:lang w:val="fr-FR"/>
        </w:rPr>
      </w:pPr>
      <w:r w:rsidRPr="00F4049E">
        <w:rPr>
          <w:rFonts w:cs="Arial"/>
          <w:lang w:val="fr-FR"/>
        </w:rPr>
        <w:t>Étapes et Étapes subsidiaires</w:t>
      </w:r>
    </w:p>
    <w:p w:rsidR="008818AA" w:rsidRPr="00F4049E" w:rsidRDefault="008818AA" w:rsidP="00733EF0">
      <w:pPr>
        <w:rPr>
          <w:lang w:val="fr-FR"/>
        </w:rPr>
      </w:pPr>
      <w:r w:rsidRPr="00F4049E">
        <w:rPr>
          <w:lang w:val="fr-FR"/>
        </w:rPr>
        <w:t xml:space="preserve">La Boîte à outils pour </w:t>
      </w:r>
      <w:r w:rsidR="00DE5AA0" w:rsidRPr="00F4049E">
        <w:rPr>
          <w:lang w:val="fr-FR"/>
        </w:rPr>
        <w:t>les transferts monétaires</w:t>
      </w:r>
      <w:r w:rsidRPr="00F4049E">
        <w:rPr>
          <w:lang w:val="fr-FR"/>
        </w:rPr>
        <w:t xml:space="preserve"> dans les situations d’urgence </w:t>
      </w:r>
      <w:r w:rsidR="00D65801" w:rsidRPr="00F4049E">
        <w:rPr>
          <w:lang w:val="fr-FR"/>
        </w:rPr>
        <w:t>définit</w:t>
      </w:r>
      <w:r w:rsidRPr="00F4049E">
        <w:rPr>
          <w:lang w:val="fr-FR"/>
        </w:rPr>
        <w:t xml:space="preserve"> trois étapes </w:t>
      </w:r>
      <w:r w:rsidR="00D65801" w:rsidRPr="00F4049E">
        <w:rPr>
          <w:lang w:val="fr-FR"/>
        </w:rPr>
        <w:t xml:space="preserve">pour </w:t>
      </w:r>
      <w:r w:rsidRPr="00F4049E">
        <w:rPr>
          <w:lang w:val="fr-FR"/>
        </w:rPr>
        <w:t xml:space="preserve">le processus d’analyse des solutions d’intervention. </w:t>
      </w:r>
      <w:r w:rsidR="00733EF0" w:rsidRPr="00F4049E">
        <w:rPr>
          <w:lang w:val="fr-FR"/>
        </w:rPr>
        <w:t>Elle contient des</w:t>
      </w:r>
      <w:r w:rsidRPr="00F4049E">
        <w:rPr>
          <w:lang w:val="fr-FR"/>
        </w:rPr>
        <w:t xml:space="preserve"> ressources </w:t>
      </w:r>
      <w:r w:rsidR="00733EF0" w:rsidRPr="00F4049E">
        <w:rPr>
          <w:lang w:val="fr-FR"/>
        </w:rPr>
        <w:t xml:space="preserve">visant à </w:t>
      </w:r>
      <w:r w:rsidR="005D1F39" w:rsidRPr="00F4049E">
        <w:rPr>
          <w:lang w:val="fr-FR"/>
        </w:rPr>
        <w:t>vous aider à</w:t>
      </w:r>
      <w:r w:rsidRPr="00F4049E">
        <w:rPr>
          <w:lang w:val="fr-FR"/>
        </w:rPr>
        <w:t> :</w:t>
      </w:r>
    </w:p>
    <w:p w:rsidR="00E73559" w:rsidRPr="00F4049E" w:rsidRDefault="00802F9A" w:rsidP="008221D6">
      <w:pPr>
        <w:rPr>
          <w:lang w:val="fr-FR"/>
        </w:rPr>
      </w:pPr>
      <w:r w:rsidRPr="00F4049E">
        <w:rPr>
          <w:b/>
          <w:lang w:val="fr-FR"/>
        </w:rPr>
        <w:t>Sélectionner les modalités et les mécanismes de transfert monétaire</w:t>
      </w:r>
      <w:r w:rsidRPr="00F4049E">
        <w:rPr>
          <w:lang w:val="fr-FR"/>
        </w:rPr>
        <w:t xml:space="preserve"> les plus adaptés aux besoins des populations touchées et aux objectifs de l’intervention d’</w:t>
      </w:r>
      <w:r w:rsidR="00750B43" w:rsidRPr="00F4049E">
        <w:rPr>
          <w:lang w:val="fr-FR"/>
        </w:rPr>
        <w:t>urgence. Ce processus commence par l’analyse des solutions d’intervention potentielles. Dans le cas où les transferts monétaires s</w:t>
      </w:r>
      <w:r w:rsidR="00985B20" w:rsidRPr="00F4049E">
        <w:rPr>
          <w:lang w:val="fr-FR"/>
        </w:rPr>
        <w:t>o</w:t>
      </w:r>
      <w:r w:rsidR="00750B43" w:rsidRPr="00F4049E">
        <w:rPr>
          <w:lang w:val="fr-FR"/>
        </w:rPr>
        <w:t xml:space="preserve">nt envisagés, vous devez tout d’abord vous assurer qu’il s’agit d’une solution faisable, compte tenu des conditions du marché, des capacités organisationnelles et des politiques gouvernementales, entre autres. </w:t>
      </w:r>
      <w:r w:rsidR="00985B20" w:rsidRPr="00F4049E">
        <w:rPr>
          <w:lang w:val="fr-FR"/>
        </w:rPr>
        <w:t>La</w:t>
      </w:r>
      <w:r w:rsidR="00750B43" w:rsidRPr="00F4049E">
        <w:rPr>
          <w:lang w:val="fr-FR"/>
        </w:rPr>
        <w:t xml:space="preserve"> décision finale d’opter pour </w:t>
      </w:r>
      <w:r w:rsidR="00985B20" w:rsidRPr="00F4049E">
        <w:rPr>
          <w:lang w:val="fr-FR"/>
        </w:rPr>
        <w:t>une opération</w:t>
      </w:r>
      <w:r w:rsidR="00750B43" w:rsidRPr="00F4049E">
        <w:rPr>
          <w:lang w:val="fr-FR"/>
        </w:rPr>
        <w:t xml:space="preserve"> de transferts monétaires ou pour une autre solution d’intervention devra être fondée sur une analyse comparative, laquelle doit au moins prendre en compte : l’adéquation de la solution au regard des objectifs de l’intervention, la capacité de l’organisme à mettre en œuvre les différents mécanismes/modalités, les préférences des bénéficiair</w:t>
      </w:r>
      <w:r w:rsidR="00733EF0" w:rsidRPr="00F4049E">
        <w:rPr>
          <w:lang w:val="fr-FR"/>
        </w:rPr>
        <w:t>es, les capacités, les risques, les moyens d’atténuer les risques</w:t>
      </w:r>
      <w:r w:rsidR="00750B43" w:rsidRPr="00F4049E">
        <w:rPr>
          <w:lang w:val="fr-FR"/>
        </w:rPr>
        <w:t xml:space="preserve"> et les coûts. Le processus de sélection des modalités et des mécanismes de transfert monétaire doit </w:t>
      </w:r>
      <w:r w:rsidR="00127FA5" w:rsidRPr="00F4049E">
        <w:rPr>
          <w:lang w:val="fr-FR"/>
        </w:rPr>
        <w:t>se faire en collaboration avec</w:t>
      </w:r>
      <w:r w:rsidR="00750B43" w:rsidRPr="00F4049E">
        <w:rPr>
          <w:lang w:val="fr-FR"/>
        </w:rPr>
        <w:t xml:space="preserve"> différents départements, notamment les départements des finances et de la logistique, et l</w:t>
      </w:r>
      <w:r w:rsidR="001219AD" w:rsidRPr="00F4049E">
        <w:rPr>
          <w:lang w:val="fr-FR"/>
        </w:rPr>
        <w:t xml:space="preserve">es raisons </w:t>
      </w:r>
      <w:r w:rsidR="008221D6" w:rsidRPr="00F4049E">
        <w:rPr>
          <w:lang w:val="fr-FR"/>
        </w:rPr>
        <w:t>ayant motivé le</w:t>
      </w:r>
      <w:r w:rsidR="001219AD" w:rsidRPr="00F4049E">
        <w:rPr>
          <w:lang w:val="fr-FR"/>
        </w:rPr>
        <w:t xml:space="preserve"> choix final doivent être communiquées aux parties prenantes clés.</w:t>
      </w:r>
    </w:p>
    <w:p w:rsidR="001219AD" w:rsidRPr="00F4049E" w:rsidRDefault="001219AD" w:rsidP="003179F0">
      <w:pPr>
        <w:rPr>
          <w:shd w:val="clear" w:color="auto" w:fill="FFFFFF"/>
          <w:lang w:val="fr-FR" w:eastAsia="it-IT"/>
        </w:rPr>
      </w:pPr>
      <w:r w:rsidRPr="00F4049E">
        <w:rPr>
          <w:b/>
          <w:shd w:val="clear" w:color="auto" w:fill="FFFFFF"/>
          <w:lang w:val="fr-FR" w:eastAsia="it-IT"/>
        </w:rPr>
        <w:t xml:space="preserve">Prendre des décisions concernant les transferts, </w:t>
      </w:r>
      <w:r w:rsidRPr="00F4049E">
        <w:rPr>
          <w:shd w:val="clear" w:color="auto" w:fill="FFFFFF"/>
          <w:lang w:val="fr-FR" w:eastAsia="it-IT"/>
        </w:rPr>
        <w:t>en particulier concernant leur montant et leur fréquence, et la nécessité ou non de les adapter à la taille des ménages et à l’évolution des prix.</w:t>
      </w:r>
    </w:p>
    <w:p w:rsidR="00D528AB" w:rsidRPr="00F4049E" w:rsidRDefault="001219AD" w:rsidP="00EA3A9B">
      <w:pPr>
        <w:spacing w:after="360"/>
        <w:rPr>
          <w:lang w:val="fr-FR"/>
        </w:rPr>
      </w:pPr>
      <w:r w:rsidRPr="00F4049E">
        <w:rPr>
          <w:b/>
          <w:lang w:val="fr-FR"/>
        </w:rPr>
        <w:t xml:space="preserve">Prendre des décisions </w:t>
      </w:r>
      <w:r w:rsidR="00985B20" w:rsidRPr="00F4049E">
        <w:rPr>
          <w:b/>
          <w:lang w:val="fr-FR"/>
        </w:rPr>
        <w:t>concernant</w:t>
      </w:r>
      <w:r w:rsidRPr="00F4049E">
        <w:rPr>
          <w:b/>
          <w:lang w:val="fr-FR"/>
        </w:rPr>
        <w:t xml:space="preserve"> le ciblage des transferts, </w:t>
      </w:r>
      <w:r w:rsidRPr="00F4049E">
        <w:rPr>
          <w:lang w:val="fr-FR"/>
        </w:rPr>
        <w:t xml:space="preserve">en commençant par déterminer si les distributions doivent être générales ou ciblées. Les étapes </w:t>
      </w:r>
      <w:r w:rsidR="00681B2C" w:rsidRPr="00F4049E">
        <w:rPr>
          <w:lang w:val="fr-FR"/>
        </w:rPr>
        <w:t>d</w:t>
      </w:r>
      <w:r w:rsidRPr="00F4049E">
        <w:rPr>
          <w:lang w:val="fr-FR"/>
        </w:rPr>
        <w:t xml:space="preserve">u ciblage incluent habituellement un premier ciblage géographique, </w:t>
      </w:r>
      <w:r w:rsidR="00985B20" w:rsidRPr="00F4049E">
        <w:rPr>
          <w:lang w:val="fr-FR"/>
        </w:rPr>
        <w:t xml:space="preserve">puis </w:t>
      </w:r>
      <w:r w:rsidRPr="00F4049E">
        <w:rPr>
          <w:lang w:val="fr-FR"/>
        </w:rPr>
        <w:t xml:space="preserve">la sélection des ménages/individus. Les décisions relatives au ciblage doivent être prises au début du processus d’analyse des solutions d’intervention, car elles </w:t>
      </w:r>
      <w:r w:rsidR="00D86CA2" w:rsidRPr="00F4049E">
        <w:rPr>
          <w:lang w:val="fr-FR"/>
        </w:rPr>
        <w:t xml:space="preserve">ont une incidence sur le choix des modalités et des mécanismes d’intervention. Pour sélectionner les ménages/individus, vous devez tout d’abord définir </w:t>
      </w:r>
      <w:r w:rsidR="00985B20" w:rsidRPr="00F4049E">
        <w:rPr>
          <w:lang w:val="fr-FR"/>
        </w:rPr>
        <w:t>d</w:t>
      </w:r>
      <w:r w:rsidR="00D86CA2" w:rsidRPr="00F4049E">
        <w:rPr>
          <w:lang w:val="fr-FR"/>
        </w:rPr>
        <w:t xml:space="preserve">es critères de ciblage appropriés (généralement </w:t>
      </w:r>
      <w:r w:rsidR="00985B20" w:rsidRPr="00F4049E">
        <w:rPr>
          <w:lang w:val="fr-FR"/>
        </w:rPr>
        <w:t>sur la base d</w:t>
      </w:r>
      <w:r w:rsidR="00D86CA2" w:rsidRPr="00F4049E">
        <w:rPr>
          <w:lang w:val="fr-FR"/>
        </w:rPr>
        <w:t xml:space="preserve">es indicateurs de vulnérabilité). Il est conseillé d’inviter les membres de la communauté à participer à la définition des critères de ciblage. </w:t>
      </w:r>
      <w:r w:rsidR="00985B20" w:rsidRPr="00F4049E">
        <w:rPr>
          <w:lang w:val="fr-FR"/>
        </w:rPr>
        <w:t xml:space="preserve">Le choix des </w:t>
      </w:r>
      <w:r w:rsidR="00D86CA2" w:rsidRPr="00F4049E">
        <w:rPr>
          <w:lang w:val="fr-FR"/>
        </w:rPr>
        <w:t>mécanismes de ciblage</w:t>
      </w:r>
      <w:r w:rsidR="00985B20" w:rsidRPr="00F4049E">
        <w:rPr>
          <w:lang w:val="fr-FR"/>
        </w:rPr>
        <w:t xml:space="preserve"> </w:t>
      </w:r>
      <w:r w:rsidR="00D94FBB" w:rsidRPr="00F4049E">
        <w:rPr>
          <w:lang w:val="fr-FR"/>
        </w:rPr>
        <w:t>résultera</w:t>
      </w:r>
      <w:r w:rsidR="00D86CA2" w:rsidRPr="00F4049E">
        <w:rPr>
          <w:lang w:val="fr-FR"/>
        </w:rPr>
        <w:t xml:space="preserve"> </w:t>
      </w:r>
      <w:r w:rsidR="00985B20" w:rsidRPr="00F4049E">
        <w:rPr>
          <w:lang w:val="fr-FR"/>
        </w:rPr>
        <w:t>vraisemblablement</w:t>
      </w:r>
      <w:r w:rsidR="001936F4" w:rsidRPr="00F4049E">
        <w:rPr>
          <w:lang w:val="fr-FR"/>
        </w:rPr>
        <w:t xml:space="preserve"> </w:t>
      </w:r>
      <w:r w:rsidR="00D94FBB" w:rsidRPr="00F4049E">
        <w:rPr>
          <w:lang w:val="fr-FR"/>
        </w:rPr>
        <w:t>d’</w:t>
      </w:r>
      <w:r w:rsidR="001936F4" w:rsidRPr="00F4049E">
        <w:rPr>
          <w:lang w:val="fr-FR"/>
        </w:rPr>
        <w:t>u</w:t>
      </w:r>
      <w:r w:rsidR="00D86CA2" w:rsidRPr="00F4049E">
        <w:rPr>
          <w:lang w:val="fr-FR"/>
        </w:rPr>
        <w:t>n compromis entre les coûts, l</w:t>
      </w:r>
      <w:r w:rsidR="00D65801" w:rsidRPr="00F4049E">
        <w:rPr>
          <w:lang w:val="fr-FR"/>
        </w:rPr>
        <w:t>a précision</w:t>
      </w:r>
      <w:r w:rsidR="00D86CA2" w:rsidRPr="00F4049E">
        <w:rPr>
          <w:lang w:val="fr-FR"/>
        </w:rPr>
        <w:t xml:space="preserve"> et la faisabilité de chacun </w:t>
      </w:r>
      <w:r w:rsidR="00EA3A9B" w:rsidRPr="00F4049E">
        <w:rPr>
          <w:lang w:val="fr-FR"/>
        </w:rPr>
        <w:t>des mécanismes envisagés</w:t>
      </w:r>
      <w:r w:rsidR="00D86CA2" w:rsidRPr="00F4049E">
        <w:rPr>
          <w:lang w:val="fr-FR"/>
        </w:rPr>
        <w:t>.</w:t>
      </w:r>
    </w:p>
    <w:tbl>
      <w:tblPr>
        <w:tblStyle w:val="TableGray"/>
        <w:tblW w:w="0" w:type="auto"/>
        <w:tblLook w:val="04A0" w:firstRow="1" w:lastRow="0" w:firstColumn="1" w:lastColumn="0" w:noHBand="0" w:noVBand="1"/>
      </w:tblPr>
      <w:tblGrid>
        <w:gridCol w:w="9848"/>
      </w:tblGrid>
      <w:tr w:rsidR="001F0472" w:rsidRPr="00F4049E" w:rsidTr="001F0472">
        <w:tc>
          <w:tcPr>
            <w:tcW w:w="9848" w:type="dxa"/>
          </w:tcPr>
          <w:p w:rsidR="001F0472" w:rsidRPr="00F4049E" w:rsidRDefault="001F0472" w:rsidP="008B0593">
            <w:pPr>
              <w:pStyle w:val="RefTitre"/>
              <w:rPr>
                <w:lang w:val="fr-FR"/>
              </w:rPr>
            </w:pPr>
            <w:r w:rsidRPr="00F4049E">
              <w:rPr>
                <w:lang w:val="fr-FR"/>
              </w:rPr>
              <w:t>DOCUMENTS</w:t>
            </w:r>
            <w:r w:rsidR="0080338F" w:rsidRPr="00F4049E">
              <w:rPr>
                <w:lang w:val="fr-FR"/>
              </w:rPr>
              <w:t xml:space="preserve"> DE RÉFÉRENCE</w:t>
            </w:r>
          </w:p>
          <w:p w:rsidR="001F0472" w:rsidRPr="00F4049E" w:rsidRDefault="001F0472" w:rsidP="001936F4">
            <w:pPr>
              <w:pStyle w:val="RefItem1"/>
              <w:rPr>
                <w:lang w:val="fr-FR"/>
              </w:rPr>
            </w:pPr>
            <w:r w:rsidRPr="00F4049E">
              <w:rPr>
                <w:lang w:val="fr-FR"/>
              </w:rPr>
              <w:t>Maxwell D. et al. (2013)</w:t>
            </w:r>
            <w:r w:rsidR="00D86CA2" w:rsidRPr="00F4049E">
              <w:rPr>
                <w:lang w:val="fr-FR"/>
              </w:rPr>
              <w:t xml:space="preserve">, </w:t>
            </w:r>
            <w:r w:rsidRPr="00F4049E">
              <w:rPr>
                <w:i/>
                <w:iCs/>
                <w:lang w:val="fr-FR"/>
              </w:rPr>
              <w:t xml:space="preserve">Response Analysis and response choice in </w:t>
            </w:r>
            <w:r w:rsidR="001936F4" w:rsidRPr="00F4049E">
              <w:rPr>
                <w:i/>
                <w:iCs/>
                <w:lang w:val="fr-FR"/>
              </w:rPr>
              <w:t>food security crises: a roadmap</w:t>
            </w:r>
            <w:r w:rsidR="00D86CA2" w:rsidRPr="00F4049E">
              <w:rPr>
                <w:lang w:val="fr-FR"/>
              </w:rPr>
              <w:t>,</w:t>
            </w:r>
            <w:r w:rsidRPr="00F4049E">
              <w:rPr>
                <w:lang w:val="fr-FR"/>
              </w:rPr>
              <w:t xml:space="preserve"> Hu</w:t>
            </w:r>
            <w:r w:rsidR="00D86CA2" w:rsidRPr="00F4049E">
              <w:rPr>
                <w:lang w:val="fr-FR"/>
              </w:rPr>
              <w:t>manitarian Practice Network, Overseas Development Institute (en anglais) :</w:t>
            </w:r>
            <w:r w:rsidR="008B0593" w:rsidRPr="00F4049E">
              <w:rPr>
                <w:lang w:val="fr-FR"/>
              </w:rPr>
              <w:br/>
            </w:r>
            <w:hyperlink r:id="rId8" w:history="1">
              <w:r w:rsidR="00D86CA2" w:rsidRPr="00F4049E">
                <w:rPr>
                  <w:rStyle w:val="Hyperlink"/>
                  <w:lang w:val="fr-FR"/>
                </w:rPr>
                <w:t>http://www.odihpn.org/hpn-resources/network-papers/response-analysis-and-response-choice-in-food-security-crises-a-roadmap</w:t>
              </w:r>
            </w:hyperlink>
            <w:r w:rsidR="00D86CA2" w:rsidRPr="00F4049E">
              <w:rPr>
                <w:lang w:val="fr-FR"/>
              </w:rPr>
              <w:t xml:space="preserve"> </w:t>
            </w:r>
          </w:p>
          <w:p w:rsidR="001F0472" w:rsidRPr="00F4049E" w:rsidRDefault="001F0472" w:rsidP="001936F4">
            <w:pPr>
              <w:pStyle w:val="RefItem1"/>
              <w:rPr>
                <w:lang w:val="fr-FR"/>
              </w:rPr>
            </w:pPr>
            <w:r w:rsidRPr="00F4049E">
              <w:rPr>
                <w:lang w:val="fr-FR"/>
              </w:rPr>
              <w:t>Harvey P., Bailey S., (2011)</w:t>
            </w:r>
            <w:r w:rsidR="00BA4074" w:rsidRPr="00F4049E">
              <w:rPr>
                <w:lang w:val="fr-FR"/>
              </w:rPr>
              <w:t>,</w:t>
            </w:r>
            <w:r w:rsidR="00D86CA2" w:rsidRPr="00F4049E">
              <w:rPr>
                <w:lang w:val="fr-FR"/>
              </w:rPr>
              <w:t xml:space="preserve"> </w:t>
            </w:r>
            <w:r w:rsidR="00BA4074" w:rsidRPr="00F4049E">
              <w:rPr>
                <w:i/>
                <w:iCs/>
                <w:lang w:val="fr-FR"/>
              </w:rPr>
              <w:t xml:space="preserve">Good Practice Review: </w:t>
            </w:r>
            <w:r w:rsidRPr="00F4049E">
              <w:rPr>
                <w:i/>
                <w:iCs/>
                <w:lang w:val="fr-FR"/>
              </w:rPr>
              <w:t>Cash transfer programming in emergencies</w:t>
            </w:r>
            <w:r w:rsidR="00D86CA2" w:rsidRPr="00F4049E">
              <w:rPr>
                <w:lang w:val="fr-FR"/>
              </w:rPr>
              <w:t xml:space="preserve"> (en anglais) : </w:t>
            </w:r>
            <w:hyperlink r:id="rId9" w:history="1">
              <w:r w:rsidR="00D86CA2" w:rsidRPr="00F4049E">
                <w:rPr>
                  <w:rStyle w:val="Hyperlink"/>
                  <w:lang w:val="fr-FR"/>
                </w:rPr>
                <w:t>http://www.odihpn.org/documents%2Fgpr11.pdf</w:t>
              </w:r>
            </w:hyperlink>
            <w:r w:rsidR="00D86CA2" w:rsidRPr="00F4049E">
              <w:rPr>
                <w:lang w:val="fr-FR"/>
              </w:rPr>
              <w:t xml:space="preserve"> </w:t>
            </w:r>
          </w:p>
          <w:p w:rsidR="001F0472" w:rsidRPr="00F4049E" w:rsidRDefault="00D86CA2" w:rsidP="008B0593">
            <w:pPr>
              <w:pStyle w:val="RefItem1"/>
              <w:rPr>
                <w:lang w:val="fr-FR"/>
              </w:rPr>
            </w:pPr>
            <w:r w:rsidRPr="00F4049E">
              <w:rPr>
                <w:lang w:val="fr-FR"/>
              </w:rPr>
              <w:t>Lignes directrices sur les programmes de transferts monétaires</w:t>
            </w:r>
            <w:r w:rsidR="002E2466" w:rsidRPr="00F4049E">
              <w:rPr>
                <w:lang w:val="fr-FR"/>
              </w:rPr>
              <w:t>,</w:t>
            </w:r>
            <w:r w:rsidRPr="00F4049E">
              <w:rPr>
                <w:lang w:val="fr-FR"/>
              </w:rPr>
              <w:t xml:space="preserve"> </w:t>
            </w:r>
            <w:r w:rsidR="002E2466" w:rsidRPr="00F4049E">
              <w:rPr>
                <w:lang w:val="fr-FR"/>
              </w:rPr>
              <w:t>Mouvement international de la Croix-Rouge et du Croissant-Rouge (2007) :</w:t>
            </w:r>
            <w:r w:rsidRPr="00F4049E">
              <w:rPr>
                <w:lang w:val="fr-FR"/>
              </w:rPr>
              <w:t xml:space="preserve"> </w:t>
            </w:r>
            <w:hyperlink r:id="rId10" w:history="1">
              <w:r w:rsidR="0012414C" w:rsidRPr="0012414C">
                <w:rPr>
                  <w:rStyle w:val="Hyperlink"/>
                  <w:lang w:val="fr-FR"/>
                </w:rPr>
                <w:t>http://preparecenter.org/sites/default/files/rc_guidelines_for_ctp_-_fr_0.pdf</w:t>
              </w:r>
            </w:hyperlink>
          </w:p>
          <w:p w:rsidR="001F0472" w:rsidRPr="00F4049E" w:rsidRDefault="001F0472" w:rsidP="002E2466">
            <w:pPr>
              <w:pStyle w:val="RefItem1"/>
              <w:rPr>
                <w:lang w:val="fr-FR"/>
              </w:rPr>
            </w:pPr>
            <w:r w:rsidRPr="00F4049E">
              <w:rPr>
                <w:i/>
                <w:iCs/>
                <w:lang w:val="fr-FR"/>
              </w:rPr>
              <w:t>Implementing cash-based interventions</w:t>
            </w:r>
            <w:r w:rsidR="002E2466" w:rsidRPr="00F4049E">
              <w:rPr>
                <w:lang w:val="fr-FR"/>
              </w:rPr>
              <w:t>, p</w:t>
            </w:r>
            <w:r w:rsidR="00C8617D" w:rsidRPr="00F4049E">
              <w:rPr>
                <w:lang w:val="fr-FR"/>
              </w:rPr>
              <w:t>ages 69 à 75</w:t>
            </w:r>
            <w:r w:rsidR="002E2466" w:rsidRPr="00F4049E">
              <w:rPr>
                <w:lang w:val="fr-FR"/>
              </w:rPr>
              <w:t>, Action contre la faim (2007)</w:t>
            </w:r>
            <w:r w:rsidR="00C8617D" w:rsidRPr="00F4049E">
              <w:rPr>
                <w:lang w:val="fr-FR"/>
              </w:rPr>
              <w:t xml:space="preserve"> (en anglais) : </w:t>
            </w:r>
            <w:hyperlink r:id="rId11" w:history="1">
              <w:r w:rsidR="00C8617D" w:rsidRPr="00F4049E">
                <w:rPr>
                  <w:rStyle w:val="Hyperlink"/>
                  <w:lang w:val="fr-FR"/>
                </w:rPr>
                <w:t>http://www.actionagainsthunger.org/publication/2007/10/implementing-cash-based-interventions-guideline-aid-workers</w:t>
              </w:r>
            </w:hyperlink>
            <w:r w:rsidR="00C8617D" w:rsidRPr="00F4049E">
              <w:rPr>
                <w:lang w:val="fr-FR"/>
              </w:rPr>
              <w:t xml:space="preserve"> </w:t>
            </w:r>
          </w:p>
          <w:p w:rsidR="001F0472" w:rsidRPr="00F4049E" w:rsidRDefault="001F0472" w:rsidP="008B0593">
            <w:pPr>
              <w:pStyle w:val="RefItem1"/>
              <w:rPr>
                <w:lang w:val="fr-FR"/>
              </w:rPr>
            </w:pPr>
            <w:r w:rsidRPr="00F4049E">
              <w:rPr>
                <w:i/>
                <w:iCs/>
                <w:lang w:val="fr-FR"/>
              </w:rPr>
              <w:t>Emergency Market Mapping and Analysis</w:t>
            </w:r>
            <w:r w:rsidR="00C8617D" w:rsidRPr="00F4049E">
              <w:rPr>
                <w:lang w:val="fr-FR"/>
              </w:rPr>
              <w:t xml:space="preserve">, </w:t>
            </w:r>
            <w:r w:rsidR="0014533A" w:rsidRPr="00F4049E">
              <w:rPr>
                <w:lang w:val="fr-FR"/>
              </w:rPr>
              <w:t>(</w:t>
            </w:r>
            <w:r w:rsidR="00C8617D" w:rsidRPr="00F4049E">
              <w:rPr>
                <w:lang w:val="fr-FR"/>
              </w:rPr>
              <w:t>EMMA</w:t>
            </w:r>
            <w:r w:rsidRPr="00F4049E">
              <w:rPr>
                <w:lang w:val="fr-FR"/>
              </w:rPr>
              <w:t>)</w:t>
            </w:r>
            <w:r w:rsidR="00C8617D" w:rsidRPr="00F4049E">
              <w:rPr>
                <w:lang w:val="fr-FR"/>
              </w:rPr>
              <w:t xml:space="preserve"> (en anglais) : </w:t>
            </w:r>
            <w:hyperlink r:id="rId12" w:history="1">
              <w:r w:rsidR="00C8617D" w:rsidRPr="00F4049E">
                <w:rPr>
                  <w:rStyle w:val="Hyperlink"/>
                  <w:lang w:val="fr-FR"/>
                </w:rPr>
                <w:t>http://www.emma-toolkit.org/</w:t>
              </w:r>
            </w:hyperlink>
            <w:r w:rsidR="00C8617D" w:rsidRPr="00F4049E">
              <w:rPr>
                <w:lang w:val="fr-FR"/>
              </w:rPr>
              <w:t xml:space="preserve"> </w:t>
            </w:r>
          </w:p>
        </w:tc>
      </w:tr>
    </w:tbl>
    <w:p w:rsidR="00D16AA1" w:rsidRPr="00F4049E" w:rsidRDefault="00D16AA1" w:rsidP="006642BE">
      <w:pPr>
        <w:rPr>
          <w:rFonts w:cs="Arial"/>
          <w:lang w:val="fr-FR"/>
        </w:rPr>
      </w:pPr>
      <w:bookmarkStart w:id="0" w:name="_GoBack"/>
      <w:bookmarkEnd w:id="0"/>
    </w:p>
    <w:sectPr w:rsidR="00D16AA1" w:rsidRPr="00F4049E" w:rsidSect="008E5991">
      <w:headerReference w:type="default" r:id="rId13"/>
      <w:footerReference w:type="even" r:id="rId14"/>
      <w:footerReference w:type="default" r:id="rId15"/>
      <w:headerReference w:type="first" r:id="rId16"/>
      <w:footerReference w:type="first" r:id="rId17"/>
      <w:pgSz w:w="11900" w:h="16840"/>
      <w:pgMar w:top="1134" w:right="1134" w:bottom="1134" w:left="1134" w:header="708" w:footer="708" w:gutter="0"/>
      <w:cols w:space="70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61A577" w15:done="0"/>
  <w15:commentEx w15:paraId="59159DAC" w15:done="0"/>
  <w15:commentEx w15:paraId="16734231" w15:done="0"/>
  <w15:commentEx w15:paraId="0906D31B" w15:done="0"/>
  <w15:commentEx w15:paraId="2D6BEAB5" w15:done="0"/>
  <w15:commentEx w15:paraId="433DE970" w15:done="0"/>
  <w15:commentEx w15:paraId="7A076536" w15:done="0"/>
  <w15:commentEx w15:paraId="075F0418" w15:done="0"/>
  <w15:commentEx w15:paraId="6ACAB7D9" w15:done="0"/>
  <w15:commentEx w15:paraId="5768CFFB" w15:done="0"/>
  <w15:commentEx w15:paraId="3E83B5B3" w15:done="0"/>
  <w15:commentEx w15:paraId="0A72C9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ADA" w:rsidRDefault="00E52ADA" w:rsidP="00752615">
      <w:pPr>
        <w:spacing w:after="0"/>
      </w:pPr>
      <w:r>
        <w:separator/>
      </w:r>
    </w:p>
  </w:endnote>
  <w:endnote w:type="continuationSeparator" w:id="0">
    <w:p w:rsidR="00E52ADA" w:rsidRDefault="00E52ADA" w:rsidP="007526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2A" w:rsidRDefault="00871B52" w:rsidP="00752615">
    <w:pPr>
      <w:pStyle w:val="Footer"/>
      <w:framePr w:wrap="around" w:vAnchor="text" w:hAnchor="margin" w:xAlign="right" w:y="1"/>
      <w:rPr>
        <w:rStyle w:val="PageNumber"/>
      </w:rPr>
    </w:pPr>
    <w:r>
      <w:rPr>
        <w:rStyle w:val="PageNumber"/>
      </w:rPr>
      <w:fldChar w:fldCharType="begin"/>
    </w:r>
    <w:r w:rsidR="00B7622A">
      <w:rPr>
        <w:rStyle w:val="PageNumber"/>
      </w:rPr>
      <w:instrText xml:space="preserve">PAGE  </w:instrText>
    </w:r>
    <w:r>
      <w:rPr>
        <w:rStyle w:val="PageNumber"/>
      </w:rPr>
      <w:fldChar w:fldCharType="end"/>
    </w:r>
  </w:p>
  <w:p w:rsidR="00B7622A" w:rsidRDefault="00B7622A" w:rsidP="007526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93" w:rsidRPr="00B45C74" w:rsidRDefault="00871B52"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8B0593"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12414C">
      <w:rPr>
        <w:b/>
        <w:noProof/>
        <w:color w:val="808080" w:themeColor="background1" w:themeShade="80"/>
        <w:sz w:val="18"/>
        <w:szCs w:val="18"/>
      </w:rPr>
      <w:t>2</w:t>
    </w:r>
    <w:r w:rsidRPr="00B45C74">
      <w:rPr>
        <w:b/>
        <w:color w:val="808080" w:themeColor="background1" w:themeShade="80"/>
        <w:sz w:val="18"/>
        <w:szCs w:val="18"/>
      </w:rPr>
      <w:fldChar w:fldCharType="end"/>
    </w:r>
  </w:p>
  <w:p w:rsidR="008B0593" w:rsidRPr="00C8617D" w:rsidRDefault="008B0593" w:rsidP="00ED1B2B">
    <w:pPr>
      <w:pStyle w:val="Footer"/>
      <w:rPr>
        <w:lang w:val="fr-FR"/>
      </w:rPr>
    </w:pPr>
    <w:r w:rsidRPr="00C8617D">
      <w:rPr>
        <w:b/>
        <w:lang w:val="fr-FR"/>
      </w:rPr>
      <w:t>Module 3.</w:t>
    </w:r>
    <w:r w:rsidRPr="00C8617D">
      <w:rPr>
        <w:lang w:val="fr-FR"/>
      </w:rPr>
      <w:t xml:space="preserve"> </w:t>
    </w:r>
    <w:r w:rsidR="00C8617D" w:rsidRPr="00C8617D">
      <w:rPr>
        <w:lang w:val="fr-FR"/>
      </w:rPr>
      <w:t>Feuille de route pour l’analyse des solutions d’intervention</w:t>
    </w:r>
    <w:r w:rsidR="00D65801">
      <w:rPr>
        <w:lang w:val="fr-FR"/>
      </w:rPr>
      <w:t xml:space="preserve"> </w:t>
    </w:r>
    <w:r w:rsidR="00871B52" w:rsidRPr="00C8617D">
      <w:rPr>
        <w:i/>
        <w:lang w:val="fr-FR"/>
      </w:rPr>
      <w:fldChar w:fldCharType="begin"/>
    </w:r>
    <w:r w:rsidRPr="00C8617D">
      <w:rPr>
        <w:i/>
        <w:lang w:val="fr-FR"/>
      </w:rPr>
      <w:instrText xml:space="preserve"> STYLEREF  H1 \t  \* MERGEFORMAT </w:instrText>
    </w:r>
    <w:r w:rsidR="00871B52" w:rsidRPr="00C8617D">
      <w:rPr>
        <w:i/>
        <w:lang w:val="fr-F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991" w:rsidRPr="00B45C74" w:rsidRDefault="00871B52"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8E5991"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12414C">
      <w:rPr>
        <w:b/>
        <w:noProof/>
        <w:color w:val="808080" w:themeColor="background1" w:themeShade="80"/>
        <w:sz w:val="18"/>
        <w:szCs w:val="18"/>
      </w:rPr>
      <w:t>1</w:t>
    </w:r>
    <w:r w:rsidRPr="00B45C74">
      <w:rPr>
        <w:b/>
        <w:color w:val="808080" w:themeColor="background1" w:themeShade="80"/>
        <w:sz w:val="18"/>
        <w:szCs w:val="18"/>
      </w:rPr>
      <w:fldChar w:fldCharType="end"/>
    </w:r>
  </w:p>
  <w:p w:rsidR="008E5991" w:rsidRPr="0080338F" w:rsidRDefault="008E5991" w:rsidP="00ED1B2B">
    <w:pPr>
      <w:pStyle w:val="Footer"/>
      <w:rPr>
        <w:lang w:val="fr-FR"/>
      </w:rPr>
    </w:pPr>
    <w:r w:rsidRPr="0080338F">
      <w:rPr>
        <w:b/>
        <w:lang w:val="fr-FR"/>
      </w:rPr>
      <w:t>Module 3.</w:t>
    </w:r>
    <w:r w:rsidR="0080338F" w:rsidRPr="0080338F">
      <w:rPr>
        <w:i/>
        <w:lang w:val="fr-FR"/>
      </w:rPr>
      <w:t xml:space="preserve"> </w:t>
    </w:r>
    <w:r w:rsidR="0080338F" w:rsidRPr="0080338F">
      <w:rPr>
        <w:lang w:val="fr-FR"/>
      </w:rPr>
      <w:t xml:space="preserve">Feuille de route pour l’analyse des solutions d’intervention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ADA" w:rsidRDefault="00E52ADA" w:rsidP="00752615">
      <w:pPr>
        <w:spacing w:after="0"/>
      </w:pPr>
      <w:r>
        <w:separator/>
      </w:r>
    </w:p>
  </w:footnote>
  <w:footnote w:type="continuationSeparator" w:id="0">
    <w:p w:rsidR="00E52ADA" w:rsidRDefault="00E52ADA" w:rsidP="00752615">
      <w:pPr>
        <w:spacing w:after="0"/>
      </w:pPr>
      <w:r>
        <w:continuationSeparator/>
      </w:r>
    </w:p>
  </w:footnote>
  <w:footnote w:id="1">
    <w:p w:rsidR="00FB5A96" w:rsidRPr="00FB5A96" w:rsidRDefault="00FB5A96" w:rsidP="00FB5A96">
      <w:pPr>
        <w:pStyle w:val="FootnoteText"/>
        <w:rPr>
          <w:rFonts w:cs="Arial"/>
          <w:szCs w:val="16"/>
          <w:lang w:val="fr-FR"/>
        </w:rPr>
      </w:pPr>
      <w:r w:rsidRPr="00FB5A96">
        <w:rPr>
          <w:rStyle w:val="FootnoteReference"/>
          <w:rFonts w:cs="Arial"/>
          <w:szCs w:val="16"/>
          <w:lang w:val="fr-FR"/>
        </w:rPr>
        <w:footnoteRef/>
      </w:r>
      <w:r w:rsidRPr="00FB5A96">
        <w:rPr>
          <w:rFonts w:cs="Arial"/>
          <w:szCs w:val="16"/>
          <w:lang w:val="fr-FR"/>
        </w:rPr>
        <w:t xml:space="preserve"> </w:t>
      </w:r>
      <w:r>
        <w:rPr>
          <w:rFonts w:cs="Arial"/>
          <w:szCs w:val="16"/>
          <w:lang w:val="fr-FR"/>
        </w:rPr>
        <w:t xml:space="preserve">Besoins liés à la </w:t>
      </w:r>
      <w:r w:rsidRPr="00FB5A96">
        <w:rPr>
          <w:rFonts w:cs="Arial"/>
          <w:szCs w:val="16"/>
          <w:lang w:val="fr-FR"/>
        </w:rPr>
        <w:t>sécurité</w:t>
      </w:r>
      <w:r>
        <w:rPr>
          <w:rFonts w:cs="Arial"/>
          <w:szCs w:val="16"/>
          <w:lang w:val="fr-FR"/>
        </w:rPr>
        <w:t xml:space="preserve"> alimentaire, aux moyens de subsistance, au logement, à la santé, à l’eau et à l’assainissement, etc., ou besoins multisectoriels.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991" w:rsidRPr="00C8617D" w:rsidRDefault="00C8617D" w:rsidP="00173FF2">
    <w:pPr>
      <w:pStyle w:val="Header"/>
      <w:rPr>
        <w:sz w:val="14"/>
        <w:szCs w:val="14"/>
        <w:lang w:val="fr-FR"/>
      </w:rPr>
    </w:pPr>
    <w:r>
      <w:rPr>
        <w:rStyle w:val="Pantone485"/>
        <w:sz w:val="14"/>
        <w:szCs w:val="14"/>
        <w:lang w:val="fr-FR"/>
      </w:rPr>
      <w:t xml:space="preserve">Mouvement international de la Croix-Rouge et du Croissant-Rouge </w:t>
    </w:r>
    <w:r w:rsidR="008E5991" w:rsidRPr="00C8617D">
      <w:rPr>
        <w:rStyle w:val="PageNumber"/>
        <w:bCs/>
        <w:sz w:val="14"/>
        <w:szCs w:val="14"/>
        <w:lang w:val="fr-FR"/>
      </w:rPr>
      <w:t>I</w:t>
    </w:r>
    <w:r w:rsidR="008E5991" w:rsidRPr="00C8617D">
      <w:rPr>
        <w:rStyle w:val="PageNumber"/>
        <w:color w:val="FF0000"/>
        <w:sz w:val="14"/>
        <w:szCs w:val="14"/>
        <w:lang w:val="fr-FR"/>
      </w:rPr>
      <w:t xml:space="preserve"> </w:t>
    </w:r>
    <w:r>
      <w:rPr>
        <w:b/>
        <w:sz w:val="14"/>
        <w:szCs w:val="14"/>
        <w:lang w:val="fr-FR"/>
      </w:rPr>
      <w:t>Boîte à outils pour la distribution d’espèces dans les situations d’urgence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76" w:rsidRDefault="00B21B76" w:rsidP="00B21B76">
    <w:pPr>
      <w:pStyle w:val="Header1"/>
    </w:pPr>
    <w:r>
      <w:rPr>
        <w:rFonts w:ascii="Arial Bold" w:hAnsi="Arial Bold"/>
        <w:noProof/>
        <w:color w:val="DC281E"/>
        <w:lang w:val="en-GB" w:eastAsia="en-GB"/>
      </w:rPr>
      <w:drawing>
        <wp:anchor distT="0" distB="0" distL="114300" distR="114300" simplePos="0" relativeHeight="251660288" behindDoc="0" locked="0" layoutInCell="1" allowOverlap="1" wp14:anchorId="6C4182B7" wp14:editId="28409826">
          <wp:simplePos x="0" y="0"/>
          <wp:positionH relativeFrom="margin">
            <wp:posOffset>316865</wp:posOffset>
          </wp:positionH>
          <wp:positionV relativeFrom="margin">
            <wp:posOffset>-1280795</wp:posOffset>
          </wp:positionV>
          <wp:extent cx="630555" cy="735330"/>
          <wp:effectExtent l="0" t="0" r="0" b="7620"/>
          <wp:wrapSquare wrapText="bothSides"/>
          <wp:docPr id="2" name="Picture 2" descr="T:\Language\2015\French\Z_Jonathan\Références\Cash in emergencies\CICR logo-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anguage\2015\French\Z_Jonathan\Références\Cash in emergencies\CICR logo-F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 cy="735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1B76" w:rsidRDefault="00B21B76" w:rsidP="00B21B76">
    <w:pPr>
      <w:pStyle w:val="Header1"/>
    </w:pPr>
    <w:r>
      <w:rPr>
        <w:noProof/>
        <w:lang w:val="en-GB" w:eastAsia="en-GB"/>
      </w:rPr>
      <w:drawing>
        <wp:anchor distT="0" distB="0" distL="114300" distR="114300" simplePos="0" relativeHeight="251659264" behindDoc="0" locked="0" layoutInCell="1" allowOverlap="1" wp14:anchorId="5119B269" wp14:editId="61DE405B">
          <wp:simplePos x="0" y="0"/>
          <wp:positionH relativeFrom="margin">
            <wp:posOffset>2590165</wp:posOffset>
          </wp:positionH>
          <wp:positionV relativeFrom="margin">
            <wp:posOffset>-915670</wp:posOffset>
          </wp:positionV>
          <wp:extent cx="3187065" cy="3086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French logo.jpg"/>
                  <pic:cNvPicPr/>
                </pic:nvPicPr>
                <pic:blipFill>
                  <a:blip r:embed="rId2">
                    <a:extLst>
                      <a:ext uri="{28A0092B-C50C-407E-A947-70E740481C1C}">
                        <a14:useLocalDpi xmlns:a14="http://schemas.microsoft.com/office/drawing/2010/main" val="0"/>
                      </a:ext>
                    </a:extLst>
                  </a:blip>
                  <a:stretch>
                    <a:fillRect/>
                  </a:stretch>
                </pic:blipFill>
                <pic:spPr>
                  <a:xfrm>
                    <a:off x="0" y="0"/>
                    <a:ext cx="3187065" cy="308610"/>
                  </a:xfrm>
                  <a:prstGeom prst="rect">
                    <a:avLst/>
                  </a:prstGeom>
                </pic:spPr>
              </pic:pic>
            </a:graphicData>
          </a:graphic>
          <wp14:sizeRelH relativeFrom="margin">
            <wp14:pctWidth>0</wp14:pctWidth>
          </wp14:sizeRelH>
          <wp14:sizeRelV relativeFrom="margin">
            <wp14:pctHeight>0</wp14:pctHeight>
          </wp14:sizeRelV>
        </wp:anchor>
      </w:drawing>
    </w:r>
  </w:p>
  <w:p w:rsidR="008E5991" w:rsidRDefault="008E5991" w:rsidP="00C16D71">
    <w:pPr>
      <w:pStyle w:val="Header"/>
      <w:spacing w:line="240" w:lineRule="auto"/>
      <w:rPr>
        <w:b/>
        <w:color w:val="DC281E"/>
        <w:sz w:val="24"/>
        <w:szCs w:val="24"/>
      </w:rPr>
    </w:pPr>
  </w:p>
  <w:p w:rsidR="00B21B76" w:rsidRDefault="00B21B76" w:rsidP="00C16D71">
    <w:pPr>
      <w:pStyle w:val="Header"/>
      <w:spacing w:line="240" w:lineRule="auto"/>
      <w:rPr>
        <w:b/>
        <w:color w:val="DC281E"/>
        <w:sz w:val="24"/>
        <w:szCs w:val="24"/>
      </w:rPr>
    </w:pPr>
  </w:p>
  <w:p w:rsidR="008E5991" w:rsidRDefault="008E5991" w:rsidP="00C16D71">
    <w:pPr>
      <w:pStyle w:val="Header"/>
      <w:spacing w:line="240" w:lineRule="auto"/>
      <w:rPr>
        <w:b/>
        <w:color w:val="DC281E"/>
        <w:sz w:val="24"/>
        <w:szCs w:val="24"/>
      </w:rPr>
    </w:pPr>
  </w:p>
  <w:p w:rsidR="008E5991" w:rsidRPr="0080338F" w:rsidRDefault="0080338F" w:rsidP="00B21B76">
    <w:pPr>
      <w:pStyle w:val="Header1"/>
      <w:rPr>
        <w:rFonts w:ascii="Arial Bold" w:hAnsi="Arial Bold"/>
        <w:color w:val="DC281E"/>
        <w:lang w:val="fr-FR"/>
      </w:rPr>
    </w:pPr>
    <w:r w:rsidRPr="0080338F">
      <w:rPr>
        <w:rFonts w:ascii="Arial Bold" w:hAnsi="Arial Bold"/>
        <w:color w:val="DC281E"/>
        <w:lang w:val="fr-FR"/>
      </w:rPr>
      <w:t xml:space="preserve">Boîte </w:t>
    </w:r>
    <w:r>
      <w:rPr>
        <w:rFonts w:ascii="Arial Bold" w:hAnsi="Arial Bold"/>
        <w:color w:val="DC281E"/>
        <w:lang w:val="fr-FR"/>
      </w:rPr>
      <w:t xml:space="preserve">à outils pour </w:t>
    </w:r>
    <w:r w:rsidR="00B21B76">
      <w:rPr>
        <w:rFonts w:ascii="Arial Bold" w:hAnsi="Arial Bold"/>
        <w:color w:val="DC281E"/>
        <w:lang w:val="fr-FR"/>
      </w:rPr>
      <w:t>les transferts monétaires</w:t>
    </w:r>
    <w:r>
      <w:rPr>
        <w:rFonts w:ascii="Arial Bold" w:hAnsi="Arial Bold"/>
        <w:color w:val="DC281E"/>
        <w:lang w:val="fr-FR"/>
      </w:rPr>
      <w:t xml:space="preserve"> dans les situations d’urgence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B837E4"/>
    <w:multiLevelType w:val="hybridMultilevel"/>
    <w:tmpl w:val="B5B091F0"/>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02652"/>
    <w:multiLevelType w:val="hybridMultilevel"/>
    <w:tmpl w:val="9CF4AF48"/>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33090"/>
    <w:multiLevelType w:val="hybridMultilevel"/>
    <w:tmpl w:val="62DA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143CF"/>
    <w:multiLevelType w:val="hybridMultilevel"/>
    <w:tmpl w:val="2A8A54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A6745"/>
    <w:multiLevelType w:val="hybridMultilevel"/>
    <w:tmpl w:val="1AE2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A1BEB"/>
    <w:multiLevelType w:val="hybridMultilevel"/>
    <w:tmpl w:val="5BE6E0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530CB"/>
    <w:multiLevelType w:val="hybridMultilevel"/>
    <w:tmpl w:val="4EEC01E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C6641"/>
    <w:multiLevelType w:val="hybridMultilevel"/>
    <w:tmpl w:val="1BB6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FC7C1F"/>
    <w:multiLevelType w:val="hybridMultilevel"/>
    <w:tmpl w:val="0414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C0427F"/>
    <w:multiLevelType w:val="hybridMultilevel"/>
    <w:tmpl w:val="9878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EB4B7B"/>
    <w:multiLevelType w:val="hybridMultilevel"/>
    <w:tmpl w:val="07CECD90"/>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B6D97"/>
    <w:multiLevelType w:val="hybridMultilevel"/>
    <w:tmpl w:val="28B2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017A4"/>
    <w:multiLevelType w:val="hybridMultilevel"/>
    <w:tmpl w:val="5D34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62F0082"/>
    <w:multiLevelType w:val="hybridMultilevel"/>
    <w:tmpl w:val="36F0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613D32"/>
    <w:multiLevelType w:val="hybridMultilevel"/>
    <w:tmpl w:val="BF78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715D68"/>
    <w:multiLevelType w:val="hybridMultilevel"/>
    <w:tmpl w:val="3B021BC8"/>
    <w:lvl w:ilvl="0" w:tplc="1AE6450C">
      <w:start w:val="1"/>
      <w:numFmt w:val="bullet"/>
      <w:lvlText w:val="•"/>
      <w:lvlJc w:val="left"/>
      <w:pPr>
        <w:tabs>
          <w:tab w:val="num" w:pos="720"/>
        </w:tabs>
        <w:ind w:left="720" w:hanging="360"/>
      </w:pPr>
      <w:rPr>
        <w:rFonts w:ascii="Times" w:hAnsi="Times" w:hint="default"/>
      </w:rPr>
    </w:lvl>
    <w:lvl w:ilvl="1" w:tplc="64B62080" w:tentative="1">
      <w:start w:val="1"/>
      <w:numFmt w:val="bullet"/>
      <w:lvlText w:val="•"/>
      <w:lvlJc w:val="left"/>
      <w:pPr>
        <w:tabs>
          <w:tab w:val="num" w:pos="1440"/>
        </w:tabs>
        <w:ind w:left="1440" w:hanging="360"/>
      </w:pPr>
      <w:rPr>
        <w:rFonts w:ascii="Times" w:hAnsi="Times" w:hint="default"/>
      </w:rPr>
    </w:lvl>
    <w:lvl w:ilvl="2" w:tplc="278CB22C" w:tentative="1">
      <w:start w:val="1"/>
      <w:numFmt w:val="bullet"/>
      <w:lvlText w:val="•"/>
      <w:lvlJc w:val="left"/>
      <w:pPr>
        <w:tabs>
          <w:tab w:val="num" w:pos="2160"/>
        </w:tabs>
        <w:ind w:left="2160" w:hanging="360"/>
      </w:pPr>
      <w:rPr>
        <w:rFonts w:ascii="Times" w:hAnsi="Times" w:hint="default"/>
      </w:rPr>
    </w:lvl>
    <w:lvl w:ilvl="3" w:tplc="C85CE6B6" w:tentative="1">
      <w:start w:val="1"/>
      <w:numFmt w:val="bullet"/>
      <w:lvlText w:val="•"/>
      <w:lvlJc w:val="left"/>
      <w:pPr>
        <w:tabs>
          <w:tab w:val="num" w:pos="2880"/>
        </w:tabs>
        <w:ind w:left="2880" w:hanging="360"/>
      </w:pPr>
      <w:rPr>
        <w:rFonts w:ascii="Times" w:hAnsi="Times" w:hint="default"/>
      </w:rPr>
    </w:lvl>
    <w:lvl w:ilvl="4" w:tplc="5DCCDE80" w:tentative="1">
      <w:start w:val="1"/>
      <w:numFmt w:val="bullet"/>
      <w:lvlText w:val="•"/>
      <w:lvlJc w:val="left"/>
      <w:pPr>
        <w:tabs>
          <w:tab w:val="num" w:pos="3600"/>
        </w:tabs>
        <w:ind w:left="3600" w:hanging="360"/>
      </w:pPr>
      <w:rPr>
        <w:rFonts w:ascii="Times" w:hAnsi="Times" w:hint="default"/>
      </w:rPr>
    </w:lvl>
    <w:lvl w:ilvl="5" w:tplc="780A7E02" w:tentative="1">
      <w:start w:val="1"/>
      <w:numFmt w:val="bullet"/>
      <w:lvlText w:val="•"/>
      <w:lvlJc w:val="left"/>
      <w:pPr>
        <w:tabs>
          <w:tab w:val="num" w:pos="4320"/>
        </w:tabs>
        <w:ind w:left="4320" w:hanging="360"/>
      </w:pPr>
      <w:rPr>
        <w:rFonts w:ascii="Times" w:hAnsi="Times" w:hint="default"/>
      </w:rPr>
    </w:lvl>
    <w:lvl w:ilvl="6" w:tplc="A1C6BA14" w:tentative="1">
      <w:start w:val="1"/>
      <w:numFmt w:val="bullet"/>
      <w:lvlText w:val="•"/>
      <w:lvlJc w:val="left"/>
      <w:pPr>
        <w:tabs>
          <w:tab w:val="num" w:pos="5040"/>
        </w:tabs>
        <w:ind w:left="5040" w:hanging="360"/>
      </w:pPr>
      <w:rPr>
        <w:rFonts w:ascii="Times" w:hAnsi="Times" w:hint="default"/>
      </w:rPr>
    </w:lvl>
    <w:lvl w:ilvl="7" w:tplc="25F4835A" w:tentative="1">
      <w:start w:val="1"/>
      <w:numFmt w:val="bullet"/>
      <w:lvlText w:val="•"/>
      <w:lvlJc w:val="left"/>
      <w:pPr>
        <w:tabs>
          <w:tab w:val="num" w:pos="5760"/>
        </w:tabs>
        <w:ind w:left="5760" w:hanging="360"/>
      </w:pPr>
      <w:rPr>
        <w:rFonts w:ascii="Times" w:hAnsi="Times" w:hint="default"/>
      </w:rPr>
    </w:lvl>
    <w:lvl w:ilvl="8" w:tplc="A2E841BE" w:tentative="1">
      <w:start w:val="1"/>
      <w:numFmt w:val="bullet"/>
      <w:lvlText w:val="•"/>
      <w:lvlJc w:val="left"/>
      <w:pPr>
        <w:tabs>
          <w:tab w:val="num" w:pos="6480"/>
        </w:tabs>
        <w:ind w:left="6480" w:hanging="360"/>
      </w:pPr>
      <w:rPr>
        <w:rFonts w:ascii="Times" w:hAnsi="Times" w:hint="default"/>
      </w:rPr>
    </w:lvl>
  </w:abstractNum>
  <w:abstractNum w:abstractNumId="19">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AF0C6D"/>
    <w:multiLevelType w:val="hybridMultilevel"/>
    <w:tmpl w:val="A74A58C6"/>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683092"/>
    <w:multiLevelType w:val="hybridMultilevel"/>
    <w:tmpl w:val="29645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BB65D5"/>
    <w:multiLevelType w:val="hybridMultilevel"/>
    <w:tmpl w:val="F1D89208"/>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DB7CBF"/>
    <w:multiLevelType w:val="hybridMultilevel"/>
    <w:tmpl w:val="1714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114D40"/>
    <w:multiLevelType w:val="hybridMultilevel"/>
    <w:tmpl w:val="9DCAC830"/>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630977"/>
    <w:multiLevelType w:val="hybridMultilevel"/>
    <w:tmpl w:val="7B12DD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6"/>
  </w:num>
  <w:num w:numId="3">
    <w:abstractNumId w:val="3"/>
  </w:num>
  <w:num w:numId="4">
    <w:abstractNumId w:val="11"/>
  </w:num>
  <w:num w:numId="5">
    <w:abstractNumId w:val="25"/>
  </w:num>
  <w:num w:numId="6">
    <w:abstractNumId w:val="10"/>
  </w:num>
  <w:num w:numId="7">
    <w:abstractNumId w:val="14"/>
  </w:num>
  <w:num w:numId="8">
    <w:abstractNumId w:val="6"/>
  </w:num>
  <w:num w:numId="9">
    <w:abstractNumId w:val="27"/>
  </w:num>
  <w:num w:numId="10">
    <w:abstractNumId w:val="17"/>
  </w:num>
  <w:num w:numId="11">
    <w:abstractNumId w:val="18"/>
  </w:num>
  <w:num w:numId="12">
    <w:abstractNumId w:val="22"/>
  </w:num>
  <w:num w:numId="13">
    <w:abstractNumId w:val="24"/>
  </w:num>
  <w:num w:numId="14">
    <w:abstractNumId w:val="5"/>
  </w:num>
  <w:num w:numId="15">
    <w:abstractNumId w:val="23"/>
  </w:num>
  <w:num w:numId="16">
    <w:abstractNumId w:val="2"/>
  </w:num>
  <w:num w:numId="17">
    <w:abstractNumId w:val="1"/>
  </w:num>
  <w:num w:numId="18">
    <w:abstractNumId w:val="26"/>
  </w:num>
  <w:num w:numId="19">
    <w:abstractNumId w:val="13"/>
  </w:num>
  <w:num w:numId="20">
    <w:abstractNumId w:val="7"/>
  </w:num>
  <w:num w:numId="21">
    <w:abstractNumId w:val="4"/>
  </w:num>
  <w:num w:numId="22">
    <w:abstractNumId w:val="8"/>
  </w:num>
  <w:num w:numId="23">
    <w:abstractNumId w:val="12"/>
  </w:num>
  <w:num w:numId="24">
    <w:abstractNumId w:val="0"/>
  </w:num>
  <w:num w:numId="25">
    <w:abstractNumId w:val="15"/>
  </w:num>
  <w:num w:numId="26">
    <w:abstractNumId w:val="19"/>
  </w:num>
  <w:num w:numId="27">
    <w:abstractNumId w:val="21"/>
  </w:num>
  <w:num w:numId="2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aud Devred">
    <w15:presenceInfo w15:providerId="AD" w15:userId="S-1-5-21-2160216369-3329932071-3968528880-48674"/>
  </w15:person>
  <w15:person w15:author="Jules Kagwahabi Amoti">
    <w15:presenceInfo w15:providerId="AD" w15:userId="S-1-5-21-2160216369-3329932071-3968528880-72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attachedTemplate r:id="rId1"/>
  <w:linkStyl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
  <w:rsids>
    <w:rsidRoot w:val="00B43740"/>
    <w:rsid w:val="00003A3F"/>
    <w:rsid w:val="0000574A"/>
    <w:rsid w:val="00023DF1"/>
    <w:rsid w:val="00046C14"/>
    <w:rsid w:val="000A1118"/>
    <w:rsid w:val="000B1137"/>
    <w:rsid w:val="000D763F"/>
    <w:rsid w:val="000E5E71"/>
    <w:rsid w:val="000F0CF2"/>
    <w:rsid w:val="000F4326"/>
    <w:rsid w:val="00100957"/>
    <w:rsid w:val="001219AD"/>
    <w:rsid w:val="0012414C"/>
    <w:rsid w:val="00124F15"/>
    <w:rsid w:val="00127FA5"/>
    <w:rsid w:val="00132856"/>
    <w:rsid w:val="0014533A"/>
    <w:rsid w:val="001569C2"/>
    <w:rsid w:val="001903B1"/>
    <w:rsid w:val="001936F4"/>
    <w:rsid w:val="001B79C9"/>
    <w:rsid w:val="001C34F7"/>
    <w:rsid w:val="001F0472"/>
    <w:rsid w:val="001F6441"/>
    <w:rsid w:val="0022429E"/>
    <w:rsid w:val="0023442F"/>
    <w:rsid w:val="00246F45"/>
    <w:rsid w:val="00256A0A"/>
    <w:rsid w:val="00281261"/>
    <w:rsid w:val="0028721B"/>
    <w:rsid w:val="002A2669"/>
    <w:rsid w:val="002E2466"/>
    <w:rsid w:val="002F689F"/>
    <w:rsid w:val="00305BE1"/>
    <w:rsid w:val="003112DC"/>
    <w:rsid w:val="003179F0"/>
    <w:rsid w:val="00325F32"/>
    <w:rsid w:val="00333EA9"/>
    <w:rsid w:val="00335875"/>
    <w:rsid w:val="00347951"/>
    <w:rsid w:val="00357105"/>
    <w:rsid w:val="0038755F"/>
    <w:rsid w:val="003D09CC"/>
    <w:rsid w:val="003F3116"/>
    <w:rsid w:val="003F6211"/>
    <w:rsid w:val="003F7843"/>
    <w:rsid w:val="00423BB6"/>
    <w:rsid w:val="00487D04"/>
    <w:rsid w:val="004B6EBB"/>
    <w:rsid w:val="004E5BB5"/>
    <w:rsid w:val="004F3661"/>
    <w:rsid w:val="00527882"/>
    <w:rsid w:val="0053299D"/>
    <w:rsid w:val="00532CB0"/>
    <w:rsid w:val="005838FA"/>
    <w:rsid w:val="005A3216"/>
    <w:rsid w:val="005D1F39"/>
    <w:rsid w:val="005E59F5"/>
    <w:rsid w:val="005F2CFA"/>
    <w:rsid w:val="0062030E"/>
    <w:rsid w:val="006642BE"/>
    <w:rsid w:val="00681B2C"/>
    <w:rsid w:val="006C2161"/>
    <w:rsid w:val="006C7742"/>
    <w:rsid w:val="006D3A93"/>
    <w:rsid w:val="00706978"/>
    <w:rsid w:val="00714746"/>
    <w:rsid w:val="00733EF0"/>
    <w:rsid w:val="00750B43"/>
    <w:rsid w:val="00752615"/>
    <w:rsid w:val="00786964"/>
    <w:rsid w:val="007D1A58"/>
    <w:rsid w:val="007E02EA"/>
    <w:rsid w:val="00802F9A"/>
    <w:rsid w:val="0080338F"/>
    <w:rsid w:val="008221D6"/>
    <w:rsid w:val="008233E8"/>
    <w:rsid w:val="00853516"/>
    <w:rsid w:val="008601C3"/>
    <w:rsid w:val="00871B52"/>
    <w:rsid w:val="00875D8F"/>
    <w:rsid w:val="008818AA"/>
    <w:rsid w:val="0088306F"/>
    <w:rsid w:val="008A4726"/>
    <w:rsid w:val="008B0593"/>
    <w:rsid w:val="008E1351"/>
    <w:rsid w:val="008E5991"/>
    <w:rsid w:val="008F402F"/>
    <w:rsid w:val="00906ED2"/>
    <w:rsid w:val="00914A39"/>
    <w:rsid w:val="00985B20"/>
    <w:rsid w:val="00996780"/>
    <w:rsid w:val="00996BB9"/>
    <w:rsid w:val="0099784C"/>
    <w:rsid w:val="009B0C51"/>
    <w:rsid w:val="009D3D80"/>
    <w:rsid w:val="00A15ED9"/>
    <w:rsid w:val="00A324E8"/>
    <w:rsid w:val="00A60850"/>
    <w:rsid w:val="00A60BE5"/>
    <w:rsid w:val="00A902C1"/>
    <w:rsid w:val="00A92250"/>
    <w:rsid w:val="00AF7E37"/>
    <w:rsid w:val="00B0620E"/>
    <w:rsid w:val="00B21B76"/>
    <w:rsid w:val="00B267F4"/>
    <w:rsid w:val="00B43740"/>
    <w:rsid w:val="00B7000E"/>
    <w:rsid w:val="00B7112C"/>
    <w:rsid w:val="00B73C75"/>
    <w:rsid w:val="00B7622A"/>
    <w:rsid w:val="00BA02A9"/>
    <w:rsid w:val="00BA4074"/>
    <w:rsid w:val="00C458D3"/>
    <w:rsid w:val="00C8617D"/>
    <w:rsid w:val="00CC068F"/>
    <w:rsid w:val="00D0052B"/>
    <w:rsid w:val="00D16AA1"/>
    <w:rsid w:val="00D436BF"/>
    <w:rsid w:val="00D528AB"/>
    <w:rsid w:val="00D62AC5"/>
    <w:rsid w:val="00D65801"/>
    <w:rsid w:val="00D712BF"/>
    <w:rsid w:val="00D86CA2"/>
    <w:rsid w:val="00D94FBB"/>
    <w:rsid w:val="00DC1372"/>
    <w:rsid w:val="00DD1804"/>
    <w:rsid w:val="00DD662A"/>
    <w:rsid w:val="00DE13F0"/>
    <w:rsid w:val="00DE5AA0"/>
    <w:rsid w:val="00E01226"/>
    <w:rsid w:val="00E12B9C"/>
    <w:rsid w:val="00E32DE2"/>
    <w:rsid w:val="00E52ADA"/>
    <w:rsid w:val="00E73559"/>
    <w:rsid w:val="00E743E3"/>
    <w:rsid w:val="00E754E1"/>
    <w:rsid w:val="00E77E9D"/>
    <w:rsid w:val="00EA3A9B"/>
    <w:rsid w:val="00EB2BEC"/>
    <w:rsid w:val="00ED35DF"/>
    <w:rsid w:val="00EE315D"/>
    <w:rsid w:val="00EE5239"/>
    <w:rsid w:val="00F03F89"/>
    <w:rsid w:val="00F4049E"/>
    <w:rsid w:val="00F80A2D"/>
    <w:rsid w:val="00F90F42"/>
    <w:rsid w:val="00FA16A0"/>
    <w:rsid w:val="00FB5A96"/>
    <w:rsid w:val="00FC6422"/>
    <w:rsid w:val="00FD32D1"/>
    <w:rsid w:val="00FE5C07"/>
  </w:rsids>
  <m:mathPr>
    <m:mathFont m:val="Cambria Math"/>
    <m:brkBin m:val="before"/>
    <m:brkBinSub m:val="--"/>
    <m:smallFrac/>
    <m:dispDef/>
    <m:lMargin m:val="0"/>
    <m:rMargin m:val="0"/>
    <m:defJc m:val="centerGroup"/>
    <m:wrapRight/>
    <m:intLim m:val="subSup"/>
    <m:naryLim m:val="subSup"/>
  </m:mathPr>
  <w:themeFontLang w:val="fr-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69"/>
    <w:pPr>
      <w:spacing w:after="120"/>
      <w:jc w:val="both"/>
    </w:pPr>
    <w:rPr>
      <w:rFonts w:ascii="Arial" w:hAnsi="Arial" w:cs="Times New Roman"/>
    </w:rPr>
  </w:style>
  <w:style w:type="paragraph" w:styleId="Heading1">
    <w:name w:val="heading 1"/>
    <w:basedOn w:val="H1"/>
    <w:next w:val="Normal"/>
    <w:link w:val="Heading1Char"/>
    <w:uiPriority w:val="9"/>
    <w:rsid w:val="002A2669"/>
  </w:style>
  <w:style w:type="paragraph" w:styleId="Heading2">
    <w:name w:val="heading 2"/>
    <w:basedOn w:val="Normal"/>
    <w:next w:val="Normal"/>
    <w:link w:val="Heading2Char"/>
    <w:uiPriority w:val="9"/>
    <w:unhideWhenUsed/>
    <w:qFormat/>
    <w:rsid w:val="002A2669"/>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2A2669"/>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669"/>
    <w:pPr>
      <w:spacing w:after="240"/>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2A2669"/>
    <w:rPr>
      <w:rFonts w:ascii="Arial" w:eastAsiaTheme="minorHAnsi" w:hAnsi="Arial" w:cstheme="minorBidi"/>
      <w:szCs w:val="22"/>
    </w:rPr>
  </w:style>
  <w:style w:type="table" w:styleId="TableGrid">
    <w:name w:val="Table Grid"/>
    <w:basedOn w:val="TableNormal"/>
    <w:uiPriority w:val="59"/>
    <w:rsid w:val="002A2669"/>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669"/>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2A2669"/>
    <w:rPr>
      <w:sz w:val="18"/>
      <w:szCs w:val="18"/>
    </w:rPr>
  </w:style>
  <w:style w:type="paragraph" w:styleId="CommentText">
    <w:name w:val="annotation text"/>
    <w:basedOn w:val="Normal"/>
    <w:link w:val="CommentTextChar"/>
    <w:uiPriority w:val="99"/>
    <w:semiHidden/>
    <w:unhideWhenUsed/>
    <w:rsid w:val="00E75DB8"/>
    <w:rPr>
      <w:sz w:val="24"/>
      <w:szCs w:val="24"/>
    </w:rPr>
  </w:style>
  <w:style w:type="character" w:customStyle="1" w:styleId="CommentTextChar">
    <w:name w:val="Comment Text Char"/>
    <w:basedOn w:val="DefaultParagraphFont"/>
    <w:link w:val="CommentText"/>
    <w:uiPriority w:val="99"/>
    <w:semiHidden/>
    <w:rsid w:val="00E75DB8"/>
    <w:rPr>
      <w:sz w:val="24"/>
      <w:szCs w:val="24"/>
      <w:lang w:val="en-GB"/>
    </w:rPr>
  </w:style>
  <w:style w:type="paragraph" w:styleId="CommentSubject">
    <w:name w:val="annotation subject"/>
    <w:basedOn w:val="Normal"/>
    <w:link w:val="CommentSubjectChar"/>
    <w:uiPriority w:val="99"/>
    <w:semiHidden/>
    <w:unhideWhenUsed/>
    <w:rsid w:val="002A2669"/>
    <w:rPr>
      <w:b/>
      <w:bCs/>
    </w:rPr>
  </w:style>
  <w:style w:type="character" w:customStyle="1" w:styleId="CommentSubjectChar">
    <w:name w:val="Comment Subject Char"/>
    <w:basedOn w:val="DefaultParagraphFont"/>
    <w:link w:val="CommentSubject"/>
    <w:uiPriority w:val="99"/>
    <w:semiHidden/>
    <w:rsid w:val="002A2669"/>
    <w:rPr>
      <w:rFonts w:ascii="Arial" w:hAnsi="Arial" w:cs="Times New Roman"/>
      <w:b/>
      <w:bCs/>
    </w:rPr>
  </w:style>
  <w:style w:type="paragraph" w:styleId="BalloonText">
    <w:name w:val="Balloon Text"/>
    <w:basedOn w:val="Normal"/>
    <w:link w:val="BalloonTextChar"/>
    <w:uiPriority w:val="99"/>
    <w:semiHidden/>
    <w:unhideWhenUsed/>
    <w:rsid w:val="002A266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669"/>
    <w:rPr>
      <w:rFonts w:ascii="Lucida Grande" w:hAnsi="Lucida Grande" w:cs="Lucida Grande"/>
      <w:sz w:val="18"/>
      <w:szCs w:val="18"/>
    </w:rPr>
  </w:style>
  <w:style w:type="paragraph" w:styleId="Footer">
    <w:name w:val="footer"/>
    <w:basedOn w:val="Normal"/>
    <w:link w:val="FooterChar"/>
    <w:uiPriority w:val="99"/>
    <w:unhideWhenUsed/>
    <w:rsid w:val="002A2669"/>
    <w:pPr>
      <w:spacing w:after="0"/>
      <w:jc w:val="left"/>
    </w:pPr>
    <w:rPr>
      <w:sz w:val="16"/>
      <w:szCs w:val="18"/>
    </w:rPr>
  </w:style>
  <w:style w:type="character" w:customStyle="1" w:styleId="FooterChar">
    <w:name w:val="Footer Char"/>
    <w:basedOn w:val="DefaultParagraphFont"/>
    <w:link w:val="Footer"/>
    <w:uiPriority w:val="99"/>
    <w:rsid w:val="002A2669"/>
    <w:rPr>
      <w:rFonts w:ascii="Arial" w:hAnsi="Arial" w:cs="Times New Roman"/>
      <w:sz w:val="16"/>
      <w:szCs w:val="18"/>
    </w:rPr>
  </w:style>
  <w:style w:type="character" w:styleId="PageNumber">
    <w:name w:val="page number"/>
    <w:basedOn w:val="DefaultParagraphFont"/>
    <w:uiPriority w:val="99"/>
    <w:unhideWhenUsed/>
    <w:rsid w:val="002A2669"/>
    <w:rPr>
      <w:b/>
    </w:rPr>
  </w:style>
  <w:style w:type="paragraph" w:styleId="Header">
    <w:name w:val="header"/>
    <w:basedOn w:val="Normal"/>
    <w:link w:val="HeaderChar"/>
    <w:uiPriority w:val="99"/>
    <w:unhideWhenUsed/>
    <w:rsid w:val="002A2669"/>
    <w:pPr>
      <w:spacing w:after="0" w:line="288" w:lineRule="auto"/>
      <w:jc w:val="left"/>
    </w:pPr>
    <w:rPr>
      <w:sz w:val="16"/>
    </w:rPr>
  </w:style>
  <w:style w:type="character" w:customStyle="1" w:styleId="HeaderChar">
    <w:name w:val="Header Char"/>
    <w:basedOn w:val="DefaultParagraphFont"/>
    <w:link w:val="Header"/>
    <w:uiPriority w:val="99"/>
    <w:rsid w:val="002A2669"/>
    <w:rPr>
      <w:rFonts w:ascii="Arial" w:hAnsi="Arial" w:cs="Times New Roman"/>
      <w:sz w:val="16"/>
    </w:rPr>
  </w:style>
  <w:style w:type="character" w:styleId="Hyperlink">
    <w:name w:val="Hyperlink"/>
    <w:basedOn w:val="DefaultParagraphFont"/>
    <w:uiPriority w:val="99"/>
    <w:unhideWhenUsed/>
    <w:rsid w:val="002A2669"/>
    <w:rPr>
      <w:color w:val="0000FF" w:themeColor="hyperlink"/>
      <w:u w:val="single"/>
    </w:rPr>
  </w:style>
  <w:style w:type="character" w:styleId="FollowedHyperlink">
    <w:name w:val="FollowedHyperlink"/>
    <w:basedOn w:val="DefaultParagraphFont"/>
    <w:uiPriority w:val="99"/>
    <w:semiHidden/>
    <w:unhideWhenUsed/>
    <w:rsid w:val="002A2669"/>
    <w:rPr>
      <w:color w:val="800080" w:themeColor="followedHyperlink"/>
      <w:u w:val="single"/>
    </w:rPr>
  </w:style>
  <w:style w:type="paragraph" w:styleId="FootnoteText">
    <w:name w:val="footnote text"/>
    <w:basedOn w:val="Normal"/>
    <w:link w:val="FootnoteTextChar"/>
    <w:uiPriority w:val="99"/>
    <w:unhideWhenUsed/>
    <w:rsid w:val="002A2669"/>
    <w:pPr>
      <w:spacing w:after="0"/>
    </w:pPr>
    <w:rPr>
      <w:sz w:val="16"/>
      <w:szCs w:val="22"/>
    </w:rPr>
  </w:style>
  <w:style w:type="character" w:customStyle="1" w:styleId="FootnoteTextChar">
    <w:name w:val="Footnote Text Char"/>
    <w:basedOn w:val="DefaultParagraphFont"/>
    <w:link w:val="FootnoteText"/>
    <w:uiPriority w:val="99"/>
    <w:rsid w:val="002A2669"/>
    <w:rPr>
      <w:rFonts w:ascii="Arial" w:hAnsi="Arial" w:cs="Times New Roman"/>
      <w:sz w:val="16"/>
      <w:szCs w:val="22"/>
    </w:rPr>
  </w:style>
  <w:style w:type="character" w:styleId="FootnoteReference">
    <w:name w:val="footnote reference"/>
    <w:basedOn w:val="DefaultParagraphFont"/>
    <w:uiPriority w:val="99"/>
    <w:unhideWhenUsed/>
    <w:rsid w:val="002A2669"/>
    <w:rPr>
      <w:vertAlign w:val="superscript"/>
    </w:rPr>
  </w:style>
  <w:style w:type="character" w:customStyle="1" w:styleId="aak">
    <w:name w:val="aak"/>
    <w:basedOn w:val="DefaultParagraphFont"/>
    <w:rsid w:val="00D16AA1"/>
  </w:style>
  <w:style w:type="character" w:customStyle="1" w:styleId="apple-converted-space">
    <w:name w:val="apple-converted-space"/>
    <w:basedOn w:val="DefaultParagraphFont"/>
    <w:rsid w:val="00D16AA1"/>
  </w:style>
  <w:style w:type="character" w:customStyle="1" w:styleId="Heading1Char">
    <w:name w:val="Heading 1 Char"/>
    <w:basedOn w:val="DefaultParagraphFont"/>
    <w:link w:val="Heading1"/>
    <w:uiPriority w:val="9"/>
    <w:rsid w:val="002A2669"/>
    <w:rPr>
      <w:rFonts w:ascii="Arial" w:hAnsi="Arial" w:cs="Times New Roman"/>
      <w:b/>
      <w:sz w:val="40"/>
      <w:szCs w:val="52"/>
    </w:rPr>
  </w:style>
  <w:style w:type="character" w:customStyle="1" w:styleId="Heading2Char">
    <w:name w:val="Heading 2 Char"/>
    <w:basedOn w:val="DefaultParagraphFont"/>
    <w:link w:val="Heading2"/>
    <w:uiPriority w:val="9"/>
    <w:rsid w:val="002A2669"/>
    <w:rPr>
      <w:rFonts w:ascii="Arial" w:hAnsi="Arial" w:cs="Times New Roman"/>
      <w:b/>
      <w:caps/>
      <w:sz w:val="24"/>
      <w:szCs w:val="26"/>
    </w:rPr>
  </w:style>
  <w:style w:type="character" w:customStyle="1" w:styleId="Heading3Char">
    <w:name w:val="Heading 3 Char"/>
    <w:basedOn w:val="DefaultParagraphFont"/>
    <w:link w:val="Heading3"/>
    <w:uiPriority w:val="9"/>
    <w:rsid w:val="002A2669"/>
    <w:rPr>
      <w:rFonts w:ascii="Arial" w:hAnsi="Arial" w:cs="Times New Roman"/>
      <w:b/>
      <w:sz w:val="22"/>
      <w:szCs w:val="24"/>
    </w:rPr>
  </w:style>
  <w:style w:type="paragraph" w:styleId="Revision">
    <w:name w:val="Revision"/>
    <w:hidden/>
    <w:uiPriority w:val="99"/>
    <w:semiHidden/>
    <w:rsid w:val="002A2669"/>
    <w:rPr>
      <w:rFonts w:ascii="Arial" w:hAnsi="Arial" w:cs="Arial"/>
      <w:sz w:val="21"/>
      <w:szCs w:val="21"/>
    </w:rPr>
  </w:style>
  <w:style w:type="paragraph" w:customStyle="1" w:styleId="BasicParagraph">
    <w:name w:val="[Basic Paragraph]"/>
    <w:basedOn w:val="Normal"/>
    <w:uiPriority w:val="99"/>
    <w:rsid w:val="002A2669"/>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2A2669"/>
    <w:pPr>
      <w:spacing w:before="360" w:after="240"/>
      <w:jc w:val="left"/>
      <w:outlineLvl w:val="0"/>
    </w:pPr>
    <w:rPr>
      <w:b/>
      <w:sz w:val="40"/>
      <w:szCs w:val="52"/>
    </w:rPr>
  </w:style>
  <w:style w:type="paragraph" w:customStyle="1" w:styleId="Bullet1">
    <w:name w:val="Bullet 1"/>
    <w:basedOn w:val="Normal"/>
    <w:rsid w:val="002A2669"/>
    <w:pPr>
      <w:numPr>
        <w:numId w:val="14"/>
      </w:numPr>
      <w:spacing w:before="60"/>
    </w:pPr>
    <w:rPr>
      <w:rFonts w:eastAsia="Times New Roman"/>
      <w:color w:val="000000"/>
    </w:rPr>
  </w:style>
  <w:style w:type="paragraph" w:customStyle="1" w:styleId="RefItem1">
    <w:name w:val="Ref Item 1"/>
    <w:basedOn w:val="Normal"/>
    <w:rsid w:val="002A2669"/>
    <w:pPr>
      <w:jc w:val="left"/>
    </w:pPr>
    <w:rPr>
      <w:color w:val="000000"/>
      <w:szCs w:val="24"/>
      <w:lang w:eastAsia="it-IT"/>
    </w:rPr>
  </w:style>
  <w:style w:type="paragraph" w:customStyle="1" w:styleId="RefTitre">
    <w:name w:val="Ref Titre"/>
    <w:basedOn w:val="Normal"/>
    <w:rsid w:val="002A2669"/>
    <w:pPr>
      <w:jc w:val="left"/>
    </w:pPr>
    <w:rPr>
      <w:rFonts w:eastAsia="Times New Roman"/>
      <w:b/>
      <w:bCs/>
      <w:sz w:val="26"/>
      <w:szCs w:val="26"/>
    </w:rPr>
  </w:style>
  <w:style w:type="paragraph" w:customStyle="1" w:styleId="Header1">
    <w:name w:val="Header 1"/>
    <w:basedOn w:val="Header"/>
    <w:rsid w:val="002A2669"/>
    <w:rPr>
      <w:b/>
      <w:sz w:val="24"/>
      <w:szCs w:val="24"/>
    </w:rPr>
  </w:style>
  <w:style w:type="character" w:customStyle="1" w:styleId="Pantone485">
    <w:name w:val="Pantone 485"/>
    <w:basedOn w:val="DefaultParagraphFont"/>
    <w:uiPriority w:val="1"/>
    <w:qFormat/>
    <w:rsid w:val="002A2669"/>
    <w:rPr>
      <w:rFonts w:cs="Caecilia-Light"/>
      <w:color w:val="DC281E"/>
      <w:szCs w:val="16"/>
    </w:rPr>
  </w:style>
  <w:style w:type="character" w:customStyle="1" w:styleId="H1Char">
    <w:name w:val="H1 Char"/>
    <w:basedOn w:val="DefaultParagraphFont"/>
    <w:link w:val="H1"/>
    <w:rsid w:val="002A2669"/>
    <w:rPr>
      <w:rFonts w:ascii="Arial" w:hAnsi="Arial" w:cs="Times New Roman"/>
      <w:b/>
      <w:sz w:val="40"/>
      <w:szCs w:val="52"/>
    </w:rPr>
  </w:style>
  <w:style w:type="table" w:customStyle="1" w:styleId="TableGray">
    <w:name w:val="Table Gray"/>
    <w:basedOn w:val="TableNormal"/>
    <w:uiPriority w:val="99"/>
    <w:rsid w:val="002A2669"/>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2A2669"/>
    <w:pPr>
      <w:numPr>
        <w:numId w:val="26"/>
      </w:numPr>
      <w:spacing w:before="120" w:after="120"/>
      <w:contextualSpacing w:val="0"/>
    </w:pPr>
    <w:rPr>
      <w:rFonts w:eastAsia="Cambria" w:cs="Arial"/>
    </w:rPr>
  </w:style>
  <w:style w:type="paragraph" w:customStyle="1" w:styleId="ListNumber1">
    <w:name w:val="List Number 1"/>
    <w:basedOn w:val="Normal"/>
    <w:rsid w:val="002A2669"/>
    <w:pPr>
      <w:numPr>
        <w:ilvl w:val="1"/>
        <w:numId w:val="24"/>
      </w:numPr>
      <w:contextualSpacing/>
    </w:pPr>
    <w:rPr>
      <w:rFonts w:eastAsiaTheme="minorHAnsi" w:cstheme="minorHAnsi"/>
      <w:szCs w:val="22"/>
    </w:rPr>
  </w:style>
  <w:style w:type="paragraph" w:customStyle="1" w:styleId="NormalNo">
    <w:name w:val="Normal + No"/>
    <w:basedOn w:val="Normal"/>
    <w:qFormat/>
    <w:rsid w:val="002A2669"/>
    <w:pPr>
      <w:numPr>
        <w:numId w:val="25"/>
      </w:numPr>
    </w:pPr>
    <w:rPr>
      <w:rFonts w:eastAsia="MS Mincho"/>
      <w:b/>
      <w:sz w:val="22"/>
    </w:rPr>
  </w:style>
  <w:style w:type="paragraph" w:customStyle="1" w:styleId="Bullet3">
    <w:name w:val="Bullet 3"/>
    <w:basedOn w:val="ListParagraph"/>
    <w:qFormat/>
    <w:rsid w:val="002A2669"/>
    <w:pPr>
      <w:numPr>
        <w:numId w:val="27"/>
      </w:numPr>
      <w:spacing w:before="120" w:after="120"/>
      <w:ind w:right="425"/>
    </w:pPr>
    <w:rPr>
      <w:rFonts w:cs="Arial"/>
      <w:i/>
      <w:iCs/>
    </w:rPr>
  </w:style>
  <w:style w:type="paragraph" w:customStyle="1" w:styleId="Indent">
    <w:name w:val="Indent"/>
    <w:basedOn w:val="Normal"/>
    <w:qFormat/>
    <w:rsid w:val="002A2669"/>
    <w:pPr>
      <w:ind w:left="567"/>
    </w:pPr>
    <w:rPr>
      <w:rFonts w:cs="Arial"/>
      <w:b/>
    </w:rPr>
  </w:style>
  <w:style w:type="paragraph" w:customStyle="1" w:styleId="TitreTableau">
    <w:name w:val="Titre Tableau"/>
    <w:basedOn w:val="Normal"/>
    <w:qFormat/>
    <w:rsid w:val="002A2669"/>
    <w:pPr>
      <w:spacing w:before="120"/>
      <w:jc w:val="center"/>
    </w:pPr>
    <w:rPr>
      <w:rFonts w:cs="Arial"/>
      <w:b/>
      <w:bCs/>
      <w:color w:val="FFFFFF" w:themeColor="background1"/>
      <w:lang w:val="en-CA"/>
    </w:rPr>
  </w:style>
  <w:style w:type="paragraph" w:customStyle="1" w:styleId="BulletTableau">
    <w:name w:val="Bullet Tableau"/>
    <w:basedOn w:val="Bullet2"/>
    <w:qFormat/>
    <w:rsid w:val="002A2669"/>
    <w:pPr>
      <w:keepNext/>
      <w:keepLines/>
      <w:framePr w:hSpace="141" w:wrap="around" w:vAnchor="text" w:hAnchor="margin" w:y="402"/>
      <w:numPr>
        <w:numId w:val="28"/>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69"/>
    <w:pPr>
      <w:spacing w:after="120"/>
      <w:jc w:val="both"/>
    </w:pPr>
    <w:rPr>
      <w:rFonts w:ascii="Arial" w:hAnsi="Arial" w:cs="Times New Roman"/>
    </w:rPr>
  </w:style>
  <w:style w:type="paragraph" w:styleId="Heading1">
    <w:name w:val="heading 1"/>
    <w:basedOn w:val="H1"/>
    <w:next w:val="Normal"/>
    <w:link w:val="Heading1Char"/>
    <w:uiPriority w:val="9"/>
    <w:rsid w:val="002A2669"/>
  </w:style>
  <w:style w:type="paragraph" w:styleId="Heading2">
    <w:name w:val="heading 2"/>
    <w:basedOn w:val="Normal"/>
    <w:next w:val="Normal"/>
    <w:link w:val="Heading2Char"/>
    <w:uiPriority w:val="9"/>
    <w:unhideWhenUsed/>
    <w:qFormat/>
    <w:rsid w:val="002A2669"/>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2A2669"/>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669"/>
    <w:pPr>
      <w:spacing w:after="240"/>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2A2669"/>
    <w:rPr>
      <w:rFonts w:ascii="Arial" w:eastAsiaTheme="minorHAnsi" w:hAnsi="Arial" w:cstheme="minorBidi"/>
      <w:szCs w:val="22"/>
    </w:rPr>
  </w:style>
  <w:style w:type="table" w:styleId="TableGrid">
    <w:name w:val="Table Grid"/>
    <w:basedOn w:val="TableNormal"/>
    <w:uiPriority w:val="59"/>
    <w:rsid w:val="002A2669"/>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669"/>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2A2669"/>
    <w:rPr>
      <w:sz w:val="18"/>
      <w:szCs w:val="18"/>
    </w:rPr>
  </w:style>
  <w:style w:type="paragraph" w:styleId="CommentText">
    <w:name w:val="annotation text"/>
    <w:basedOn w:val="Normal"/>
    <w:link w:val="CommentTextChar"/>
    <w:uiPriority w:val="99"/>
    <w:semiHidden/>
    <w:unhideWhenUsed/>
    <w:rsid w:val="00E75DB8"/>
    <w:rPr>
      <w:sz w:val="24"/>
      <w:szCs w:val="24"/>
    </w:rPr>
  </w:style>
  <w:style w:type="character" w:customStyle="1" w:styleId="CommentTextChar">
    <w:name w:val="Comment Text Char"/>
    <w:basedOn w:val="DefaultParagraphFont"/>
    <w:link w:val="CommentText"/>
    <w:uiPriority w:val="99"/>
    <w:semiHidden/>
    <w:rsid w:val="00E75DB8"/>
    <w:rPr>
      <w:sz w:val="24"/>
      <w:szCs w:val="24"/>
      <w:lang w:val="en-GB"/>
    </w:rPr>
  </w:style>
  <w:style w:type="paragraph" w:styleId="CommentSubject">
    <w:name w:val="annotation subject"/>
    <w:basedOn w:val="Normal"/>
    <w:link w:val="CommentSubjectChar"/>
    <w:uiPriority w:val="99"/>
    <w:semiHidden/>
    <w:unhideWhenUsed/>
    <w:rsid w:val="002A2669"/>
    <w:rPr>
      <w:b/>
      <w:bCs/>
    </w:rPr>
  </w:style>
  <w:style w:type="character" w:customStyle="1" w:styleId="CommentSubjectChar">
    <w:name w:val="Comment Subject Char"/>
    <w:basedOn w:val="DefaultParagraphFont"/>
    <w:link w:val="CommentSubject"/>
    <w:uiPriority w:val="99"/>
    <w:semiHidden/>
    <w:rsid w:val="002A2669"/>
    <w:rPr>
      <w:rFonts w:ascii="Arial" w:hAnsi="Arial" w:cs="Times New Roman"/>
      <w:b/>
      <w:bCs/>
    </w:rPr>
  </w:style>
  <w:style w:type="paragraph" w:styleId="BalloonText">
    <w:name w:val="Balloon Text"/>
    <w:basedOn w:val="Normal"/>
    <w:link w:val="BalloonTextChar"/>
    <w:uiPriority w:val="99"/>
    <w:semiHidden/>
    <w:unhideWhenUsed/>
    <w:rsid w:val="002A266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669"/>
    <w:rPr>
      <w:rFonts w:ascii="Lucida Grande" w:hAnsi="Lucida Grande" w:cs="Lucida Grande"/>
      <w:sz w:val="18"/>
      <w:szCs w:val="18"/>
    </w:rPr>
  </w:style>
  <w:style w:type="paragraph" w:styleId="Footer">
    <w:name w:val="footer"/>
    <w:basedOn w:val="Normal"/>
    <w:link w:val="FooterChar"/>
    <w:uiPriority w:val="99"/>
    <w:unhideWhenUsed/>
    <w:rsid w:val="002A2669"/>
    <w:pPr>
      <w:spacing w:after="0"/>
      <w:jc w:val="left"/>
    </w:pPr>
    <w:rPr>
      <w:sz w:val="16"/>
      <w:szCs w:val="18"/>
    </w:rPr>
  </w:style>
  <w:style w:type="character" w:customStyle="1" w:styleId="FooterChar">
    <w:name w:val="Footer Char"/>
    <w:basedOn w:val="DefaultParagraphFont"/>
    <w:link w:val="Footer"/>
    <w:uiPriority w:val="99"/>
    <w:rsid w:val="002A2669"/>
    <w:rPr>
      <w:rFonts w:ascii="Arial" w:hAnsi="Arial" w:cs="Times New Roman"/>
      <w:sz w:val="16"/>
      <w:szCs w:val="18"/>
    </w:rPr>
  </w:style>
  <w:style w:type="character" w:styleId="PageNumber">
    <w:name w:val="page number"/>
    <w:basedOn w:val="DefaultParagraphFont"/>
    <w:uiPriority w:val="99"/>
    <w:unhideWhenUsed/>
    <w:rsid w:val="002A2669"/>
    <w:rPr>
      <w:b/>
    </w:rPr>
  </w:style>
  <w:style w:type="paragraph" w:styleId="Header">
    <w:name w:val="header"/>
    <w:basedOn w:val="Normal"/>
    <w:link w:val="HeaderChar"/>
    <w:uiPriority w:val="99"/>
    <w:unhideWhenUsed/>
    <w:rsid w:val="002A2669"/>
    <w:pPr>
      <w:spacing w:after="0" w:line="288" w:lineRule="auto"/>
      <w:jc w:val="left"/>
    </w:pPr>
    <w:rPr>
      <w:sz w:val="16"/>
    </w:rPr>
  </w:style>
  <w:style w:type="character" w:customStyle="1" w:styleId="HeaderChar">
    <w:name w:val="Header Char"/>
    <w:basedOn w:val="DefaultParagraphFont"/>
    <w:link w:val="Header"/>
    <w:uiPriority w:val="99"/>
    <w:rsid w:val="002A2669"/>
    <w:rPr>
      <w:rFonts w:ascii="Arial" w:hAnsi="Arial" w:cs="Times New Roman"/>
      <w:sz w:val="16"/>
    </w:rPr>
  </w:style>
  <w:style w:type="character" w:styleId="Hyperlink">
    <w:name w:val="Hyperlink"/>
    <w:basedOn w:val="DefaultParagraphFont"/>
    <w:uiPriority w:val="99"/>
    <w:unhideWhenUsed/>
    <w:rsid w:val="002A2669"/>
    <w:rPr>
      <w:color w:val="0000FF" w:themeColor="hyperlink"/>
      <w:u w:val="single"/>
    </w:rPr>
  </w:style>
  <w:style w:type="character" w:styleId="FollowedHyperlink">
    <w:name w:val="FollowedHyperlink"/>
    <w:basedOn w:val="DefaultParagraphFont"/>
    <w:uiPriority w:val="99"/>
    <w:semiHidden/>
    <w:unhideWhenUsed/>
    <w:rsid w:val="002A2669"/>
    <w:rPr>
      <w:color w:val="800080" w:themeColor="followedHyperlink"/>
      <w:u w:val="single"/>
    </w:rPr>
  </w:style>
  <w:style w:type="paragraph" w:styleId="FootnoteText">
    <w:name w:val="footnote text"/>
    <w:basedOn w:val="Normal"/>
    <w:link w:val="FootnoteTextChar"/>
    <w:uiPriority w:val="99"/>
    <w:unhideWhenUsed/>
    <w:rsid w:val="002A2669"/>
    <w:pPr>
      <w:spacing w:after="0"/>
    </w:pPr>
    <w:rPr>
      <w:sz w:val="16"/>
      <w:szCs w:val="22"/>
    </w:rPr>
  </w:style>
  <w:style w:type="character" w:customStyle="1" w:styleId="FootnoteTextChar">
    <w:name w:val="Footnote Text Char"/>
    <w:basedOn w:val="DefaultParagraphFont"/>
    <w:link w:val="FootnoteText"/>
    <w:uiPriority w:val="99"/>
    <w:rsid w:val="002A2669"/>
    <w:rPr>
      <w:rFonts w:ascii="Arial" w:hAnsi="Arial" w:cs="Times New Roman"/>
      <w:sz w:val="16"/>
      <w:szCs w:val="22"/>
    </w:rPr>
  </w:style>
  <w:style w:type="character" w:styleId="FootnoteReference">
    <w:name w:val="footnote reference"/>
    <w:basedOn w:val="DefaultParagraphFont"/>
    <w:uiPriority w:val="99"/>
    <w:unhideWhenUsed/>
    <w:rsid w:val="002A2669"/>
    <w:rPr>
      <w:vertAlign w:val="superscript"/>
    </w:rPr>
  </w:style>
  <w:style w:type="character" w:customStyle="1" w:styleId="aak">
    <w:name w:val="aak"/>
    <w:basedOn w:val="DefaultParagraphFont"/>
    <w:rsid w:val="00D16AA1"/>
  </w:style>
  <w:style w:type="character" w:customStyle="1" w:styleId="apple-converted-space">
    <w:name w:val="apple-converted-space"/>
    <w:basedOn w:val="DefaultParagraphFont"/>
    <w:rsid w:val="00D16AA1"/>
  </w:style>
  <w:style w:type="character" w:customStyle="1" w:styleId="Heading1Char">
    <w:name w:val="Heading 1 Char"/>
    <w:basedOn w:val="DefaultParagraphFont"/>
    <w:link w:val="Heading1"/>
    <w:uiPriority w:val="9"/>
    <w:rsid w:val="002A2669"/>
    <w:rPr>
      <w:rFonts w:ascii="Arial" w:hAnsi="Arial" w:cs="Times New Roman"/>
      <w:b/>
      <w:sz w:val="40"/>
      <w:szCs w:val="52"/>
    </w:rPr>
  </w:style>
  <w:style w:type="character" w:customStyle="1" w:styleId="Heading2Char">
    <w:name w:val="Heading 2 Char"/>
    <w:basedOn w:val="DefaultParagraphFont"/>
    <w:link w:val="Heading2"/>
    <w:uiPriority w:val="9"/>
    <w:rsid w:val="002A2669"/>
    <w:rPr>
      <w:rFonts w:ascii="Arial" w:hAnsi="Arial" w:cs="Times New Roman"/>
      <w:b/>
      <w:caps/>
      <w:sz w:val="24"/>
      <w:szCs w:val="26"/>
    </w:rPr>
  </w:style>
  <w:style w:type="character" w:customStyle="1" w:styleId="Heading3Char">
    <w:name w:val="Heading 3 Char"/>
    <w:basedOn w:val="DefaultParagraphFont"/>
    <w:link w:val="Heading3"/>
    <w:uiPriority w:val="9"/>
    <w:rsid w:val="002A2669"/>
    <w:rPr>
      <w:rFonts w:ascii="Arial" w:hAnsi="Arial" w:cs="Times New Roman"/>
      <w:b/>
      <w:sz w:val="22"/>
      <w:szCs w:val="24"/>
    </w:rPr>
  </w:style>
  <w:style w:type="paragraph" w:styleId="Revision">
    <w:name w:val="Revision"/>
    <w:hidden/>
    <w:uiPriority w:val="99"/>
    <w:semiHidden/>
    <w:rsid w:val="002A2669"/>
    <w:rPr>
      <w:rFonts w:ascii="Arial" w:hAnsi="Arial" w:cs="Arial"/>
      <w:sz w:val="21"/>
      <w:szCs w:val="21"/>
    </w:rPr>
  </w:style>
  <w:style w:type="paragraph" w:customStyle="1" w:styleId="BasicParagraph">
    <w:name w:val="[Basic Paragraph]"/>
    <w:basedOn w:val="Normal"/>
    <w:uiPriority w:val="99"/>
    <w:rsid w:val="002A2669"/>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2A2669"/>
    <w:pPr>
      <w:spacing w:before="360" w:after="240"/>
      <w:jc w:val="left"/>
      <w:outlineLvl w:val="0"/>
    </w:pPr>
    <w:rPr>
      <w:b/>
      <w:sz w:val="40"/>
      <w:szCs w:val="52"/>
    </w:rPr>
  </w:style>
  <w:style w:type="paragraph" w:customStyle="1" w:styleId="Bullet1">
    <w:name w:val="Bullet 1"/>
    <w:basedOn w:val="Normal"/>
    <w:rsid w:val="002A2669"/>
    <w:pPr>
      <w:numPr>
        <w:numId w:val="14"/>
      </w:numPr>
      <w:spacing w:before="60"/>
    </w:pPr>
    <w:rPr>
      <w:rFonts w:eastAsia="Times New Roman"/>
      <w:color w:val="000000"/>
    </w:rPr>
  </w:style>
  <w:style w:type="paragraph" w:customStyle="1" w:styleId="RefItem1">
    <w:name w:val="Ref Item 1"/>
    <w:basedOn w:val="Normal"/>
    <w:rsid w:val="002A2669"/>
    <w:pPr>
      <w:jc w:val="left"/>
    </w:pPr>
    <w:rPr>
      <w:color w:val="000000"/>
      <w:szCs w:val="24"/>
      <w:lang w:eastAsia="it-IT"/>
    </w:rPr>
  </w:style>
  <w:style w:type="paragraph" w:customStyle="1" w:styleId="RefTitre">
    <w:name w:val="Ref Titre"/>
    <w:basedOn w:val="Normal"/>
    <w:rsid w:val="002A2669"/>
    <w:pPr>
      <w:jc w:val="left"/>
    </w:pPr>
    <w:rPr>
      <w:rFonts w:eastAsia="Times New Roman"/>
      <w:b/>
      <w:bCs/>
      <w:sz w:val="26"/>
      <w:szCs w:val="26"/>
    </w:rPr>
  </w:style>
  <w:style w:type="paragraph" w:customStyle="1" w:styleId="Header1">
    <w:name w:val="Header 1"/>
    <w:basedOn w:val="Header"/>
    <w:rsid w:val="002A2669"/>
    <w:rPr>
      <w:b/>
      <w:sz w:val="24"/>
      <w:szCs w:val="24"/>
    </w:rPr>
  </w:style>
  <w:style w:type="character" w:customStyle="1" w:styleId="Pantone485">
    <w:name w:val="Pantone 485"/>
    <w:basedOn w:val="DefaultParagraphFont"/>
    <w:uiPriority w:val="1"/>
    <w:qFormat/>
    <w:rsid w:val="002A2669"/>
    <w:rPr>
      <w:rFonts w:cs="Caecilia-Light"/>
      <w:color w:val="DC281E"/>
      <w:szCs w:val="16"/>
    </w:rPr>
  </w:style>
  <w:style w:type="character" w:customStyle="1" w:styleId="H1Char">
    <w:name w:val="H1 Char"/>
    <w:basedOn w:val="DefaultParagraphFont"/>
    <w:link w:val="H1"/>
    <w:rsid w:val="002A2669"/>
    <w:rPr>
      <w:rFonts w:ascii="Arial" w:hAnsi="Arial" w:cs="Times New Roman"/>
      <w:b/>
      <w:sz w:val="40"/>
      <w:szCs w:val="52"/>
    </w:rPr>
  </w:style>
  <w:style w:type="table" w:customStyle="1" w:styleId="TableGray">
    <w:name w:val="Table Gray"/>
    <w:basedOn w:val="TableNormal"/>
    <w:uiPriority w:val="99"/>
    <w:rsid w:val="002A2669"/>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2A2669"/>
    <w:pPr>
      <w:numPr>
        <w:numId w:val="26"/>
      </w:numPr>
      <w:spacing w:before="120" w:after="120"/>
      <w:contextualSpacing w:val="0"/>
    </w:pPr>
    <w:rPr>
      <w:rFonts w:eastAsia="Cambria" w:cs="Arial"/>
    </w:rPr>
  </w:style>
  <w:style w:type="paragraph" w:customStyle="1" w:styleId="ListNumber1">
    <w:name w:val="List Number 1"/>
    <w:basedOn w:val="Normal"/>
    <w:rsid w:val="002A2669"/>
    <w:pPr>
      <w:numPr>
        <w:ilvl w:val="1"/>
        <w:numId w:val="24"/>
      </w:numPr>
      <w:contextualSpacing/>
    </w:pPr>
    <w:rPr>
      <w:rFonts w:eastAsiaTheme="minorHAnsi" w:cstheme="minorHAnsi"/>
      <w:szCs w:val="22"/>
    </w:rPr>
  </w:style>
  <w:style w:type="paragraph" w:customStyle="1" w:styleId="NormalNo">
    <w:name w:val="Normal + No"/>
    <w:basedOn w:val="Normal"/>
    <w:qFormat/>
    <w:rsid w:val="002A2669"/>
    <w:pPr>
      <w:numPr>
        <w:numId w:val="25"/>
      </w:numPr>
    </w:pPr>
    <w:rPr>
      <w:rFonts w:eastAsia="MS Mincho"/>
      <w:b/>
      <w:sz w:val="22"/>
    </w:rPr>
  </w:style>
  <w:style w:type="paragraph" w:customStyle="1" w:styleId="Bullet3">
    <w:name w:val="Bullet 3"/>
    <w:basedOn w:val="ListParagraph"/>
    <w:qFormat/>
    <w:rsid w:val="002A2669"/>
    <w:pPr>
      <w:numPr>
        <w:numId w:val="27"/>
      </w:numPr>
      <w:spacing w:before="120" w:after="120"/>
      <w:ind w:right="425"/>
    </w:pPr>
    <w:rPr>
      <w:rFonts w:cs="Arial"/>
      <w:i/>
      <w:iCs/>
    </w:rPr>
  </w:style>
  <w:style w:type="paragraph" w:customStyle="1" w:styleId="Indent">
    <w:name w:val="Indent"/>
    <w:basedOn w:val="Normal"/>
    <w:qFormat/>
    <w:rsid w:val="002A2669"/>
    <w:pPr>
      <w:ind w:left="567"/>
    </w:pPr>
    <w:rPr>
      <w:rFonts w:cs="Arial"/>
      <w:b/>
    </w:rPr>
  </w:style>
  <w:style w:type="paragraph" w:customStyle="1" w:styleId="TitreTableau">
    <w:name w:val="Titre Tableau"/>
    <w:basedOn w:val="Normal"/>
    <w:qFormat/>
    <w:rsid w:val="002A2669"/>
    <w:pPr>
      <w:spacing w:before="120"/>
      <w:jc w:val="center"/>
    </w:pPr>
    <w:rPr>
      <w:rFonts w:cs="Arial"/>
      <w:b/>
      <w:bCs/>
      <w:color w:val="FFFFFF" w:themeColor="background1"/>
      <w:lang w:val="en-CA"/>
    </w:rPr>
  </w:style>
  <w:style w:type="paragraph" w:customStyle="1" w:styleId="BulletTableau">
    <w:name w:val="Bullet Tableau"/>
    <w:basedOn w:val="Bullet2"/>
    <w:qFormat/>
    <w:rsid w:val="002A2669"/>
    <w:pPr>
      <w:keepNext/>
      <w:keepLines/>
      <w:framePr w:hSpace="141" w:wrap="around" w:vAnchor="text" w:hAnchor="margin" w:y="402"/>
      <w:numPr>
        <w:numId w:val="28"/>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26046">
      <w:bodyDiv w:val="1"/>
      <w:marLeft w:val="0"/>
      <w:marRight w:val="0"/>
      <w:marTop w:val="0"/>
      <w:marBottom w:val="0"/>
      <w:divBdr>
        <w:top w:val="none" w:sz="0" w:space="0" w:color="auto"/>
        <w:left w:val="none" w:sz="0" w:space="0" w:color="auto"/>
        <w:bottom w:val="none" w:sz="0" w:space="0" w:color="auto"/>
        <w:right w:val="none" w:sz="0" w:space="0" w:color="auto"/>
      </w:divBdr>
    </w:div>
    <w:div w:id="234511121">
      <w:bodyDiv w:val="1"/>
      <w:marLeft w:val="0"/>
      <w:marRight w:val="0"/>
      <w:marTop w:val="0"/>
      <w:marBottom w:val="0"/>
      <w:divBdr>
        <w:top w:val="none" w:sz="0" w:space="0" w:color="auto"/>
        <w:left w:val="none" w:sz="0" w:space="0" w:color="auto"/>
        <w:bottom w:val="none" w:sz="0" w:space="0" w:color="auto"/>
        <w:right w:val="none" w:sz="0" w:space="0" w:color="auto"/>
      </w:divBdr>
    </w:div>
    <w:div w:id="271785179">
      <w:bodyDiv w:val="1"/>
      <w:marLeft w:val="0"/>
      <w:marRight w:val="0"/>
      <w:marTop w:val="0"/>
      <w:marBottom w:val="0"/>
      <w:divBdr>
        <w:top w:val="none" w:sz="0" w:space="0" w:color="auto"/>
        <w:left w:val="none" w:sz="0" w:space="0" w:color="auto"/>
        <w:bottom w:val="none" w:sz="0" w:space="0" w:color="auto"/>
        <w:right w:val="none" w:sz="0" w:space="0" w:color="auto"/>
      </w:divBdr>
    </w:div>
    <w:div w:id="577128891">
      <w:bodyDiv w:val="1"/>
      <w:marLeft w:val="0"/>
      <w:marRight w:val="0"/>
      <w:marTop w:val="0"/>
      <w:marBottom w:val="0"/>
      <w:divBdr>
        <w:top w:val="none" w:sz="0" w:space="0" w:color="auto"/>
        <w:left w:val="none" w:sz="0" w:space="0" w:color="auto"/>
        <w:bottom w:val="none" w:sz="0" w:space="0" w:color="auto"/>
        <w:right w:val="none" w:sz="0" w:space="0" w:color="auto"/>
      </w:divBdr>
    </w:div>
    <w:div w:id="658047550">
      <w:bodyDiv w:val="1"/>
      <w:marLeft w:val="0"/>
      <w:marRight w:val="0"/>
      <w:marTop w:val="0"/>
      <w:marBottom w:val="0"/>
      <w:divBdr>
        <w:top w:val="none" w:sz="0" w:space="0" w:color="auto"/>
        <w:left w:val="none" w:sz="0" w:space="0" w:color="auto"/>
        <w:bottom w:val="none" w:sz="0" w:space="0" w:color="auto"/>
        <w:right w:val="none" w:sz="0" w:space="0" w:color="auto"/>
      </w:divBdr>
    </w:div>
    <w:div w:id="664744454">
      <w:bodyDiv w:val="1"/>
      <w:marLeft w:val="0"/>
      <w:marRight w:val="0"/>
      <w:marTop w:val="0"/>
      <w:marBottom w:val="0"/>
      <w:divBdr>
        <w:top w:val="none" w:sz="0" w:space="0" w:color="auto"/>
        <w:left w:val="none" w:sz="0" w:space="0" w:color="auto"/>
        <w:bottom w:val="none" w:sz="0" w:space="0" w:color="auto"/>
        <w:right w:val="none" w:sz="0" w:space="0" w:color="auto"/>
      </w:divBdr>
    </w:div>
    <w:div w:id="813834297">
      <w:bodyDiv w:val="1"/>
      <w:marLeft w:val="0"/>
      <w:marRight w:val="0"/>
      <w:marTop w:val="0"/>
      <w:marBottom w:val="0"/>
      <w:divBdr>
        <w:top w:val="none" w:sz="0" w:space="0" w:color="auto"/>
        <w:left w:val="none" w:sz="0" w:space="0" w:color="auto"/>
        <w:bottom w:val="none" w:sz="0" w:space="0" w:color="auto"/>
        <w:right w:val="none" w:sz="0" w:space="0" w:color="auto"/>
      </w:divBdr>
    </w:div>
    <w:div w:id="956763289">
      <w:bodyDiv w:val="1"/>
      <w:marLeft w:val="0"/>
      <w:marRight w:val="0"/>
      <w:marTop w:val="0"/>
      <w:marBottom w:val="0"/>
      <w:divBdr>
        <w:top w:val="none" w:sz="0" w:space="0" w:color="auto"/>
        <w:left w:val="none" w:sz="0" w:space="0" w:color="auto"/>
        <w:bottom w:val="none" w:sz="0" w:space="0" w:color="auto"/>
        <w:right w:val="none" w:sz="0" w:space="0" w:color="auto"/>
      </w:divBdr>
      <w:divsChild>
        <w:div w:id="2113360194">
          <w:marLeft w:val="547"/>
          <w:marRight w:val="0"/>
          <w:marTop w:val="0"/>
          <w:marBottom w:val="0"/>
          <w:divBdr>
            <w:top w:val="none" w:sz="0" w:space="0" w:color="auto"/>
            <w:left w:val="none" w:sz="0" w:space="0" w:color="auto"/>
            <w:bottom w:val="none" w:sz="0" w:space="0" w:color="auto"/>
            <w:right w:val="none" w:sz="0" w:space="0" w:color="auto"/>
          </w:divBdr>
        </w:div>
        <w:div w:id="1445344227">
          <w:marLeft w:val="547"/>
          <w:marRight w:val="0"/>
          <w:marTop w:val="0"/>
          <w:marBottom w:val="0"/>
          <w:divBdr>
            <w:top w:val="none" w:sz="0" w:space="0" w:color="auto"/>
            <w:left w:val="none" w:sz="0" w:space="0" w:color="auto"/>
            <w:bottom w:val="none" w:sz="0" w:space="0" w:color="auto"/>
            <w:right w:val="none" w:sz="0" w:space="0" w:color="auto"/>
          </w:divBdr>
        </w:div>
        <w:div w:id="1434664639">
          <w:marLeft w:val="547"/>
          <w:marRight w:val="0"/>
          <w:marTop w:val="0"/>
          <w:marBottom w:val="0"/>
          <w:divBdr>
            <w:top w:val="none" w:sz="0" w:space="0" w:color="auto"/>
            <w:left w:val="none" w:sz="0" w:space="0" w:color="auto"/>
            <w:bottom w:val="none" w:sz="0" w:space="0" w:color="auto"/>
            <w:right w:val="none" w:sz="0" w:space="0" w:color="auto"/>
          </w:divBdr>
        </w:div>
        <w:div w:id="671177040">
          <w:marLeft w:val="547"/>
          <w:marRight w:val="0"/>
          <w:marTop w:val="0"/>
          <w:marBottom w:val="0"/>
          <w:divBdr>
            <w:top w:val="none" w:sz="0" w:space="0" w:color="auto"/>
            <w:left w:val="none" w:sz="0" w:space="0" w:color="auto"/>
            <w:bottom w:val="none" w:sz="0" w:space="0" w:color="auto"/>
            <w:right w:val="none" w:sz="0" w:space="0" w:color="auto"/>
          </w:divBdr>
        </w:div>
        <w:div w:id="1703282671">
          <w:marLeft w:val="547"/>
          <w:marRight w:val="0"/>
          <w:marTop w:val="0"/>
          <w:marBottom w:val="0"/>
          <w:divBdr>
            <w:top w:val="none" w:sz="0" w:space="0" w:color="auto"/>
            <w:left w:val="none" w:sz="0" w:space="0" w:color="auto"/>
            <w:bottom w:val="none" w:sz="0" w:space="0" w:color="auto"/>
            <w:right w:val="none" w:sz="0" w:space="0" w:color="auto"/>
          </w:divBdr>
        </w:div>
        <w:div w:id="791946294">
          <w:marLeft w:val="547"/>
          <w:marRight w:val="0"/>
          <w:marTop w:val="0"/>
          <w:marBottom w:val="0"/>
          <w:divBdr>
            <w:top w:val="none" w:sz="0" w:space="0" w:color="auto"/>
            <w:left w:val="none" w:sz="0" w:space="0" w:color="auto"/>
            <w:bottom w:val="none" w:sz="0" w:space="0" w:color="auto"/>
            <w:right w:val="none" w:sz="0" w:space="0" w:color="auto"/>
          </w:divBdr>
        </w:div>
      </w:divsChild>
    </w:div>
    <w:div w:id="19046391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ihpn.org/hpn-resources/network-papers/response-analysis-and-response-choice-in-food-security-crises-a-roadmap" TargetMode="Externa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mma-toolkit.or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tionagainsthunger.org/publication/2007/10/implementing-cash-based-interventions-guideline-aid-worke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reparecenter.org/sites/default/files/rc_guidelines_for_ctp_-_fr_0.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dihpn.org/documents%2Fgpr11.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ICRC_Template.dotx</Template>
  <TotalTime>488</TotalTime>
  <Pages>2</Pages>
  <Words>1127</Words>
  <Characters>6428</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Private</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Pantaleo Creti</dc:creator>
  <cp:lastModifiedBy>Florence MAROT</cp:lastModifiedBy>
  <cp:revision>36</cp:revision>
  <cp:lastPrinted>2015-12-03T12:21:00Z</cp:lastPrinted>
  <dcterms:created xsi:type="dcterms:W3CDTF">2015-10-07T09:59:00Z</dcterms:created>
  <dcterms:modified xsi:type="dcterms:W3CDTF">2016-04-11T10:41:00Z</dcterms:modified>
</cp:coreProperties>
</file>