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BFEA" w14:textId="4309A06B" w:rsidR="00310F7F" w:rsidRPr="0031434C" w:rsidRDefault="0031434C" w:rsidP="00C70A99">
      <w:pPr>
        <w:pStyle w:val="H1"/>
        <w:rPr>
          <w:lang w:val="es-ES"/>
        </w:rPr>
      </w:pPr>
      <w:r w:rsidRPr="0031434C">
        <w:rPr>
          <w:lang w:val="es-ES"/>
        </w:rPr>
        <w:t>Hoja de ruta para la evaluación de</w:t>
      </w:r>
      <w:r>
        <w:rPr>
          <w:lang w:val="es-ES"/>
        </w:rPr>
        <w:t>l</w:t>
      </w:r>
      <w:r w:rsidRPr="0031434C">
        <w:rPr>
          <w:lang w:val="es-ES"/>
        </w:rPr>
        <w:t xml:space="preserve"> </w:t>
      </w:r>
      <w:r>
        <w:rPr>
          <w:lang w:val="es-ES"/>
        </w:rPr>
        <w:t>m</w:t>
      </w:r>
      <w:r w:rsidRPr="0031434C">
        <w:rPr>
          <w:lang w:val="es-ES"/>
        </w:rPr>
        <w:t xml:space="preserve">ercado </w:t>
      </w:r>
    </w:p>
    <w:tbl>
      <w:tblPr>
        <w:tblStyle w:val="TableGrid11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64782D" w14:paraId="61FECCD9" w14:textId="77777777" w:rsidTr="0064782D"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FA6" w14:textId="77777777" w:rsidR="0064782D" w:rsidRDefault="0064782D">
            <w:pPr>
              <w:keepNext/>
              <w:spacing w:before="144" w:after="48"/>
              <w:ind w:left="720"/>
              <w:contextualSpacing/>
              <w:jc w:val="center"/>
              <w:outlineLvl w:val="1"/>
              <w:rPr>
                <w:rFonts w:cs="Arial"/>
                <w:b/>
                <w:caps/>
                <w:sz w:val="24"/>
                <w:szCs w:val="26"/>
                <w:shd w:val="clear" w:color="auto" w:fill="FFFFFF"/>
              </w:rPr>
            </w:pPr>
            <w:r>
              <w:rPr>
                <w:rFonts w:cs="Arial"/>
                <w:b/>
                <w:caps/>
                <w:sz w:val="24"/>
                <w:szCs w:val="26"/>
                <w:shd w:val="clear" w:color="auto" w:fill="FFFFFF"/>
              </w:rPr>
              <w:t xml:space="preserve">EVALUACIÓN de necesidades </w:t>
            </w:r>
          </w:p>
        </w:tc>
      </w:tr>
      <w:tr w:rsidR="0064782D" w14:paraId="7C82E773" w14:textId="77777777" w:rsidTr="006478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DDB" w14:textId="77777777" w:rsidR="0064782D" w:rsidRDefault="0064782D" w:rsidP="0064782D">
            <w:pPr>
              <w:keepNext/>
              <w:numPr>
                <w:ilvl w:val="0"/>
                <w:numId w:val="12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b/>
                <w:caps/>
                <w:sz w:val="16"/>
                <w:szCs w:val="16"/>
                <w:shd w:val="clear" w:color="auto" w:fill="FFFFFF"/>
              </w:rPr>
              <w:t xml:space="preserve">planificación y preparación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C90C" w14:textId="77777777" w:rsidR="0064782D" w:rsidRDefault="0064782D" w:rsidP="0064782D">
            <w:pPr>
              <w:keepNext/>
              <w:numPr>
                <w:ilvl w:val="0"/>
                <w:numId w:val="12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evaluación a nivel de comunidad teniendo en cuenta aspectos relativos a PTE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DEF" w14:textId="77777777" w:rsidR="0064782D" w:rsidRDefault="0064782D" w:rsidP="0064782D">
            <w:pPr>
              <w:keepNext/>
              <w:numPr>
                <w:ilvl w:val="0"/>
                <w:numId w:val="12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Evaluación rápida del mercado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4F2" w14:textId="77777777" w:rsidR="0064782D" w:rsidRDefault="0064782D" w:rsidP="0064782D">
            <w:pPr>
              <w:keepNext/>
              <w:numPr>
                <w:ilvl w:val="0"/>
                <w:numId w:val="12"/>
              </w:numPr>
              <w:spacing w:before="144" w:after="48"/>
              <w:contextualSpacing/>
              <w:jc w:val="left"/>
              <w:outlineLvl w:val="1"/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cs="Arial"/>
                <w:b/>
                <w:caps/>
                <w:sz w:val="16"/>
                <w:szCs w:val="16"/>
                <w:shd w:val="clear" w:color="auto" w:fill="FFFFFF"/>
                <w:lang w:val="es-ES"/>
              </w:rPr>
              <w:t xml:space="preserve">Proveedores de servicios, capacidad de la organización y análisis de riesgos </w:t>
            </w:r>
          </w:p>
        </w:tc>
      </w:tr>
      <w:tr w:rsidR="0064782D" w14:paraId="0D4F640C" w14:textId="77777777" w:rsidTr="006478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282E" w14:textId="77777777" w:rsidR="0064782D" w:rsidRDefault="0064782D">
            <w:pPr>
              <w:spacing w:before="144" w:after="48"/>
              <w:ind w:left="720"/>
              <w:contextualSpacing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</w:p>
          <w:p w14:paraId="32703ADD" w14:textId="77777777" w:rsidR="0064782D" w:rsidRDefault="0064782D" w:rsidP="0064782D">
            <w:pPr>
              <w:numPr>
                <w:ilvl w:val="0"/>
                <w:numId w:val="13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Decisión inicial sobre el uso de PTE </w:t>
            </w:r>
          </w:p>
          <w:p w14:paraId="168EF512" w14:textId="77777777" w:rsidR="0064782D" w:rsidRDefault="0064782D" w:rsidP="0064782D">
            <w:pPr>
              <w:numPr>
                <w:ilvl w:val="0"/>
                <w:numId w:val="13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>Selección de las herramientas para la evaluación</w:t>
            </w:r>
          </w:p>
          <w:p w14:paraId="055C83A4" w14:textId="77777777" w:rsidR="0064782D" w:rsidRDefault="0064782D" w:rsidP="0064782D">
            <w:pPr>
              <w:numPr>
                <w:ilvl w:val="0"/>
                <w:numId w:val="13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>Encontrar información secundaria relevante</w:t>
            </w:r>
          </w:p>
          <w:p w14:paraId="4932E4B9" w14:textId="77777777" w:rsidR="0064782D" w:rsidRDefault="0064782D" w:rsidP="0064782D">
            <w:pPr>
              <w:numPr>
                <w:ilvl w:val="0"/>
                <w:numId w:val="13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Mapeo de los actores/grupos interesados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540" w14:textId="77777777" w:rsidR="0064782D" w:rsidRDefault="0064782D">
            <w:pPr>
              <w:spacing w:before="144" w:after="48"/>
              <w:ind w:left="720"/>
              <w:contextualSpacing/>
              <w:rPr>
                <w:lang w:val="es-ES"/>
              </w:rPr>
            </w:pPr>
          </w:p>
          <w:p w14:paraId="25A20C23" w14:textId="77777777" w:rsidR="0064782D" w:rsidRDefault="0064782D" w:rsidP="0064782D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Obtener información específica sobre entrega de efectivo en la comunidad </w:t>
            </w:r>
          </w:p>
          <w:p w14:paraId="54B863EB" w14:textId="77777777" w:rsidR="0064782D" w:rsidRDefault="0064782D" w:rsidP="0064782D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Entender el acceso a los mercados y a los servicios financieros </w:t>
            </w:r>
          </w:p>
          <w:p w14:paraId="40DE19F8" w14:textId="77777777" w:rsidR="0064782D" w:rsidRDefault="0064782D" w:rsidP="0064782D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Identificar y cuantificar las necesidades prioritarias </w:t>
            </w:r>
          </w:p>
          <w:p w14:paraId="239712A4" w14:textId="77777777" w:rsidR="0064782D" w:rsidRDefault="0064782D" w:rsidP="0064782D">
            <w:pPr>
              <w:numPr>
                <w:ilvl w:val="0"/>
                <w:numId w:val="14"/>
              </w:numPr>
              <w:spacing w:before="144" w:after="48"/>
              <w:contextualSpacing/>
              <w:rPr>
                <w:rFonts w:eastAsiaTheme="minorHAnsi" w:cs="Arial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Consolidar los resultados de la información recogida a nivel de comunidad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E55B" w14:textId="77777777" w:rsidR="0064782D" w:rsidRDefault="0064782D" w:rsidP="0064782D">
            <w:pPr>
              <w:keepNext/>
              <w:numPr>
                <w:ilvl w:val="0"/>
                <w:numId w:val="15"/>
              </w:numPr>
              <w:spacing w:before="144" w:after="48"/>
              <w:contextualSpacing/>
              <w:jc w:val="left"/>
              <w:outlineLvl w:val="1"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Identificar los productos y los mercados principales </w:t>
            </w:r>
          </w:p>
          <w:p w14:paraId="6B15D4B5" w14:textId="77777777" w:rsidR="0064782D" w:rsidRDefault="0064782D" w:rsidP="0064782D">
            <w:pPr>
              <w:numPr>
                <w:ilvl w:val="0"/>
                <w:numId w:val="15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>Recabar información sobre mercados</w:t>
            </w:r>
          </w:p>
          <w:p w14:paraId="3F8E1F50" w14:textId="77777777" w:rsidR="0064782D" w:rsidRDefault="0064782D" w:rsidP="0064782D">
            <w:pPr>
              <w:numPr>
                <w:ilvl w:val="0"/>
                <w:numId w:val="15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>Consolidar los hallazgos sobre los mercados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07C5" w14:textId="77777777" w:rsidR="0064782D" w:rsidRDefault="0064782D" w:rsidP="0064782D">
            <w:pPr>
              <w:keepNext/>
              <w:numPr>
                <w:ilvl w:val="0"/>
                <w:numId w:val="16"/>
              </w:numPr>
              <w:spacing w:before="144" w:after="48"/>
              <w:contextualSpacing/>
              <w:jc w:val="left"/>
              <w:outlineLvl w:val="1"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Evaluar los servicios financieros </w:t>
            </w:r>
          </w:p>
          <w:p w14:paraId="14BAE3E4" w14:textId="77777777" w:rsidR="0064782D" w:rsidRDefault="0064782D" w:rsidP="0064782D">
            <w:pPr>
              <w:numPr>
                <w:ilvl w:val="0"/>
                <w:numId w:val="16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>Evaluar la capacidad organizativa</w:t>
            </w:r>
          </w:p>
          <w:p w14:paraId="60C554B4" w14:textId="77777777" w:rsidR="0064782D" w:rsidRDefault="0064782D" w:rsidP="0064782D">
            <w:pPr>
              <w:numPr>
                <w:ilvl w:val="0"/>
                <w:numId w:val="16"/>
              </w:numPr>
              <w:spacing w:before="144" w:after="48"/>
              <w:contextualSpacing/>
              <w:rPr>
                <w:rFonts w:eastAsiaTheme="minorHAnsi" w:cstheme="minorBidi"/>
                <w:szCs w:val="22"/>
                <w:lang w:val="es-ES"/>
              </w:rPr>
            </w:pPr>
            <w:r>
              <w:rPr>
                <w:rFonts w:eastAsiaTheme="minorHAnsi" w:cstheme="minorBidi"/>
                <w:szCs w:val="22"/>
                <w:lang w:val="es-ES"/>
              </w:rPr>
              <w:t xml:space="preserve">Analizar los riesgos </w:t>
            </w:r>
          </w:p>
        </w:tc>
      </w:tr>
    </w:tbl>
    <w:p w14:paraId="49B0E027" w14:textId="36479743" w:rsidR="00C83F9A" w:rsidRPr="00B95393" w:rsidRDefault="0031434C" w:rsidP="002A6C7E">
      <w:pPr>
        <w:pStyle w:val="Heading2"/>
      </w:pPr>
      <w:bookmarkStart w:id="0" w:name="_GoBack"/>
      <w:bookmarkEnd w:id="0"/>
      <w:r>
        <w:t>INTRODUCCIó</w:t>
      </w:r>
      <w:r w:rsidR="00E66A9A" w:rsidRPr="007E00C6">
        <w:t>N</w:t>
      </w:r>
    </w:p>
    <w:p w14:paraId="60CA9C0A" w14:textId="04F16D9D" w:rsidR="0031434C" w:rsidRPr="0031434C" w:rsidRDefault="0031434C" w:rsidP="0031434C">
      <w:pPr>
        <w:rPr>
          <w:lang w:val="es-ES"/>
        </w:rPr>
      </w:pPr>
      <w:r w:rsidRPr="0031434C">
        <w:rPr>
          <w:lang w:val="es-ES"/>
        </w:rPr>
        <w:t>En situaciones de emergencia, las evaluaciones del mercado pueden ayudar a entender la capacidad del mercado para abastecer a la población afectada</w:t>
      </w:r>
      <w:r>
        <w:rPr>
          <w:lang w:val="es-ES"/>
        </w:rPr>
        <w:t xml:space="preserve"> por el </w:t>
      </w:r>
      <w:r w:rsidRPr="0031434C">
        <w:rPr>
          <w:lang w:val="es-ES"/>
        </w:rPr>
        <w:t xml:space="preserve">choque con productos y servicios prioritarios. También pueden ayudar a entender los riesgos de posibles intervenciones que </w:t>
      </w:r>
      <w:r w:rsidR="00B4799E">
        <w:rPr>
          <w:lang w:val="es-ES"/>
        </w:rPr>
        <w:t xml:space="preserve">pueden tener efectos negativos; </w:t>
      </w:r>
      <w:r w:rsidR="00A77FB1">
        <w:rPr>
          <w:lang w:val="es-ES"/>
        </w:rPr>
        <w:t>y también</w:t>
      </w:r>
      <w:r w:rsidR="00B4799E">
        <w:rPr>
          <w:lang w:val="es-ES"/>
        </w:rPr>
        <w:t xml:space="preserve"> </w:t>
      </w:r>
      <w:r w:rsidRPr="0031434C">
        <w:rPr>
          <w:lang w:val="es-ES"/>
        </w:rPr>
        <w:t xml:space="preserve">cómo apoyar la recuperación. Esta hoja de ruta </w:t>
      </w:r>
      <w:r w:rsidR="00B4799E">
        <w:rPr>
          <w:lang w:val="es-ES"/>
        </w:rPr>
        <w:t>pretende ayudar</w:t>
      </w:r>
      <w:r w:rsidRPr="0031434C">
        <w:rPr>
          <w:lang w:val="es-ES"/>
        </w:rPr>
        <w:t xml:space="preserve"> a </w:t>
      </w:r>
      <w:r w:rsidR="00B4799E">
        <w:rPr>
          <w:lang w:val="es-ES"/>
        </w:rPr>
        <w:t xml:space="preserve">moverse </w:t>
      </w:r>
      <w:r w:rsidRPr="0031434C">
        <w:rPr>
          <w:lang w:val="es-ES"/>
        </w:rPr>
        <w:t>a través del proceso de realización de una evaluación rápida del mercado después de un choque.</w:t>
      </w:r>
    </w:p>
    <w:p w14:paraId="78903D3D" w14:textId="57F542F5" w:rsidR="00B4799E" w:rsidRPr="00B4799E" w:rsidRDefault="00B4799E" w:rsidP="0031434C">
      <w:pPr>
        <w:rPr>
          <w:lang w:val="es-ES"/>
        </w:rPr>
      </w:pPr>
      <w:r>
        <w:rPr>
          <w:lang w:val="es-ES"/>
        </w:rPr>
        <w:t xml:space="preserve">A </w:t>
      </w:r>
      <w:r w:rsidR="0031434C" w:rsidRPr="0031434C">
        <w:rPr>
          <w:lang w:val="es-ES"/>
        </w:rPr>
        <w:t xml:space="preserve">efectos de la Caja de </w:t>
      </w:r>
      <w:r>
        <w:rPr>
          <w:lang w:val="es-ES"/>
        </w:rPr>
        <w:t>h</w:t>
      </w:r>
      <w:r w:rsidR="0031434C" w:rsidRPr="0031434C">
        <w:rPr>
          <w:lang w:val="es-ES"/>
        </w:rPr>
        <w:t xml:space="preserve">erramientas </w:t>
      </w:r>
      <w:r>
        <w:rPr>
          <w:lang w:val="es-ES"/>
        </w:rPr>
        <w:t xml:space="preserve">para PTE en emergencias, </w:t>
      </w:r>
      <w:r w:rsidR="0031434C" w:rsidRPr="0031434C">
        <w:rPr>
          <w:lang w:val="es-ES"/>
        </w:rPr>
        <w:t xml:space="preserve">el proceso de evaluación rápida del mercado </w:t>
      </w:r>
      <w:r>
        <w:rPr>
          <w:lang w:val="es-ES"/>
        </w:rPr>
        <w:t xml:space="preserve">se ha dividido en tres sub-etapas. La primera sub-etapa </w:t>
      </w:r>
      <w:r w:rsidR="0031434C" w:rsidRPr="0031434C">
        <w:rPr>
          <w:lang w:val="es-ES"/>
        </w:rPr>
        <w:t>guía a través de la selección de l</w:t>
      </w:r>
      <w:r>
        <w:rPr>
          <w:lang w:val="es-ES"/>
        </w:rPr>
        <w:t>o</w:t>
      </w:r>
      <w:r w:rsidR="0031434C" w:rsidRPr="0031434C">
        <w:rPr>
          <w:lang w:val="es-ES"/>
        </w:rPr>
        <w:t xml:space="preserve">s </w:t>
      </w:r>
      <w:r>
        <w:rPr>
          <w:lang w:val="es-ES"/>
        </w:rPr>
        <w:t xml:space="preserve">productos </w:t>
      </w:r>
      <w:r w:rsidR="0031434C" w:rsidRPr="0031434C">
        <w:rPr>
          <w:lang w:val="es-ES"/>
        </w:rPr>
        <w:t xml:space="preserve">y los mercados </w:t>
      </w:r>
      <w:r>
        <w:rPr>
          <w:lang w:val="es-ES"/>
        </w:rPr>
        <w:t xml:space="preserve">físicos </w:t>
      </w:r>
      <w:r w:rsidR="0031434C" w:rsidRPr="0031434C">
        <w:rPr>
          <w:lang w:val="es-ES"/>
        </w:rPr>
        <w:t>a evaluar. La segunda sub-etapa apoya</w:t>
      </w:r>
      <w:r>
        <w:rPr>
          <w:lang w:val="es-ES"/>
        </w:rPr>
        <w:t xml:space="preserve"> en</w:t>
      </w:r>
      <w:r w:rsidR="0031434C" w:rsidRPr="0031434C">
        <w:rPr>
          <w:lang w:val="es-ES"/>
        </w:rPr>
        <w:t xml:space="preserve"> la recopilación y consolidación de la información relevante de los mercados seleccionados. </w:t>
      </w:r>
      <w:r w:rsidR="0031434C" w:rsidRPr="00B4799E">
        <w:rPr>
          <w:lang w:val="es-ES"/>
        </w:rPr>
        <w:t>La tercera sub</w:t>
      </w:r>
      <w:r w:rsidRPr="00B4799E">
        <w:rPr>
          <w:lang w:val="es-ES"/>
        </w:rPr>
        <w:t>-</w:t>
      </w:r>
      <w:r>
        <w:rPr>
          <w:lang w:val="es-ES"/>
        </w:rPr>
        <w:t>etapa guía el</w:t>
      </w:r>
      <w:r w:rsidR="0031434C" w:rsidRPr="00B4799E">
        <w:rPr>
          <w:lang w:val="es-ES"/>
        </w:rPr>
        <w:t xml:space="preserve"> análisis y</w:t>
      </w:r>
      <w:r>
        <w:rPr>
          <w:lang w:val="es-ES"/>
        </w:rPr>
        <w:t xml:space="preserve"> las</w:t>
      </w:r>
      <w:r w:rsidR="0031434C" w:rsidRPr="00B4799E">
        <w:rPr>
          <w:lang w:val="es-ES"/>
        </w:rPr>
        <w:t xml:space="preserve"> conclusiones sobre la capacidad del mercado.</w:t>
      </w:r>
    </w:p>
    <w:p w14:paraId="21941621" w14:textId="2359CC19" w:rsidR="00C83F9A" w:rsidRPr="00375FBF" w:rsidRDefault="00B4799E" w:rsidP="00375FBF">
      <w:pPr>
        <w:rPr>
          <w:rFonts w:cs="O¯øœ!Ÿ"/>
          <w:lang w:val="es-ES"/>
        </w:rPr>
      </w:pPr>
      <w:r w:rsidRPr="00B4799E">
        <w:rPr>
          <w:lang w:val="es-ES"/>
        </w:rPr>
        <w:t>El proceso y las herramientas sugeridas aquí</w:t>
      </w:r>
      <w:r>
        <w:rPr>
          <w:lang w:val="es-ES"/>
        </w:rPr>
        <w:t>,</w:t>
      </w:r>
      <w:r w:rsidRPr="00B4799E">
        <w:rPr>
          <w:lang w:val="es-ES"/>
        </w:rPr>
        <w:t xml:space="preserve"> han sido tomados de las directrices de RAM</w:t>
      </w:r>
      <w:r w:rsidR="00375FBF">
        <w:rPr>
          <w:rStyle w:val="FootnoteReference"/>
          <w:lang w:val="es-ES"/>
        </w:rPr>
        <w:footnoteReference w:id="1"/>
      </w:r>
      <w:r w:rsidR="00A77FB1">
        <w:rPr>
          <w:lang w:val="es-ES"/>
        </w:rPr>
        <w:t>. Se</w:t>
      </w:r>
      <w:r w:rsidRPr="00B4799E">
        <w:rPr>
          <w:lang w:val="es-ES"/>
        </w:rPr>
        <w:t xml:space="preserve"> puede optar por seguir la</w:t>
      </w:r>
      <w:r w:rsidR="00A77FB1">
        <w:rPr>
          <w:lang w:val="es-ES"/>
        </w:rPr>
        <w:t>s</w:t>
      </w:r>
      <w:r w:rsidRPr="00B4799E">
        <w:rPr>
          <w:lang w:val="es-ES"/>
        </w:rPr>
        <w:t xml:space="preserve"> RAM o, si el tiempo y los recursos lo permiten, otro enfoque en profundidad, como el MAG o EMMA. En los d</w:t>
      </w:r>
      <w:r>
        <w:rPr>
          <w:lang w:val="es-ES"/>
        </w:rPr>
        <w:t>ocumentos de referencia sugerido</w:t>
      </w:r>
      <w:r w:rsidRPr="00B4799E">
        <w:rPr>
          <w:lang w:val="es-ES"/>
        </w:rPr>
        <w:t>s al</w:t>
      </w:r>
      <w:r w:rsidR="00A77FB1">
        <w:rPr>
          <w:lang w:val="es-ES"/>
        </w:rPr>
        <w:t xml:space="preserve"> final de la hoja de ruta, se encue</w:t>
      </w:r>
      <w:r w:rsidRPr="00B4799E">
        <w:rPr>
          <w:lang w:val="es-ES"/>
        </w:rPr>
        <w:t>ntra</w:t>
      </w:r>
      <w:r w:rsidR="00A77FB1">
        <w:rPr>
          <w:lang w:val="es-ES"/>
        </w:rPr>
        <w:t xml:space="preserve">n </w:t>
      </w:r>
      <w:r w:rsidRPr="00B4799E">
        <w:rPr>
          <w:lang w:val="es-ES"/>
        </w:rPr>
        <w:t>las pautas de RAM y otros enfoques de evaluación de</w:t>
      </w:r>
      <w:r w:rsidR="00375FBF">
        <w:rPr>
          <w:lang w:val="es-ES"/>
        </w:rPr>
        <w:t>l</w:t>
      </w:r>
      <w:r w:rsidRPr="00B4799E">
        <w:rPr>
          <w:lang w:val="es-ES"/>
        </w:rPr>
        <w:t xml:space="preserve"> mercado </w:t>
      </w:r>
      <w:r w:rsidR="00375FBF">
        <w:rPr>
          <w:lang w:val="es-ES"/>
        </w:rPr>
        <w:t xml:space="preserve">entre los que </w:t>
      </w:r>
      <w:r w:rsidRPr="00B4799E">
        <w:rPr>
          <w:lang w:val="es-ES"/>
        </w:rPr>
        <w:t>se puede elegir</w:t>
      </w:r>
      <w:r w:rsidR="00375FBF">
        <w:rPr>
          <w:lang w:val="es-ES"/>
        </w:rPr>
        <w:t xml:space="preserve">. </w:t>
      </w:r>
    </w:p>
    <w:p w14:paraId="4E297FEC" w14:textId="7C43ED50" w:rsidR="00E66A9A" w:rsidRPr="007E00C6" w:rsidRDefault="00375FBF" w:rsidP="002B215E">
      <w:pPr>
        <w:pStyle w:val="Heading2"/>
        <w:keepLines/>
      </w:pPr>
      <w:r>
        <w:lastRenderedPageBreak/>
        <w:t>ESTÁ</w:t>
      </w:r>
      <w:r w:rsidRPr="007E00C6">
        <w:t>NDARD</w:t>
      </w:r>
      <w:r>
        <w:t>E</w:t>
      </w:r>
      <w:r w:rsidRPr="007E00C6">
        <w:t xml:space="preserve">S </w:t>
      </w:r>
      <w:r w:rsidR="00E66A9A" w:rsidRPr="007E00C6">
        <w:t>M</w:t>
      </w:r>
      <w:r>
        <w:t>ÍNIMOS</w:t>
      </w:r>
      <w:r w:rsidR="00E66A9A" w:rsidRPr="007E00C6">
        <w:t xml:space="preserve"> </w:t>
      </w:r>
    </w:p>
    <w:p w14:paraId="705151C2" w14:textId="26D60AC5" w:rsidR="00D27D6B" w:rsidRPr="00D27D6B" w:rsidRDefault="00D27D6B" w:rsidP="00D27D6B">
      <w:pPr>
        <w:pStyle w:val="Bullet1"/>
        <w:rPr>
          <w:lang w:val="es-ES"/>
        </w:rPr>
      </w:pPr>
      <w:r w:rsidRPr="00D27D6B">
        <w:rPr>
          <w:lang w:val="es-ES"/>
        </w:rPr>
        <w:t xml:space="preserve">Hay que centrarse en los productos básicos, los servicios y los mercados </w:t>
      </w:r>
      <w:r>
        <w:rPr>
          <w:lang w:val="es-ES"/>
        </w:rPr>
        <w:t xml:space="preserve">principales relativos </w:t>
      </w:r>
      <w:r w:rsidRPr="00D27D6B">
        <w:rPr>
          <w:lang w:val="es-ES"/>
        </w:rPr>
        <w:t>a las necesidades y</w:t>
      </w:r>
      <w:r>
        <w:rPr>
          <w:lang w:val="es-ES"/>
        </w:rPr>
        <w:t xml:space="preserve"> a</w:t>
      </w:r>
      <w:r w:rsidRPr="00D27D6B">
        <w:rPr>
          <w:lang w:val="es-ES"/>
        </w:rPr>
        <w:t xml:space="preserve"> los medios de </w:t>
      </w:r>
      <w:r>
        <w:rPr>
          <w:lang w:val="es-ES"/>
        </w:rPr>
        <w:t xml:space="preserve">vida </w:t>
      </w:r>
      <w:r w:rsidRPr="00D27D6B">
        <w:rPr>
          <w:lang w:val="es-ES"/>
        </w:rPr>
        <w:t>de los hogares prioritarios</w:t>
      </w:r>
    </w:p>
    <w:p w14:paraId="7ABA8106" w14:textId="5C3DFE60" w:rsidR="00D27D6B" w:rsidRPr="00D27D6B" w:rsidRDefault="00D27D6B" w:rsidP="00D27D6B">
      <w:pPr>
        <w:pStyle w:val="Bullet1"/>
        <w:rPr>
          <w:lang w:val="es-ES"/>
        </w:rPr>
      </w:pPr>
      <w:r>
        <w:rPr>
          <w:lang w:val="es-ES"/>
        </w:rPr>
        <w:t xml:space="preserve">Hay que basar el </w:t>
      </w:r>
      <w:r w:rsidRPr="00D27D6B">
        <w:rPr>
          <w:lang w:val="es-ES"/>
        </w:rPr>
        <w:t xml:space="preserve">análisis en </w:t>
      </w:r>
      <w:r>
        <w:rPr>
          <w:lang w:val="es-ES"/>
        </w:rPr>
        <w:t xml:space="preserve">información </w:t>
      </w:r>
      <w:r w:rsidRPr="00D27D6B">
        <w:rPr>
          <w:lang w:val="es-ES"/>
        </w:rPr>
        <w:t>secundari</w:t>
      </w:r>
      <w:r>
        <w:rPr>
          <w:lang w:val="es-ES"/>
        </w:rPr>
        <w:t>a</w:t>
      </w:r>
      <w:r w:rsidRPr="00D27D6B">
        <w:rPr>
          <w:lang w:val="es-ES"/>
        </w:rPr>
        <w:t xml:space="preserve"> y en la información de primera mano de la población afectada y </w:t>
      </w:r>
      <w:r>
        <w:rPr>
          <w:lang w:val="es-ES"/>
        </w:rPr>
        <w:t xml:space="preserve">de </w:t>
      </w:r>
      <w:r w:rsidRPr="00D27D6B">
        <w:rPr>
          <w:lang w:val="es-ES"/>
        </w:rPr>
        <w:t>otros informantes clave del mercado</w:t>
      </w:r>
    </w:p>
    <w:p w14:paraId="5FF4C5A1" w14:textId="2876533F" w:rsidR="00D27D6B" w:rsidRPr="00D27D6B" w:rsidRDefault="00D27D6B" w:rsidP="00D27D6B">
      <w:pPr>
        <w:pStyle w:val="Bullet1"/>
        <w:rPr>
          <w:lang w:val="es-ES"/>
        </w:rPr>
      </w:pPr>
      <w:r w:rsidRPr="00D27D6B">
        <w:rPr>
          <w:lang w:val="es-ES"/>
        </w:rPr>
        <w:t>Hay que comproba</w:t>
      </w:r>
      <w:r>
        <w:rPr>
          <w:lang w:val="es-ES"/>
        </w:rPr>
        <w:t xml:space="preserve">r la </w:t>
      </w:r>
      <w:r w:rsidRPr="00D27D6B">
        <w:rPr>
          <w:lang w:val="es-ES"/>
        </w:rPr>
        <w:t>información procedente de diferentes fuentes</w:t>
      </w:r>
    </w:p>
    <w:p w14:paraId="4C4E9478" w14:textId="14A5D8D6" w:rsidR="00D27D6B" w:rsidRPr="00D27D6B" w:rsidRDefault="00D27D6B" w:rsidP="00D27D6B">
      <w:pPr>
        <w:pStyle w:val="Bullet1"/>
        <w:rPr>
          <w:lang w:val="es-ES"/>
        </w:rPr>
      </w:pPr>
      <w:r>
        <w:rPr>
          <w:lang w:val="es-ES"/>
        </w:rPr>
        <w:t>Hay que i</w:t>
      </w:r>
      <w:r w:rsidRPr="00D27D6B">
        <w:rPr>
          <w:lang w:val="es-ES"/>
        </w:rPr>
        <w:t xml:space="preserve">nvolucrar </w:t>
      </w:r>
      <w:r w:rsidR="00A77FB1">
        <w:rPr>
          <w:lang w:val="es-ES"/>
        </w:rPr>
        <w:t>a</w:t>
      </w:r>
      <w:r>
        <w:rPr>
          <w:lang w:val="es-ES"/>
        </w:rPr>
        <w:t>l departamento de l</w:t>
      </w:r>
      <w:r w:rsidRPr="00D27D6B">
        <w:rPr>
          <w:lang w:val="es-ES"/>
        </w:rPr>
        <w:t xml:space="preserve">ogística, </w:t>
      </w:r>
      <w:r>
        <w:rPr>
          <w:lang w:val="es-ES"/>
        </w:rPr>
        <w:t xml:space="preserve">ya que </w:t>
      </w:r>
      <w:r w:rsidRPr="00D27D6B">
        <w:rPr>
          <w:lang w:val="es-ES"/>
        </w:rPr>
        <w:t xml:space="preserve">por lo general tiene un buen conocimiento de los mercados locales y </w:t>
      </w:r>
      <w:r>
        <w:rPr>
          <w:lang w:val="es-ES"/>
        </w:rPr>
        <w:t xml:space="preserve">está acostumbrado a tratar con </w:t>
      </w:r>
      <w:r w:rsidRPr="00D27D6B">
        <w:rPr>
          <w:lang w:val="es-ES"/>
        </w:rPr>
        <w:t>los comerciantes</w:t>
      </w:r>
    </w:p>
    <w:p w14:paraId="7DA29768" w14:textId="01DD734F" w:rsidR="00D27D6B" w:rsidRPr="00D27D6B" w:rsidRDefault="00FC7D19" w:rsidP="00D27D6B">
      <w:pPr>
        <w:pStyle w:val="Bullet1"/>
        <w:rPr>
          <w:lang w:val="es-ES"/>
        </w:rPr>
      </w:pPr>
      <w:r>
        <w:rPr>
          <w:lang w:val="es-ES"/>
        </w:rPr>
        <w:t>Hay que u</w:t>
      </w:r>
      <w:r w:rsidR="00D27D6B" w:rsidRPr="00D27D6B">
        <w:rPr>
          <w:lang w:val="es-ES"/>
        </w:rPr>
        <w:t>sar mapas para representar gráficamente cómo se organizan los mercados y cómo se han visto afectados por el choque</w:t>
      </w:r>
    </w:p>
    <w:p w14:paraId="4B831A6C" w14:textId="7B827E33" w:rsidR="002A7A1F" w:rsidRPr="00FC7D19" w:rsidRDefault="00D27D6B" w:rsidP="00D27D6B">
      <w:pPr>
        <w:pStyle w:val="Bullet1"/>
        <w:rPr>
          <w:lang w:val="en-GB"/>
        </w:rPr>
      </w:pPr>
      <w:r w:rsidRPr="00D27D6B">
        <w:rPr>
          <w:lang w:val="es-ES"/>
        </w:rPr>
        <w:t xml:space="preserve">Cuando </w:t>
      </w:r>
      <w:r w:rsidR="00FC7D19">
        <w:rPr>
          <w:lang w:val="es-ES"/>
        </w:rPr>
        <w:t xml:space="preserve">se saquen </w:t>
      </w:r>
      <w:r w:rsidRPr="00D27D6B">
        <w:rPr>
          <w:lang w:val="es-ES"/>
        </w:rPr>
        <w:t xml:space="preserve">conclusiones y </w:t>
      </w:r>
      <w:r w:rsidR="00FC7D19">
        <w:rPr>
          <w:lang w:val="es-ES"/>
        </w:rPr>
        <w:t xml:space="preserve">al </w:t>
      </w:r>
      <w:r w:rsidRPr="00D27D6B">
        <w:rPr>
          <w:lang w:val="es-ES"/>
        </w:rPr>
        <w:t>hacer recomendaciones,</w:t>
      </w:r>
      <w:r w:rsidR="00FC7D19">
        <w:rPr>
          <w:lang w:val="es-ES"/>
        </w:rPr>
        <w:t xml:space="preserve"> se debe hacer</w:t>
      </w:r>
      <w:r w:rsidRPr="00D27D6B">
        <w:rPr>
          <w:lang w:val="es-ES"/>
        </w:rPr>
        <w:t xml:space="preserve"> </w:t>
      </w:r>
      <w:r w:rsidR="00A77FB1">
        <w:rPr>
          <w:lang w:val="es-ES"/>
        </w:rPr>
        <w:t xml:space="preserve">una </w:t>
      </w:r>
      <w:r w:rsidR="00FC7D19">
        <w:rPr>
          <w:lang w:val="es-ES"/>
        </w:rPr>
        <w:t xml:space="preserve">referencia </w:t>
      </w:r>
      <w:r w:rsidR="00A77FB1" w:rsidRPr="00D27D6B">
        <w:rPr>
          <w:lang w:val="es-ES"/>
        </w:rPr>
        <w:t>c</w:t>
      </w:r>
      <w:r w:rsidR="00A77FB1">
        <w:rPr>
          <w:lang w:val="es-ES"/>
        </w:rPr>
        <w:t xml:space="preserve">lara </w:t>
      </w:r>
      <w:r w:rsidR="00FC7D19">
        <w:rPr>
          <w:lang w:val="es-ES"/>
        </w:rPr>
        <w:t>a los hallazgos</w:t>
      </w:r>
      <w:r w:rsidRPr="00D27D6B">
        <w:rPr>
          <w:lang w:val="es-ES"/>
        </w:rPr>
        <w:t xml:space="preserve"> (incluidos los riesgos) en los que se basan</w:t>
      </w:r>
      <w:r w:rsidR="00FC7D19">
        <w:rPr>
          <w:lang w:val="es-ES"/>
        </w:rPr>
        <w:t xml:space="preserve">. </w:t>
      </w:r>
    </w:p>
    <w:p w14:paraId="36BC10D5" w14:textId="377CF06F" w:rsidR="00A22FB8" w:rsidRPr="00FC7D19" w:rsidRDefault="00A22FB8" w:rsidP="005E6F6E">
      <w:pPr>
        <w:pStyle w:val="Heading2"/>
        <w:rPr>
          <w:lang w:val="es-ES"/>
        </w:rPr>
      </w:pPr>
      <w:r w:rsidRPr="00FC7D19">
        <w:rPr>
          <w:lang w:val="es-ES"/>
        </w:rPr>
        <w:t>SUB-</w:t>
      </w:r>
      <w:r w:rsidR="00FC7D19" w:rsidRPr="00FC7D19">
        <w:rPr>
          <w:lang w:val="es-ES"/>
        </w:rPr>
        <w:t>ETAPAS Y HERRAMIENTAS</w:t>
      </w:r>
    </w:p>
    <w:p w14:paraId="51235385" w14:textId="33CE8386" w:rsidR="00FC7D19" w:rsidRPr="00FC7D19" w:rsidRDefault="00FC7D19" w:rsidP="00FC7D19">
      <w:pPr>
        <w:pStyle w:val="Heading3"/>
        <w:rPr>
          <w:lang w:val="es-ES"/>
        </w:rPr>
      </w:pPr>
      <w:r w:rsidRPr="00FC7D19">
        <w:rPr>
          <w:lang w:val="es-ES"/>
        </w:rPr>
        <w:t>Id</w:t>
      </w:r>
      <w:r w:rsidR="00DA4662">
        <w:rPr>
          <w:lang w:val="es-ES"/>
        </w:rPr>
        <w:t xml:space="preserve">entificar los productos </w:t>
      </w:r>
      <w:r w:rsidRPr="00FC7D19">
        <w:rPr>
          <w:lang w:val="es-ES"/>
        </w:rPr>
        <w:t xml:space="preserve">y los mercados </w:t>
      </w:r>
      <w:r w:rsidR="00DA4662">
        <w:rPr>
          <w:lang w:val="es-ES"/>
        </w:rPr>
        <w:t>principales</w:t>
      </w:r>
    </w:p>
    <w:p w14:paraId="5347F7C5" w14:textId="648DAA35" w:rsidR="00FC7D19" w:rsidRPr="00FC7D19" w:rsidRDefault="00FC7D19" w:rsidP="00FC7D19">
      <w:pPr>
        <w:rPr>
          <w:lang w:val="es-ES"/>
        </w:rPr>
      </w:pPr>
      <w:r w:rsidRPr="00FC7D19">
        <w:rPr>
          <w:lang w:val="es-ES"/>
        </w:rPr>
        <w:t>Llevar a cabo una evaluación rápida del mercado como consecuencia de un choque puede ser un reto</w:t>
      </w:r>
      <w:r w:rsidR="00A77FB1">
        <w:rPr>
          <w:lang w:val="es-ES"/>
        </w:rPr>
        <w:t>,</w:t>
      </w:r>
      <w:r w:rsidRPr="00FC7D19">
        <w:rPr>
          <w:lang w:val="es-ES"/>
        </w:rPr>
        <w:t xml:space="preserve"> debido a que la situación tiende a cambiar muy rápidamente y la información no siempre está disponible o </w:t>
      </w:r>
      <w:r w:rsidR="00DA4662">
        <w:rPr>
          <w:lang w:val="es-ES"/>
        </w:rPr>
        <w:t xml:space="preserve">es fiable. </w:t>
      </w:r>
      <w:r w:rsidRPr="00FC7D19">
        <w:rPr>
          <w:lang w:val="es-ES"/>
        </w:rPr>
        <w:t>Con el fin de identificar los produc</w:t>
      </w:r>
      <w:r w:rsidR="00DA4662">
        <w:rPr>
          <w:lang w:val="es-ES"/>
        </w:rPr>
        <w:t>tos y los mercados principales</w:t>
      </w:r>
      <w:r w:rsidRPr="00FC7D19">
        <w:rPr>
          <w:lang w:val="es-ES"/>
        </w:rPr>
        <w:t xml:space="preserve">, </w:t>
      </w:r>
      <w:r w:rsidR="00A77FB1">
        <w:rPr>
          <w:lang w:val="es-ES"/>
        </w:rPr>
        <w:t xml:space="preserve">se </w:t>
      </w:r>
      <w:r w:rsidRPr="00FC7D19">
        <w:rPr>
          <w:lang w:val="es-ES"/>
        </w:rPr>
        <w:t>puede</w:t>
      </w:r>
      <w:r w:rsidR="00DA4662">
        <w:rPr>
          <w:lang w:val="es-ES"/>
        </w:rPr>
        <w:t xml:space="preserve"> consultar la información</w:t>
      </w:r>
      <w:r w:rsidRPr="00FC7D19">
        <w:rPr>
          <w:lang w:val="es-ES"/>
        </w:rPr>
        <w:t xml:space="preserve"> secundari</w:t>
      </w:r>
      <w:r w:rsidR="00DA4662">
        <w:rPr>
          <w:lang w:val="es-ES"/>
        </w:rPr>
        <w:t>a recopilada</w:t>
      </w:r>
      <w:r w:rsidRPr="00FC7D19">
        <w:rPr>
          <w:lang w:val="es-ES"/>
        </w:rPr>
        <w:t xml:space="preserve"> durante la p</w:t>
      </w:r>
      <w:r w:rsidR="00DA4662">
        <w:rPr>
          <w:lang w:val="es-ES"/>
        </w:rPr>
        <w:t>lanificación y preparación (etapa</w:t>
      </w:r>
      <w:r w:rsidRPr="00FC7D19">
        <w:rPr>
          <w:lang w:val="es-ES"/>
        </w:rPr>
        <w:t xml:space="preserve"> 1), y la información recogida de las</w:t>
      </w:r>
      <w:r w:rsidR="00DA4662">
        <w:rPr>
          <w:lang w:val="es-ES"/>
        </w:rPr>
        <w:t xml:space="preserve"> comunidades y los hogares (etapa </w:t>
      </w:r>
      <w:r w:rsidRPr="00FC7D19">
        <w:rPr>
          <w:lang w:val="es-ES"/>
        </w:rPr>
        <w:t xml:space="preserve">2). </w:t>
      </w:r>
      <w:r w:rsidR="00DA4662">
        <w:rPr>
          <w:lang w:val="es-ES"/>
        </w:rPr>
        <w:t xml:space="preserve">Hay que </w:t>
      </w:r>
      <w:r w:rsidRPr="00FC7D19">
        <w:rPr>
          <w:lang w:val="es-ES"/>
        </w:rPr>
        <w:t xml:space="preserve">distinguir </w:t>
      </w:r>
      <w:r w:rsidR="00DA4662">
        <w:rPr>
          <w:lang w:val="es-ES"/>
        </w:rPr>
        <w:t xml:space="preserve">entre </w:t>
      </w:r>
      <w:r w:rsidRPr="00FC7D19">
        <w:rPr>
          <w:lang w:val="es-ES"/>
        </w:rPr>
        <w:t xml:space="preserve">los mercados de bienes básicos para el hogar, </w:t>
      </w:r>
      <w:r w:rsidR="00DA4662">
        <w:rPr>
          <w:lang w:val="es-ES"/>
        </w:rPr>
        <w:t>tales como alimentos y productos</w:t>
      </w:r>
      <w:r w:rsidR="00A77598">
        <w:rPr>
          <w:lang w:val="es-ES"/>
        </w:rPr>
        <w:t xml:space="preserve"> básicos;</w:t>
      </w:r>
      <w:r w:rsidRPr="00FC7D19">
        <w:rPr>
          <w:lang w:val="es-ES"/>
        </w:rPr>
        <w:t xml:space="preserve"> de aquellos </w:t>
      </w:r>
      <w:r w:rsidR="00A77598">
        <w:rPr>
          <w:lang w:val="es-ES"/>
        </w:rPr>
        <w:t>que</w:t>
      </w:r>
      <w:r w:rsidR="00DA4662">
        <w:rPr>
          <w:lang w:val="es-ES"/>
        </w:rPr>
        <w:t xml:space="preserve"> cubren </w:t>
      </w:r>
      <w:r w:rsidRPr="00FC7D19">
        <w:rPr>
          <w:lang w:val="es-ES"/>
        </w:rPr>
        <w:t>necesidades específicas de</w:t>
      </w:r>
      <w:r w:rsidR="00A77598">
        <w:rPr>
          <w:lang w:val="es-ES"/>
        </w:rPr>
        <w:t xml:space="preserve"> </w:t>
      </w:r>
      <w:r w:rsidRPr="00FC7D19">
        <w:rPr>
          <w:lang w:val="es-ES"/>
        </w:rPr>
        <w:t>sector</w:t>
      </w:r>
      <w:r w:rsidR="00A77598">
        <w:rPr>
          <w:lang w:val="es-ES"/>
        </w:rPr>
        <w:t xml:space="preserve">es </w:t>
      </w:r>
      <w:r w:rsidRPr="00FC7D19">
        <w:rPr>
          <w:lang w:val="es-ES"/>
        </w:rPr>
        <w:t xml:space="preserve">especializados que surgen a causa del choque, </w:t>
      </w:r>
      <w:r w:rsidR="00A77598">
        <w:rPr>
          <w:lang w:val="es-ES"/>
        </w:rPr>
        <w:t xml:space="preserve">a menudo </w:t>
      </w:r>
      <w:r w:rsidRPr="00FC7D19">
        <w:rPr>
          <w:lang w:val="es-ES"/>
        </w:rPr>
        <w:t xml:space="preserve">necesidades de alojamiento. </w:t>
      </w:r>
      <w:r w:rsidR="00A77FB1">
        <w:rPr>
          <w:lang w:val="es-ES"/>
        </w:rPr>
        <w:t>Existen distintas</w:t>
      </w:r>
      <w:r w:rsidRPr="00FC7D19">
        <w:rPr>
          <w:lang w:val="es-ES"/>
        </w:rPr>
        <w:t xml:space="preserve"> herramientas de evaluación de</w:t>
      </w:r>
      <w:r w:rsidR="00A77598">
        <w:rPr>
          <w:lang w:val="es-ES"/>
        </w:rPr>
        <w:t>l</w:t>
      </w:r>
      <w:r w:rsidR="00A77FB1">
        <w:rPr>
          <w:lang w:val="es-ES"/>
        </w:rPr>
        <w:t xml:space="preserve"> mercado </w:t>
      </w:r>
      <w:r w:rsidR="00A77598" w:rsidRPr="00FC7D19">
        <w:rPr>
          <w:lang w:val="es-ES"/>
        </w:rPr>
        <w:t>apropiadas</w:t>
      </w:r>
      <w:r w:rsidRPr="00FC7D19">
        <w:rPr>
          <w:lang w:val="es-ES"/>
        </w:rPr>
        <w:t xml:space="preserve"> para los diferentes tipos de bienes y servicios.</w:t>
      </w:r>
    </w:p>
    <w:p w14:paraId="237F8FA3" w14:textId="50723501" w:rsidR="00DA4662" w:rsidRDefault="00FC7D19" w:rsidP="00FC7D19">
      <w:pPr>
        <w:rPr>
          <w:lang w:val="es-ES"/>
        </w:rPr>
      </w:pPr>
      <w:r w:rsidRPr="00FC7D19">
        <w:rPr>
          <w:lang w:val="es-ES"/>
        </w:rPr>
        <w:t>Además, se puede</w:t>
      </w:r>
      <w:r w:rsidR="00A77598">
        <w:rPr>
          <w:lang w:val="es-ES"/>
        </w:rPr>
        <w:t>n</w:t>
      </w:r>
      <w:r w:rsidRPr="00FC7D19">
        <w:rPr>
          <w:lang w:val="es-ES"/>
        </w:rPr>
        <w:t xml:space="preserve"> llevar a cabo discusiones con informantes clave del mercado</w:t>
      </w:r>
      <w:r w:rsidR="00A77598">
        <w:rPr>
          <w:lang w:val="es-ES"/>
        </w:rPr>
        <w:t xml:space="preserve"> para triangular y com</w:t>
      </w:r>
      <w:r w:rsidRPr="00FC7D19">
        <w:rPr>
          <w:lang w:val="es-ES"/>
        </w:rPr>
        <w:t xml:space="preserve">plementar esta información. Entre las herramientas de </w:t>
      </w:r>
      <w:r w:rsidR="00A77598">
        <w:rPr>
          <w:lang w:val="es-ES"/>
        </w:rPr>
        <w:t xml:space="preserve">las </w:t>
      </w:r>
      <w:r w:rsidRPr="00FC7D19">
        <w:rPr>
          <w:lang w:val="es-ES"/>
        </w:rPr>
        <w:t>sub-</w:t>
      </w:r>
      <w:r w:rsidR="00A77598">
        <w:rPr>
          <w:lang w:val="es-ES"/>
        </w:rPr>
        <w:t>etapas se encuentra un cuestionario para lo</w:t>
      </w:r>
      <w:r w:rsidRPr="00FC7D19">
        <w:rPr>
          <w:lang w:val="es-ES"/>
        </w:rPr>
        <w:t xml:space="preserve">s </w:t>
      </w:r>
      <w:r w:rsidR="00A77598">
        <w:rPr>
          <w:lang w:val="es-ES"/>
        </w:rPr>
        <w:t xml:space="preserve">diálogos </w:t>
      </w:r>
      <w:r w:rsidRPr="00FC7D19">
        <w:rPr>
          <w:lang w:val="es-ES"/>
        </w:rPr>
        <w:t xml:space="preserve">de grupos focales con informantes clave del mercado, así como una guía para la elaboración de mapas de mercado. </w:t>
      </w:r>
      <w:r w:rsidR="00A77598">
        <w:rPr>
          <w:lang w:val="es-ES"/>
        </w:rPr>
        <w:t>Los mapas de l</w:t>
      </w:r>
      <w:r w:rsidR="00B362E2">
        <w:rPr>
          <w:lang w:val="es-ES"/>
        </w:rPr>
        <w:t xml:space="preserve">íneas de base </w:t>
      </w:r>
      <w:r w:rsidRPr="00FC7D19">
        <w:rPr>
          <w:lang w:val="es-ES"/>
        </w:rPr>
        <w:t>de</w:t>
      </w:r>
      <w:r w:rsidR="00B362E2">
        <w:rPr>
          <w:lang w:val="es-ES"/>
        </w:rPr>
        <w:t>l</w:t>
      </w:r>
      <w:r w:rsidRPr="00FC7D19">
        <w:rPr>
          <w:lang w:val="es-ES"/>
        </w:rPr>
        <w:t xml:space="preserve"> mercado pueden ser muy útiles </w:t>
      </w:r>
      <w:r w:rsidR="00B362E2">
        <w:rPr>
          <w:lang w:val="es-ES"/>
        </w:rPr>
        <w:t xml:space="preserve">tanto </w:t>
      </w:r>
      <w:r w:rsidRPr="00FC7D19">
        <w:rPr>
          <w:lang w:val="es-ES"/>
        </w:rPr>
        <w:t>para la identificación de informantes clave para entrevistar</w:t>
      </w:r>
      <w:r w:rsidR="00B362E2">
        <w:rPr>
          <w:lang w:val="es-ES"/>
        </w:rPr>
        <w:t xml:space="preserve">, así como para identificar </w:t>
      </w:r>
      <w:r w:rsidRPr="00FC7D19">
        <w:rPr>
          <w:lang w:val="es-ES"/>
        </w:rPr>
        <w:t xml:space="preserve">cuellos de botella </w:t>
      </w:r>
      <w:r w:rsidR="00B362E2">
        <w:rPr>
          <w:lang w:val="es-ES"/>
        </w:rPr>
        <w:t>que deberán ser i</w:t>
      </w:r>
      <w:r w:rsidRPr="00FC7D19">
        <w:rPr>
          <w:lang w:val="es-ES"/>
        </w:rPr>
        <w:t>nvestiga</w:t>
      </w:r>
      <w:r w:rsidR="00B362E2">
        <w:rPr>
          <w:lang w:val="es-ES"/>
        </w:rPr>
        <w:t xml:space="preserve">dos </w:t>
      </w:r>
      <w:r w:rsidR="00A77FB1">
        <w:rPr>
          <w:lang w:val="es-ES"/>
        </w:rPr>
        <w:t>en el terreno</w:t>
      </w:r>
      <w:r w:rsidRPr="00FC7D19">
        <w:rPr>
          <w:lang w:val="es-ES"/>
        </w:rPr>
        <w:t>.</w:t>
      </w:r>
      <w:r w:rsidR="00B362E2">
        <w:rPr>
          <w:lang w:val="es-ES"/>
        </w:rPr>
        <w:t xml:space="preserve"> Los m</w:t>
      </w:r>
      <w:r w:rsidRPr="00FC7D19">
        <w:rPr>
          <w:lang w:val="es-ES"/>
        </w:rPr>
        <w:t>apas de mercado son una buena manera de representar y comprender la estructura de un sistema de mercado, y deben actualizarse de forma continua</w:t>
      </w:r>
      <w:r w:rsidR="00B362E2">
        <w:rPr>
          <w:lang w:val="es-ES"/>
        </w:rPr>
        <w:t>da</w:t>
      </w:r>
      <w:r w:rsidRPr="00FC7D19">
        <w:rPr>
          <w:lang w:val="es-ES"/>
        </w:rPr>
        <w:t xml:space="preserve">, </w:t>
      </w:r>
      <w:r w:rsidR="00B362E2">
        <w:rPr>
          <w:lang w:val="es-ES"/>
        </w:rPr>
        <w:t xml:space="preserve">a medida que </w:t>
      </w:r>
      <w:r w:rsidRPr="00FC7D19">
        <w:rPr>
          <w:lang w:val="es-ES"/>
        </w:rPr>
        <w:t>la información de</w:t>
      </w:r>
      <w:r w:rsidR="00B362E2">
        <w:rPr>
          <w:lang w:val="es-ES"/>
        </w:rPr>
        <w:t>l</w:t>
      </w:r>
      <w:r w:rsidRPr="00FC7D19">
        <w:rPr>
          <w:lang w:val="es-ES"/>
        </w:rPr>
        <w:t xml:space="preserve"> mercado se </w:t>
      </w:r>
      <w:r w:rsidR="00B362E2">
        <w:rPr>
          <w:lang w:val="es-ES"/>
        </w:rPr>
        <w:t>va obt</w:t>
      </w:r>
      <w:r w:rsidRPr="00FC7D19">
        <w:rPr>
          <w:lang w:val="es-ES"/>
        </w:rPr>
        <w:t>en</w:t>
      </w:r>
      <w:r w:rsidR="00B362E2">
        <w:rPr>
          <w:lang w:val="es-ES"/>
        </w:rPr>
        <w:t>i</w:t>
      </w:r>
      <w:r w:rsidRPr="00FC7D19">
        <w:rPr>
          <w:lang w:val="es-ES"/>
        </w:rPr>
        <w:t>e</w:t>
      </w:r>
      <w:r w:rsidR="00B362E2">
        <w:rPr>
          <w:lang w:val="es-ES"/>
        </w:rPr>
        <w:t xml:space="preserve">ndo </w:t>
      </w:r>
      <w:r w:rsidRPr="00FC7D19">
        <w:rPr>
          <w:lang w:val="es-ES"/>
        </w:rPr>
        <w:t>de fuentes diferentes.</w:t>
      </w:r>
    </w:p>
    <w:p w14:paraId="207DD09E" w14:textId="040E46D7" w:rsidR="00B362E2" w:rsidRPr="00B362E2" w:rsidRDefault="00EB67EF" w:rsidP="00B362E2">
      <w:pPr>
        <w:pStyle w:val="Heading3"/>
        <w:rPr>
          <w:lang w:val="es-ES"/>
        </w:rPr>
      </w:pPr>
      <w:r>
        <w:rPr>
          <w:lang w:val="es-ES"/>
        </w:rPr>
        <w:t>Recabar</w:t>
      </w:r>
      <w:r w:rsidR="00B362E2" w:rsidRPr="00B362E2">
        <w:rPr>
          <w:lang w:val="es-ES"/>
        </w:rPr>
        <w:t xml:space="preserve"> información sobre </w:t>
      </w:r>
      <w:r>
        <w:rPr>
          <w:lang w:val="es-ES"/>
        </w:rPr>
        <w:t>mercados</w:t>
      </w:r>
    </w:p>
    <w:p w14:paraId="66171F0B" w14:textId="0BE8C13D" w:rsidR="00462214" w:rsidRDefault="00B362E2" w:rsidP="00B362E2">
      <w:pPr>
        <w:rPr>
          <w:lang w:val="es-ES"/>
        </w:rPr>
      </w:pPr>
      <w:r w:rsidRPr="00B362E2">
        <w:rPr>
          <w:lang w:val="es-ES"/>
        </w:rPr>
        <w:t xml:space="preserve">Una vez que los productos y los mercados </w:t>
      </w:r>
      <w:r w:rsidR="00462214">
        <w:rPr>
          <w:lang w:val="es-ES"/>
        </w:rPr>
        <w:t>principales han sido identificado</w:t>
      </w:r>
      <w:r w:rsidRPr="00B362E2">
        <w:rPr>
          <w:lang w:val="es-ES"/>
        </w:rPr>
        <w:t xml:space="preserve">s, las conversaciones con los informantes </w:t>
      </w:r>
      <w:r w:rsidR="00462214">
        <w:rPr>
          <w:lang w:val="es-ES"/>
        </w:rPr>
        <w:t xml:space="preserve">clave </w:t>
      </w:r>
      <w:r w:rsidRPr="00B362E2">
        <w:rPr>
          <w:lang w:val="es-ES"/>
        </w:rPr>
        <w:t>y los comerciantes del mercado pueden ayudarle a obtener una comprensión básica y rápida de la situación del mercado, c</w:t>
      </w:r>
      <w:r w:rsidR="00462214">
        <w:rPr>
          <w:lang w:val="es-ES"/>
        </w:rPr>
        <w:t xml:space="preserve">entrado en </w:t>
      </w:r>
      <w:r w:rsidRPr="00B362E2">
        <w:rPr>
          <w:lang w:val="es-ES"/>
        </w:rPr>
        <w:t xml:space="preserve">los productos básicos. </w:t>
      </w:r>
      <w:r w:rsidR="00462214">
        <w:rPr>
          <w:lang w:val="es-ES"/>
        </w:rPr>
        <w:t>El departamento de logística puede</w:t>
      </w:r>
      <w:r w:rsidRPr="00B362E2">
        <w:rPr>
          <w:lang w:val="es-ES"/>
        </w:rPr>
        <w:t xml:space="preserve"> jugar un papel importante en la elección de los informantes clave del merca</w:t>
      </w:r>
      <w:r w:rsidR="00462214">
        <w:rPr>
          <w:lang w:val="es-ES"/>
        </w:rPr>
        <w:t>do con los que mantener conversacio</w:t>
      </w:r>
      <w:r w:rsidRPr="00B362E2">
        <w:rPr>
          <w:lang w:val="es-ES"/>
        </w:rPr>
        <w:t xml:space="preserve">nes, ya que saben y tienen contacto con los comerciantes locales (sobre todo mayoristas). Entre las herramientas de </w:t>
      </w:r>
      <w:r w:rsidR="00462214">
        <w:rPr>
          <w:lang w:val="es-ES"/>
        </w:rPr>
        <w:t xml:space="preserve">las </w:t>
      </w:r>
      <w:r w:rsidRPr="00B362E2">
        <w:rPr>
          <w:lang w:val="es-ES"/>
        </w:rPr>
        <w:t>sub-</w:t>
      </w:r>
      <w:r w:rsidR="00462214">
        <w:rPr>
          <w:lang w:val="es-ES"/>
        </w:rPr>
        <w:t>etapas</w:t>
      </w:r>
      <w:r w:rsidRPr="00B362E2">
        <w:rPr>
          <w:lang w:val="es-ES"/>
        </w:rPr>
        <w:t xml:space="preserve"> encontrará cuestionarios que pueden guiar sus conversaciones (o entrevistas) con informantes </w:t>
      </w:r>
      <w:r w:rsidR="00462214" w:rsidRPr="00B362E2">
        <w:rPr>
          <w:lang w:val="es-ES"/>
        </w:rPr>
        <w:t xml:space="preserve">clave </w:t>
      </w:r>
      <w:r w:rsidRPr="00B362E2">
        <w:rPr>
          <w:lang w:val="es-ES"/>
        </w:rPr>
        <w:t xml:space="preserve">y los comerciantes del mercado, y un conjunto de preguntas que pueden ayudar a consolidar la información recopilada y sacar conclusiones al final de la visita a cada uno </w:t>
      </w:r>
      <w:r w:rsidR="00462214">
        <w:rPr>
          <w:lang w:val="es-ES"/>
        </w:rPr>
        <w:t xml:space="preserve">de los </w:t>
      </w:r>
      <w:r w:rsidRPr="00B362E2">
        <w:rPr>
          <w:lang w:val="es-ES"/>
        </w:rPr>
        <w:t>mercado</w:t>
      </w:r>
      <w:r w:rsidR="00462214">
        <w:rPr>
          <w:lang w:val="es-ES"/>
        </w:rPr>
        <w:t>s</w:t>
      </w:r>
      <w:r w:rsidRPr="00B362E2">
        <w:rPr>
          <w:lang w:val="es-ES"/>
        </w:rPr>
        <w:t>. También encontrará una lista de preguntas asociadas a los criterios con los que los comerciantes deben cumplir con el fin de participar en los programas de cupones.</w:t>
      </w:r>
    </w:p>
    <w:p w14:paraId="64526E46" w14:textId="04590881" w:rsidR="00462214" w:rsidRPr="00462214" w:rsidRDefault="00462214" w:rsidP="00462214">
      <w:pPr>
        <w:pStyle w:val="Heading3"/>
        <w:rPr>
          <w:lang w:val="es-ES"/>
        </w:rPr>
      </w:pPr>
      <w:r w:rsidRPr="00462214">
        <w:rPr>
          <w:lang w:val="es-ES"/>
        </w:rPr>
        <w:t xml:space="preserve">Consolidar los hallazgos </w:t>
      </w:r>
      <w:r w:rsidR="00EB67EF">
        <w:rPr>
          <w:lang w:val="es-ES"/>
        </w:rPr>
        <w:t>sobre los</w:t>
      </w:r>
      <w:r>
        <w:rPr>
          <w:lang w:val="es-ES"/>
        </w:rPr>
        <w:t xml:space="preserve"> </w:t>
      </w:r>
      <w:r w:rsidRPr="00462214">
        <w:rPr>
          <w:lang w:val="es-ES"/>
        </w:rPr>
        <w:t>mercado</w:t>
      </w:r>
      <w:r w:rsidR="00EB67EF">
        <w:rPr>
          <w:lang w:val="es-ES"/>
        </w:rPr>
        <w:t>s</w:t>
      </w:r>
    </w:p>
    <w:p w14:paraId="495D6672" w14:textId="797B335A" w:rsidR="00462214" w:rsidRPr="00462214" w:rsidRDefault="00EA2388" w:rsidP="00462214">
      <w:pPr>
        <w:rPr>
          <w:lang w:val="es-ES"/>
        </w:rPr>
      </w:pPr>
      <w:r>
        <w:rPr>
          <w:lang w:val="es-ES"/>
        </w:rPr>
        <w:t xml:space="preserve">En base a si </w:t>
      </w:r>
      <w:r w:rsidR="00462214" w:rsidRPr="00462214">
        <w:rPr>
          <w:lang w:val="es-ES"/>
        </w:rPr>
        <w:t xml:space="preserve">los diferentes mercados tienen la capacidad de abastecer </w:t>
      </w:r>
      <w:r>
        <w:rPr>
          <w:lang w:val="es-ES"/>
        </w:rPr>
        <w:t xml:space="preserve">o no </w:t>
      </w:r>
      <w:r w:rsidR="00462214" w:rsidRPr="00462214">
        <w:rPr>
          <w:lang w:val="es-ES"/>
        </w:rPr>
        <w:t xml:space="preserve">a la población </w:t>
      </w:r>
      <w:r>
        <w:rPr>
          <w:lang w:val="es-ES"/>
        </w:rPr>
        <w:t xml:space="preserve">afectada por el </w:t>
      </w:r>
      <w:r w:rsidR="00462214" w:rsidRPr="00462214">
        <w:rPr>
          <w:lang w:val="es-ES"/>
        </w:rPr>
        <w:t xml:space="preserve">choque con cantidades suficientes de </w:t>
      </w:r>
      <w:r>
        <w:rPr>
          <w:lang w:val="es-ES"/>
        </w:rPr>
        <w:t xml:space="preserve">los productos </w:t>
      </w:r>
      <w:r w:rsidR="00462214" w:rsidRPr="00462214">
        <w:rPr>
          <w:lang w:val="es-ES"/>
        </w:rPr>
        <w:t xml:space="preserve">clave, de manera oportuna, usted podrá: i) determinar </w:t>
      </w:r>
      <w:r>
        <w:rPr>
          <w:lang w:val="es-ES"/>
        </w:rPr>
        <w:t xml:space="preserve">las posibles intervenciones de PTE, </w:t>
      </w:r>
      <w:r w:rsidRPr="00462214">
        <w:rPr>
          <w:lang w:val="es-ES"/>
        </w:rPr>
        <w:t>y</w:t>
      </w:r>
      <w:r w:rsidR="00462214" w:rsidRPr="00462214">
        <w:rPr>
          <w:lang w:val="es-ES"/>
        </w:rPr>
        <w:t xml:space="preserve"> ii) formular recomendaciones de opciones de </w:t>
      </w:r>
      <w:r>
        <w:rPr>
          <w:lang w:val="es-ES"/>
        </w:rPr>
        <w:t xml:space="preserve">intervención </w:t>
      </w:r>
      <w:r w:rsidR="00462214" w:rsidRPr="00462214">
        <w:rPr>
          <w:lang w:val="es-ES"/>
        </w:rPr>
        <w:t xml:space="preserve">para </w:t>
      </w:r>
      <w:r>
        <w:rPr>
          <w:lang w:val="es-ES"/>
        </w:rPr>
        <w:t xml:space="preserve">tener en </w:t>
      </w:r>
      <w:r w:rsidR="00462214" w:rsidRPr="00462214">
        <w:rPr>
          <w:lang w:val="es-ES"/>
        </w:rPr>
        <w:t>cuenta durante el análisis de la</w:t>
      </w:r>
      <w:r>
        <w:rPr>
          <w:lang w:val="es-ES"/>
        </w:rPr>
        <w:t>s distintas opciones de intervención</w:t>
      </w:r>
      <w:r w:rsidR="00462214" w:rsidRPr="00462214">
        <w:rPr>
          <w:lang w:val="es-ES"/>
        </w:rPr>
        <w:t>.</w:t>
      </w:r>
      <w:r w:rsidR="00A77FB1">
        <w:rPr>
          <w:lang w:val="es-ES"/>
        </w:rPr>
        <w:t xml:space="preserve"> Hay que tener</w:t>
      </w:r>
      <w:r w:rsidR="00462214" w:rsidRPr="00462214">
        <w:rPr>
          <w:lang w:val="es-ES"/>
        </w:rPr>
        <w:t xml:space="preserve"> en cuenta que </w:t>
      </w:r>
      <w:r w:rsidR="00A77FB1">
        <w:rPr>
          <w:lang w:val="es-ES"/>
        </w:rPr>
        <w:t>las</w:t>
      </w:r>
      <w:r>
        <w:rPr>
          <w:lang w:val="es-ES"/>
        </w:rPr>
        <w:t xml:space="preserve"> recomendaciones </w:t>
      </w:r>
      <w:r w:rsidR="00462214" w:rsidRPr="00462214">
        <w:rPr>
          <w:lang w:val="es-ES"/>
        </w:rPr>
        <w:t>tendrá</w:t>
      </w:r>
      <w:r>
        <w:rPr>
          <w:lang w:val="es-ES"/>
        </w:rPr>
        <w:t>n</w:t>
      </w:r>
      <w:r w:rsidR="00462214" w:rsidRPr="00462214">
        <w:rPr>
          <w:lang w:val="es-ES"/>
        </w:rPr>
        <w:t xml:space="preserve"> que ser desafiad</w:t>
      </w:r>
      <w:r>
        <w:rPr>
          <w:lang w:val="es-ES"/>
        </w:rPr>
        <w:t xml:space="preserve">as </w:t>
      </w:r>
      <w:r w:rsidR="00462214" w:rsidRPr="00462214">
        <w:rPr>
          <w:lang w:val="es-ES"/>
        </w:rPr>
        <w:t xml:space="preserve">por otros aspectos, como los objetivos del programa, la rentabilidad y la eficiencia, </w:t>
      </w:r>
      <w:r>
        <w:rPr>
          <w:lang w:val="es-ES"/>
        </w:rPr>
        <w:t xml:space="preserve">la </w:t>
      </w:r>
      <w:r w:rsidR="00462214" w:rsidRPr="00462214">
        <w:rPr>
          <w:lang w:val="es-ES"/>
        </w:rPr>
        <w:t xml:space="preserve">capacidad de </w:t>
      </w:r>
      <w:r>
        <w:rPr>
          <w:lang w:val="es-ES"/>
        </w:rPr>
        <w:t xml:space="preserve">la </w:t>
      </w:r>
      <w:r w:rsidR="00462214" w:rsidRPr="00462214">
        <w:rPr>
          <w:lang w:val="es-ES"/>
        </w:rPr>
        <w:t xml:space="preserve">organización, </w:t>
      </w:r>
      <w:r>
        <w:rPr>
          <w:lang w:val="es-ES"/>
        </w:rPr>
        <w:t xml:space="preserve">las </w:t>
      </w:r>
      <w:r w:rsidR="00462214" w:rsidRPr="00462214">
        <w:rPr>
          <w:lang w:val="es-ES"/>
        </w:rPr>
        <w:t>preferencias de los beneficiarios y las cuestiones de seguridad, que pueden influir en la decisión final sobre la mejor opción de respuesta</w:t>
      </w:r>
      <w:r>
        <w:rPr>
          <w:lang w:val="es-ES"/>
        </w:rPr>
        <w:t xml:space="preserve">. </w:t>
      </w:r>
    </w:p>
    <w:p w14:paraId="2B85E6AB" w14:textId="6C414C60" w:rsidR="00EA2388" w:rsidRPr="00EA2388" w:rsidRDefault="00462214" w:rsidP="00462214">
      <w:pPr>
        <w:rPr>
          <w:lang w:val="es-ES"/>
        </w:rPr>
      </w:pPr>
      <w:r w:rsidRPr="00462214">
        <w:rPr>
          <w:lang w:val="es-ES"/>
        </w:rPr>
        <w:lastRenderedPageBreak/>
        <w:t xml:space="preserve">Entre las herramientas de </w:t>
      </w:r>
      <w:r w:rsidR="00EA2388">
        <w:rPr>
          <w:lang w:val="es-ES"/>
        </w:rPr>
        <w:t xml:space="preserve">las </w:t>
      </w:r>
      <w:r w:rsidRPr="00462214">
        <w:rPr>
          <w:lang w:val="es-ES"/>
        </w:rPr>
        <w:t>sub-</w:t>
      </w:r>
      <w:r w:rsidR="00EA2388">
        <w:rPr>
          <w:lang w:val="es-ES"/>
        </w:rPr>
        <w:t>etapas</w:t>
      </w:r>
      <w:r w:rsidRPr="00462214">
        <w:rPr>
          <w:lang w:val="es-ES"/>
        </w:rPr>
        <w:t xml:space="preserve">, </w:t>
      </w:r>
      <w:r w:rsidR="00EA2388">
        <w:rPr>
          <w:lang w:val="es-ES"/>
        </w:rPr>
        <w:t xml:space="preserve">se encuentra </w:t>
      </w:r>
      <w:r w:rsidRPr="00462214">
        <w:rPr>
          <w:lang w:val="es-ES"/>
        </w:rPr>
        <w:t xml:space="preserve">un árbol </w:t>
      </w:r>
      <w:r w:rsidR="00EA2388">
        <w:rPr>
          <w:lang w:val="es-ES"/>
        </w:rPr>
        <w:t>de conclusiones</w:t>
      </w:r>
      <w:r w:rsidR="00A77FB1">
        <w:rPr>
          <w:lang w:val="es-ES"/>
        </w:rPr>
        <w:t xml:space="preserve"> que puede ayudar</w:t>
      </w:r>
      <w:r w:rsidRPr="00462214">
        <w:rPr>
          <w:lang w:val="es-ES"/>
        </w:rPr>
        <w:t xml:space="preserve"> a determinar la capacidad del mercado. El árbol </w:t>
      </w:r>
      <w:r w:rsidR="00EA2388">
        <w:rPr>
          <w:lang w:val="es-ES"/>
        </w:rPr>
        <w:t>de conclusiones</w:t>
      </w:r>
      <w:r w:rsidRPr="00462214">
        <w:rPr>
          <w:lang w:val="es-ES"/>
        </w:rPr>
        <w:t xml:space="preserve"> debe ser usado en conjunción con l</w:t>
      </w:r>
      <w:r w:rsidR="00EA2388">
        <w:rPr>
          <w:lang w:val="es-ES"/>
        </w:rPr>
        <w:t xml:space="preserve">os </w:t>
      </w:r>
      <w:r w:rsidR="00EA2388" w:rsidRPr="00462214">
        <w:rPr>
          <w:lang w:val="es-ES"/>
        </w:rPr>
        <w:t xml:space="preserve">cuestionarios </w:t>
      </w:r>
      <w:r w:rsidR="00796BD4">
        <w:rPr>
          <w:lang w:val="es-ES"/>
        </w:rPr>
        <w:t>de l</w:t>
      </w:r>
      <w:r w:rsidRPr="00462214">
        <w:rPr>
          <w:lang w:val="es-ES"/>
        </w:rPr>
        <w:t>a sub</w:t>
      </w:r>
      <w:r w:rsidR="00796BD4">
        <w:rPr>
          <w:lang w:val="es-ES"/>
        </w:rPr>
        <w:t>-</w:t>
      </w:r>
      <w:r w:rsidRPr="00462214">
        <w:rPr>
          <w:lang w:val="es-ES"/>
        </w:rPr>
        <w:t xml:space="preserve">etapa </w:t>
      </w:r>
      <w:r w:rsidR="00796BD4">
        <w:rPr>
          <w:lang w:val="es-ES"/>
        </w:rPr>
        <w:t xml:space="preserve">dos. También se encuentra </w:t>
      </w:r>
      <w:r w:rsidRPr="00EA2388">
        <w:rPr>
          <w:lang w:val="es-ES"/>
        </w:rPr>
        <w:t xml:space="preserve">un formato de informe para la consolidación de toda la información recopilada y las conclusiones realizadas durante la evaluación rápida del </w:t>
      </w:r>
      <w:r w:rsidR="00EA2388" w:rsidRPr="00EA2388">
        <w:rPr>
          <w:lang w:val="es-ES"/>
        </w:rPr>
        <w:t>Mercado</w:t>
      </w:r>
    </w:p>
    <w:p w14:paraId="3BB3AC9A" w14:textId="65DDF7F4" w:rsidR="00351033" w:rsidRDefault="009A2228" w:rsidP="00805532">
      <w:r w:rsidRPr="00B05088">
        <w:t xml:space="preserve">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463BF" w14:paraId="2F93EC3F" w14:textId="77777777" w:rsidTr="00A463BF">
        <w:tc>
          <w:tcPr>
            <w:tcW w:w="9848" w:type="dxa"/>
          </w:tcPr>
          <w:p w14:paraId="0D833CCE" w14:textId="0652B204" w:rsidR="00A463BF" w:rsidRPr="004314BA" w:rsidRDefault="00796BD4" w:rsidP="004314BA">
            <w:pPr>
              <w:pStyle w:val="RefTitre"/>
            </w:pPr>
            <w:r w:rsidRPr="004314BA">
              <w:t>DOCUMENT</w:t>
            </w:r>
            <w:r>
              <w:t>O</w:t>
            </w:r>
            <w:r w:rsidRPr="004314BA">
              <w:t xml:space="preserve">S </w:t>
            </w:r>
            <w:r>
              <w:t xml:space="preserve">DE </w:t>
            </w:r>
            <w:r w:rsidR="00A463BF" w:rsidRPr="004314BA">
              <w:t>REFERENC</w:t>
            </w:r>
            <w:r>
              <w:t>IA</w:t>
            </w:r>
            <w:r w:rsidR="00A463BF" w:rsidRPr="004314BA">
              <w:t xml:space="preserve"> </w:t>
            </w:r>
          </w:p>
          <w:p w14:paraId="7EC071A4" w14:textId="21657E13" w:rsidR="00A463BF" w:rsidRPr="00796BD4" w:rsidRDefault="00796BD4" w:rsidP="00A463BF">
            <w:pPr>
              <w:pStyle w:val="RefItem1"/>
              <w:keepNext/>
              <w:rPr>
                <w:rFonts w:cs="Arial"/>
                <w:szCs w:val="20"/>
                <w:lang w:val="es-ES"/>
              </w:rPr>
            </w:pPr>
            <w:r w:rsidRPr="00796BD4">
              <w:rPr>
                <w:rFonts w:cs="Arial"/>
                <w:szCs w:val="20"/>
                <w:lang w:val="es-ES"/>
              </w:rPr>
              <w:t xml:space="preserve">Movimiento Internacional de la Cruz Roja y de la Media Luna Roja </w:t>
            </w:r>
            <w:r w:rsidR="00A463BF" w:rsidRPr="00796BD4">
              <w:rPr>
                <w:rFonts w:cs="Arial"/>
                <w:szCs w:val="20"/>
                <w:lang w:val="es-ES"/>
              </w:rPr>
              <w:t xml:space="preserve">(2013) </w:t>
            </w:r>
            <w:r w:rsidRPr="00796BD4">
              <w:rPr>
                <w:rFonts w:cs="Arial"/>
                <w:szCs w:val="20"/>
                <w:lang w:val="es-ES"/>
              </w:rPr>
              <w:t xml:space="preserve">Directrices para la evaluación rápida de mercados </w:t>
            </w:r>
            <w:r w:rsidR="00A463BF" w:rsidRPr="00796BD4">
              <w:rPr>
                <w:rFonts w:cs="Arial"/>
                <w:szCs w:val="20"/>
                <w:lang w:val="es-ES"/>
              </w:rPr>
              <w:t>(RAM)</w:t>
            </w:r>
          </w:p>
          <w:p w14:paraId="37D4935E" w14:textId="77777777" w:rsidR="00A463BF" w:rsidRPr="004314BA" w:rsidRDefault="00A463BF" w:rsidP="00A463BF">
            <w:pPr>
              <w:pStyle w:val="RefItem1"/>
              <w:keepNext/>
              <w:rPr>
                <w:rFonts w:cs="Arial"/>
                <w:szCs w:val="20"/>
              </w:rPr>
            </w:pPr>
            <w:r w:rsidRPr="004314BA">
              <w:rPr>
                <w:rFonts w:cs="Arial"/>
                <w:szCs w:val="20"/>
              </w:rPr>
              <w:t xml:space="preserve">International Red Cross Red Crescent Movement (2013) Market Analysis Guidance (MAG): Guidelines for market assessment in the project cycle </w:t>
            </w:r>
          </w:p>
          <w:p w14:paraId="7126617A" w14:textId="77777777" w:rsidR="00A463BF" w:rsidRPr="004314BA" w:rsidRDefault="00A463BF" w:rsidP="00A463BF">
            <w:pPr>
              <w:pStyle w:val="RefItem1"/>
              <w:keepNext/>
              <w:rPr>
                <w:rFonts w:cs="Arial"/>
                <w:szCs w:val="20"/>
              </w:rPr>
            </w:pPr>
            <w:r w:rsidRPr="004314BA">
              <w:rPr>
                <w:rFonts w:cs="Arial"/>
                <w:szCs w:val="20"/>
              </w:rPr>
              <w:t xml:space="preserve">Emergency Market Mapping and Analysis Toolkit (EMMA) (2010) </w:t>
            </w:r>
            <w:hyperlink r:id="rId8" w:history="1">
              <w:r w:rsidRPr="004314BA">
                <w:rPr>
                  <w:rStyle w:val="Hyperlink"/>
                  <w:rFonts w:eastAsia="Times New Roman" w:cs="Arial"/>
                  <w:szCs w:val="20"/>
                </w:rPr>
                <w:t>http://emma-toolkit.org</w:t>
              </w:r>
            </w:hyperlink>
            <w:r w:rsidRPr="004314BA">
              <w:rPr>
                <w:rFonts w:cs="Arial"/>
                <w:szCs w:val="20"/>
              </w:rPr>
              <w:t xml:space="preserve"> </w:t>
            </w:r>
          </w:p>
          <w:p w14:paraId="68766779" w14:textId="3D3CD41E" w:rsidR="00A463BF" w:rsidRPr="004314BA" w:rsidRDefault="00801BB1" w:rsidP="00A463BF">
            <w:pPr>
              <w:pStyle w:val="RefItem1"/>
              <w:keepNext/>
              <w:rPr>
                <w:rFonts w:cs="Arial"/>
                <w:szCs w:val="20"/>
              </w:rPr>
            </w:pPr>
            <w:hyperlink r:id="rId9" w:history="1">
              <w:r w:rsidR="00A463BF" w:rsidRPr="004314BA">
                <w:rPr>
                  <w:rStyle w:val="Hyperlink"/>
                  <w:rFonts w:eastAsia="Times New Roman" w:cs="Arial"/>
                  <w:color w:val="auto"/>
                  <w:szCs w:val="20"/>
                  <w:u w:val="none"/>
                </w:rPr>
                <w:t>Toolkit for Logistics in C&amp;V</w:t>
              </w:r>
            </w:hyperlink>
            <w:r w:rsidR="00A463BF" w:rsidRPr="004314BA">
              <w:rPr>
                <w:rFonts w:cs="Arial"/>
                <w:szCs w:val="20"/>
              </w:rPr>
              <w:t xml:space="preserve">. Part 1: Trade logistics assessment (WFP) </w:t>
            </w:r>
            <w:hyperlink r:id="rId10" w:history="1">
              <w:r w:rsidR="00A463BF" w:rsidRPr="004314BA">
                <w:rPr>
                  <w:rStyle w:val="Hyperlink"/>
                  <w:rFonts w:cs="Arial"/>
                  <w:szCs w:val="20"/>
                </w:rPr>
                <w:t>http://www.logcluster.org/sites/default/files/wfp_trade_logistics_assessment_2014.pdf</w:t>
              </w:r>
            </w:hyperlink>
          </w:p>
          <w:p w14:paraId="216C8B37" w14:textId="56AB5593" w:rsidR="00A463BF" w:rsidRPr="004314BA" w:rsidRDefault="00A463BF" w:rsidP="00A463BF">
            <w:pPr>
              <w:pStyle w:val="RefItem1"/>
              <w:keepNext/>
              <w:rPr>
                <w:rFonts w:cs="Arial"/>
                <w:szCs w:val="20"/>
              </w:rPr>
            </w:pPr>
            <w:r w:rsidRPr="004314BA">
              <w:rPr>
                <w:rFonts w:cs="Arial"/>
                <w:szCs w:val="20"/>
              </w:rPr>
              <w:t>Market analysis in emergencies (</w:t>
            </w:r>
            <w:proofErr w:type="spellStart"/>
            <w:r w:rsidRPr="004314BA">
              <w:rPr>
                <w:rFonts w:cs="Arial"/>
                <w:szCs w:val="20"/>
              </w:rPr>
              <w:t>CaLP</w:t>
            </w:r>
            <w:proofErr w:type="spellEnd"/>
            <w:r w:rsidRPr="004314BA">
              <w:rPr>
                <w:rFonts w:cs="Arial"/>
                <w:szCs w:val="20"/>
              </w:rPr>
              <w:t xml:space="preserve">) (2012) </w:t>
            </w:r>
            <w:hyperlink r:id="rId11" w:history="1">
              <w:r w:rsidRPr="004314BA">
                <w:rPr>
                  <w:rStyle w:val="Hyperlink"/>
                  <w:rFonts w:cs="Arial"/>
                  <w:szCs w:val="20"/>
                </w:rPr>
                <w:t>http://www.cashlearning.org/resources/library/257-market-analysis-in-emergencies</w:t>
              </w:r>
            </w:hyperlink>
          </w:p>
          <w:p w14:paraId="5C2572ED" w14:textId="013EE397" w:rsidR="00A463BF" w:rsidRPr="004314BA" w:rsidRDefault="00A463BF" w:rsidP="00A463BF">
            <w:pPr>
              <w:pStyle w:val="RefItem1"/>
              <w:keepNext/>
              <w:rPr>
                <w:rFonts w:cs="Arial"/>
                <w:szCs w:val="20"/>
              </w:rPr>
            </w:pPr>
            <w:r w:rsidRPr="004314BA">
              <w:rPr>
                <w:rFonts w:cs="Arial"/>
                <w:szCs w:val="20"/>
              </w:rPr>
              <w:t>Minimum requirements for market analysis in emergencies (</w:t>
            </w:r>
            <w:proofErr w:type="spellStart"/>
            <w:r w:rsidRPr="004314BA">
              <w:rPr>
                <w:rFonts w:cs="Arial"/>
                <w:szCs w:val="20"/>
              </w:rPr>
              <w:t>CaLP</w:t>
            </w:r>
            <w:proofErr w:type="spellEnd"/>
            <w:r w:rsidRPr="004314BA">
              <w:rPr>
                <w:rFonts w:cs="Arial"/>
                <w:szCs w:val="20"/>
              </w:rPr>
              <w:t xml:space="preserve">) (2013) </w:t>
            </w:r>
            <w:hyperlink r:id="rId12" w:history="1">
              <w:r w:rsidRPr="004314BA">
                <w:rPr>
                  <w:rStyle w:val="Hyperlink"/>
                  <w:rFonts w:cs="Arial"/>
                  <w:szCs w:val="20"/>
                </w:rPr>
                <w:t>http://www.cashlearning.org/resources/library/351-minimum-requirements-for-market-analysis-in-emergencies</w:t>
              </w:r>
            </w:hyperlink>
          </w:p>
          <w:p w14:paraId="23B6E5E9" w14:textId="0FD3185B" w:rsidR="00A463BF" w:rsidRPr="004314BA" w:rsidRDefault="00A463BF" w:rsidP="00A463BF">
            <w:pPr>
              <w:pStyle w:val="RefItem1"/>
              <w:keepNext/>
              <w:rPr>
                <w:rFonts w:cs="Arial"/>
                <w:szCs w:val="20"/>
              </w:rPr>
            </w:pPr>
            <w:r w:rsidRPr="004314BA">
              <w:rPr>
                <w:rFonts w:cs="Arial"/>
                <w:szCs w:val="20"/>
              </w:rPr>
              <w:t xml:space="preserve">Pre-crisis Market Mapping and Analysis – Step-by-step Guidance for Practitioners (IRC, Oxfam) (2014) </w:t>
            </w:r>
            <w:hyperlink r:id="rId13" w:history="1">
              <w:r w:rsidRPr="004314BA">
                <w:rPr>
                  <w:rStyle w:val="Hyperlink"/>
                  <w:rFonts w:cs="Arial"/>
                  <w:szCs w:val="20"/>
                </w:rPr>
                <w:t>http://www.cashlearning.org/resources/library/545-pre-crisis-market-mapping-and-analysis---step-by-step-guidance-for-practitioners</w:t>
              </w:r>
            </w:hyperlink>
          </w:p>
          <w:p w14:paraId="3A9EE021" w14:textId="2D0EE8B2" w:rsidR="00A463BF" w:rsidRPr="003D1F23" w:rsidRDefault="00A463BF" w:rsidP="00A463BF">
            <w:pPr>
              <w:pStyle w:val="RefItem1"/>
              <w:keepNext/>
              <w:rPr>
                <w:rFonts w:cs="Arial"/>
                <w:szCs w:val="20"/>
                <w:lang w:val="fr-CA"/>
              </w:rPr>
            </w:pPr>
            <w:r w:rsidRPr="004314BA">
              <w:rPr>
                <w:rFonts w:cs="Arial"/>
                <w:szCs w:val="20"/>
              </w:rPr>
              <w:t xml:space="preserve">Market Information and Food Insecurity Response Analysis – MIFIRA. </w:t>
            </w:r>
            <w:proofErr w:type="spellStart"/>
            <w:r w:rsidRPr="004314BA">
              <w:rPr>
                <w:rFonts w:cs="Arial"/>
                <w:szCs w:val="20"/>
                <w:lang w:val="fr-CH"/>
              </w:rPr>
              <w:t>Barrett</w:t>
            </w:r>
            <w:proofErr w:type="spellEnd"/>
            <w:r w:rsidRPr="004314BA">
              <w:rPr>
                <w:rFonts w:cs="Arial"/>
                <w:szCs w:val="20"/>
                <w:lang w:val="fr-CH"/>
              </w:rPr>
              <w:t xml:space="preserve">, C., et al. </w:t>
            </w:r>
            <w:r w:rsidRPr="003D1F23">
              <w:rPr>
                <w:rFonts w:cs="Arial"/>
                <w:szCs w:val="20"/>
                <w:lang w:val="fr-CA"/>
              </w:rPr>
              <w:t>(2009)</w:t>
            </w:r>
            <w:r w:rsidRPr="003D1F23">
              <w:rPr>
                <w:rFonts w:cs="Arial"/>
                <w:color w:val="0000FF"/>
                <w:szCs w:val="20"/>
                <w:u w:val="single"/>
                <w:lang w:val="fr-CA"/>
              </w:rPr>
              <w:t xml:space="preserve"> </w:t>
            </w:r>
            <w:hyperlink r:id="rId14" w:history="1">
              <w:r w:rsidRPr="003D1F23">
                <w:rPr>
                  <w:rStyle w:val="Hyperlink"/>
                  <w:rFonts w:cs="Arial"/>
                  <w:szCs w:val="20"/>
                  <w:lang w:val="fr-CA"/>
                </w:rPr>
                <w:t>http://pdf.usaid.gov/pdf_docs/PNADS361.pdf</w:t>
              </w:r>
            </w:hyperlink>
          </w:p>
          <w:p w14:paraId="327E3A6B" w14:textId="7C10ED99" w:rsidR="00A463BF" w:rsidRDefault="00A463BF" w:rsidP="00A463BF">
            <w:pPr>
              <w:pStyle w:val="RefItem1"/>
              <w:keepNext/>
              <w:rPr>
                <w:sz w:val="22"/>
                <w:szCs w:val="22"/>
              </w:rPr>
            </w:pPr>
            <w:r w:rsidRPr="004314BA">
              <w:rPr>
                <w:rFonts w:cs="Arial"/>
                <w:szCs w:val="20"/>
              </w:rPr>
              <w:t xml:space="preserve">Market Analysis Framework: Tools and Applications for Food Security Analysis and Decision-Making (WFP) (2011) </w:t>
            </w:r>
            <w:hyperlink r:id="rId15" w:history="1">
              <w:r w:rsidRPr="004314BA">
                <w:rPr>
                  <w:rStyle w:val="Hyperlink"/>
                  <w:rFonts w:cs="Arial"/>
                  <w:szCs w:val="20"/>
                </w:rPr>
                <w:t>http://documents.wfp.org/stellent/groups/public/documents/manual_guide_proced/wfp243856.pdf</w:t>
              </w:r>
            </w:hyperlink>
          </w:p>
        </w:tc>
      </w:tr>
    </w:tbl>
    <w:p w14:paraId="2CB7D98D" w14:textId="77777777" w:rsidR="00A463BF" w:rsidRDefault="00A463BF" w:rsidP="00B95393">
      <w:pPr>
        <w:rPr>
          <w:sz w:val="22"/>
          <w:szCs w:val="22"/>
        </w:rPr>
      </w:pPr>
    </w:p>
    <w:sectPr w:rsidR="00A463BF" w:rsidSect="00C70A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417B" w14:textId="77777777" w:rsidR="00801BB1" w:rsidRDefault="00801BB1">
      <w:r>
        <w:separator/>
      </w:r>
    </w:p>
  </w:endnote>
  <w:endnote w:type="continuationSeparator" w:id="0">
    <w:p w14:paraId="5BA66721" w14:textId="77777777" w:rsidR="00801BB1" w:rsidRDefault="0080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O¯øœ!Ÿ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BDA2" w14:textId="77777777" w:rsidR="00796BD4" w:rsidRDefault="00796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8089" w14:textId="037DE46B" w:rsidR="00C70A99" w:rsidRPr="00B45C74" w:rsidRDefault="00C70A9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4782D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F63E93F" w14:textId="0405F35A" w:rsidR="00C70A99" w:rsidRPr="00796BD4" w:rsidRDefault="00796BD4" w:rsidP="00ED1B2B">
    <w:pPr>
      <w:pStyle w:val="Footer"/>
      <w:rPr>
        <w:lang w:val="es-ES"/>
      </w:rPr>
    </w:pPr>
    <w:r w:rsidRPr="00796BD4">
      <w:rPr>
        <w:b/>
        <w:lang w:val="es-ES"/>
      </w:rPr>
      <w:t>Mó</w:t>
    </w:r>
    <w:r w:rsidR="00C70A99" w:rsidRPr="00796BD4">
      <w:rPr>
        <w:b/>
        <w:lang w:val="es-ES"/>
      </w:rPr>
      <w:t>dul</w:t>
    </w:r>
    <w:r w:rsidRPr="00796BD4">
      <w:rPr>
        <w:b/>
        <w:lang w:val="es-ES"/>
      </w:rPr>
      <w:t>o</w:t>
    </w:r>
    <w:r w:rsidR="00C70A99" w:rsidRPr="00796BD4">
      <w:rPr>
        <w:b/>
        <w:lang w:val="es-ES"/>
      </w:rPr>
      <w:t xml:space="preserve"> 2.</w:t>
    </w:r>
    <w:r w:rsidR="00045CAC" w:rsidRPr="00796BD4">
      <w:rPr>
        <w:b/>
        <w:lang w:val="es-ES"/>
      </w:rPr>
      <w:t xml:space="preserve"> </w:t>
    </w:r>
    <w:r w:rsidRPr="00796BD4">
      <w:rPr>
        <w:b/>
        <w:lang w:val="es-ES"/>
      </w:rPr>
      <w:t xml:space="preserve">Etapa </w:t>
    </w:r>
    <w:r w:rsidR="00045CAC" w:rsidRPr="00796BD4">
      <w:rPr>
        <w:lang w:val="es-ES"/>
      </w:rPr>
      <w:t>3.</w:t>
    </w:r>
    <w:r>
      <w:rPr>
        <w:lang w:val="es-ES"/>
      </w:rPr>
      <w:t xml:space="preserve">Hoja de ruta para la evaluación del mercado </w:t>
    </w:r>
    <w:r w:rsidR="00C70A99" w:rsidRPr="00796BD4">
      <w:rPr>
        <w:lang w:val="es-ES"/>
      </w:rPr>
      <w:t xml:space="preserve"> </w:t>
    </w:r>
    <w:r w:rsidR="0067459E">
      <w:fldChar w:fldCharType="begin"/>
    </w:r>
    <w:r w:rsidR="0067459E" w:rsidRPr="00796BD4">
      <w:rPr>
        <w:lang w:val="es-ES"/>
      </w:rPr>
      <w:instrText xml:space="preserve"> STYLEREF  H1 \t  \* MERGEFORMAT </w:instrText>
    </w:r>
    <w:r w:rsidR="0064782D">
      <w:fldChar w:fldCharType="separate"/>
    </w:r>
    <w:r w:rsidR="0064782D">
      <w:rPr>
        <w:noProof/>
        <w:lang w:val="es-ES"/>
      </w:rPr>
      <w:t>Hoja de ruta para la evaluación del mercado</w:t>
    </w:r>
    <w:r w:rsidR="0067459E">
      <w:rPr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EBA0" w14:textId="6D175B7A" w:rsidR="00C70A99" w:rsidRPr="00B45C74" w:rsidRDefault="00C70A9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4782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BB834EA" w14:textId="64436665" w:rsidR="00C70A99" w:rsidRPr="00C70A99" w:rsidRDefault="0031434C" w:rsidP="00ED1B2B">
    <w:pPr>
      <w:pStyle w:val="Footer"/>
    </w:pPr>
    <w:proofErr w:type="spellStart"/>
    <w:r>
      <w:rPr>
        <w:b/>
      </w:rPr>
      <w:t>Módulo</w:t>
    </w:r>
    <w:proofErr w:type="spellEnd"/>
    <w:r w:rsidR="00C70A99" w:rsidRPr="00107E15">
      <w:rPr>
        <w:b/>
      </w:rPr>
      <w:t xml:space="preserve"> </w:t>
    </w:r>
    <w:r w:rsidR="00C70A99">
      <w:rPr>
        <w:b/>
      </w:rPr>
      <w:t>2</w:t>
    </w:r>
    <w:r w:rsidR="00C70A99" w:rsidRPr="00107E15">
      <w:rPr>
        <w:b/>
      </w:rPr>
      <w:t>.</w:t>
    </w:r>
    <w:r w:rsidR="00C70A99" w:rsidRPr="00107E15">
      <w:t xml:space="preserve"> </w:t>
    </w:r>
    <w:proofErr w:type="spellStart"/>
    <w:r>
      <w:t>Etapa</w:t>
    </w:r>
    <w:proofErr w:type="spellEnd"/>
    <w:r w:rsidR="00045CAC">
      <w:t xml:space="preserve"> 3. </w:t>
    </w:r>
    <w:r w:rsidR="00801BB1">
      <w:fldChar w:fldCharType="begin"/>
    </w:r>
    <w:r w:rsidR="00801BB1">
      <w:instrText xml:space="preserve"> STYLEREF  H1 \t  \* MERGEFORMAT </w:instrText>
    </w:r>
    <w:r w:rsidR="00801BB1">
      <w:fldChar w:fldCharType="separate"/>
    </w:r>
    <w:r w:rsidR="0064782D" w:rsidRPr="0064782D">
      <w:rPr>
        <w:bCs/>
        <w:noProof/>
      </w:rPr>
      <w:t>Hoja de ruta para</w:t>
    </w:r>
    <w:r w:rsidR="0064782D">
      <w:rPr>
        <w:noProof/>
      </w:rPr>
      <w:t xml:space="preserve"> la evaluación del mercado</w:t>
    </w:r>
    <w:r w:rsidR="00801B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A8C6" w14:textId="77777777" w:rsidR="00801BB1" w:rsidRDefault="00801BB1" w:rsidP="00F753EF">
      <w:pPr>
        <w:spacing w:after="0"/>
      </w:pPr>
      <w:r>
        <w:separator/>
      </w:r>
    </w:p>
  </w:footnote>
  <w:footnote w:type="continuationSeparator" w:id="0">
    <w:p w14:paraId="4CB17D80" w14:textId="77777777" w:rsidR="00801BB1" w:rsidRDefault="00801BB1">
      <w:r>
        <w:continuationSeparator/>
      </w:r>
    </w:p>
  </w:footnote>
  <w:footnote w:id="1">
    <w:p w14:paraId="0492D221" w14:textId="591FD029" w:rsidR="00375FBF" w:rsidRPr="00375FBF" w:rsidRDefault="00375FBF" w:rsidP="00375FB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75FBF">
        <w:rPr>
          <w:lang w:val="es-ES"/>
        </w:rPr>
        <w:t xml:space="preserve"> </w:t>
      </w:r>
      <w:r w:rsidR="00796BD4">
        <w:rPr>
          <w:lang w:val="es-ES"/>
        </w:rPr>
        <w:t>Directrices para la e</w:t>
      </w:r>
      <w:r w:rsidRPr="00B4799E">
        <w:rPr>
          <w:szCs w:val="16"/>
          <w:lang w:val="es-ES"/>
        </w:rPr>
        <w:t>valuaci</w:t>
      </w:r>
      <w:r w:rsidR="00796BD4">
        <w:rPr>
          <w:szCs w:val="16"/>
          <w:lang w:val="es-ES"/>
        </w:rPr>
        <w:t>ón rápida de m</w:t>
      </w:r>
      <w:r>
        <w:rPr>
          <w:szCs w:val="16"/>
          <w:lang w:val="es-ES"/>
        </w:rPr>
        <w:t>ercados (RAM por sus siglas en inglés)</w:t>
      </w:r>
      <w:r w:rsidRPr="00B4799E">
        <w:rPr>
          <w:szCs w:val="16"/>
          <w:lang w:val="es-ES"/>
        </w:rPr>
        <w:t>,</w:t>
      </w:r>
      <w:r w:rsidRPr="00375FBF">
        <w:rPr>
          <w:lang w:val="es-ES"/>
        </w:rPr>
        <w:t xml:space="preserve"> </w:t>
      </w:r>
      <w:r w:rsidRPr="00375FBF">
        <w:rPr>
          <w:szCs w:val="16"/>
          <w:lang w:val="es-ES"/>
        </w:rPr>
        <w:t xml:space="preserve">Movimiento Internacional de la Cruz Roja y de la Media Luna </w:t>
      </w:r>
      <w:r w:rsidR="00796BD4" w:rsidRPr="00375FBF">
        <w:rPr>
          <w:szCs w:val="16"/>
          <w:lang w:val="es-ES"/>
        </w:rPr>
        <w:t>Roja,</w:t>
      </w:r>
      <w:r w:rsidRPr="00B4799E">
        <w:rPr>
          <w:szCs w:val="16"/>
          <w:lang w:val="es-ES"/>
        </w:rPr>
        <w:t xml:space="preserve"> 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C6FA" w14:textId="77777777" w:rsidR="00796BD4" w:rsidRDefault="00796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647A" w14:textId="77777777" w:rsidR="0031434C" w:rsidRDefault="0031434C" w:rsidP="0031434C">
    <w:pPr>
      <w:pStyle w:val="Header"/>
      <w:rPr>
        <w:szCs w:val="16"/>
        <w:lang w:val="es-ES"/>
      </w:rPr>
    </w:pPr>
    <w:r>
      <w:rPr>
        <w:rStyle w:val="Pantone485"/>
        <w:lang w:val="es-ES"/>
      </w:rPr>
      <w:t>Movimiento Internacional de la Cruz Roja y de la Media Luna Roja</w:t>
    </w:r>
    <w:r>
      <w:rPr>
        <w:rFonts w:cs="Caecilia-Light"/>
        <w:color w:val="FF0000"/>
        <w:szCs w:val="16"/>
        <w:lang w:val="es-ES"/>
      </w:rPr>
      <w:t xml:space="preserve"> </w:t>
    </w:r>
    <w:r>
      <w:rPr>
        <w:rStyle w:val="PageNumber"/>
        <w:bCs/>
        <w:lang w:val="es-ES"/>
      </w:rPr>
      <w:t>I</w:t>
    </w:r>
    <w:r>
      <w:rPr>
        <w:rStyle w:val="PageNumber"/>
        <w:color w:val="FF0000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0389" w14:textId="4058E386" w:rsidR="00C70A99" w:rsidRPr="0031434C" w:rsidRDefault="0031434C" w:rsidP="0031434C">
    <w:pPr>
      <w:pStyle w:val="Header1"/>
      <w:ind w:firstLine="567"/>
      <w:rPr>
        <w:lang w:val="es-ES"/>
      </w:rPr>
    </w:pPr>
    <w:r>
      <w:rPr>
        <w:noProof/>
        <w:lang w:val="es-ES_tradnl" w:eastAsia="es-ES_tradnl"/>
      </w:rPr>
      <w:drawing>
        <wp:inline distT="0" distB="0" distL="0" distR="0" wp14:anchorId="2407718C" wp14:editId="4C9BD329">
          <wp:extent cx="548640" cy="640080"/>
          <wp:effectExtent l="0" t="0" r="381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434C">
      <w:rPr>
        <w:lang w:val="es-ES"/>
      </w:rPr>
      <w:t xml:space="preserve">                                       </w:t>
    </w:r>
    <w:r>
      <w:rPr>
        <w:noProof/>
        <w:lang w:val="es-ES_tradnl" w:eastAsia="es-ES_tradnl"/>
      </w:rPr>
      <w:drawing>
        <wp:inline distT="0" distB="0" distL="0" distR="0" wp14:anchorId="440C7E0E" wp14:editId="2E4CC5E4">
          <wp:extent cx="3072765" cy="2984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E77828" w14:textId="77777777" w:rsidR="00C70A99" w:rsidRPr="0031434C" w:rsidRDefault="00C70A99" w:rsidP="00050617">
    <w:pPr>
      <w:pStyle w:val="Header1"/>
      <w:rPr>
        <w:lang w:val="es-ES"/>
      </w:rPr>
    </w:pPr>
  </w:p>
  <w:p w14:paraId="57F98B1E" w14:textId="0F9FD406" w:rsidR="00C70A99" w:rsidRPr="0031434C" w:rsidRDefault="00C70A99" w:rsidP="00CB38F7">
    <w:pPr>
      <w:pStyle w:val="Header"/>
      <w:rPr>
        <w:color w:val="DC281E"/>
        <w:sz w:val="24"/>
        <w:szCs w:val="24"/>
        <w:lang w:val="es-ES"/>
      </w:rPr>
    </w:pPr>
  </w:p>
  <w:p w14:paraId="1B5AF004" w14:textId="1DEF8DDB" w:rsidR="00C70A99" w:rsidRPr="0031434C" w:rsidRDefault="0031434C" w:rsidP="00C16D71">
    <w:pPr>
      <w:pStyle w:val="Header"/>
      <w:spacing w:line="240" w:lineRule="auto"/>
      <w:rPr>
        <w:b/>
        <w:color w:val="DC281E"/>
        <w:sz w:val="24"/>
        <w:szCs w:val="24"/>
        <w:lang w:val="es-ES"/>
      </w:rPr>
    </w:pPr>
    <w:r w:rsidRPr="0031434C">
      <w:rPr>
        <w:b/>
        <w:color w:val="DC281E"/>
        <w:sz w:val="24"/>
        <w:szCs w:val="24"/>
        <w:lang w:val="es-ES"/>
      </w:rPr>
      <w:t>Caja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A2B"/>
    <w:multiLevelType w:val="hybridMultilevel"/>
    <w:tmpl w:val="0938F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0D4"/>
    <w:multiLevelType w:val="hybridMultilevel"/>
    <w:tmpl w:val="802A56E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065"/>
    <w:multiLevelType w:val="hybridMultilevel"/>
    <w:tmpl w:val="250CB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32FE1"/>
    <w:multiLevelType w:val="hybridMultilevel"/>
    <w:tmpl w:val="714AB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242CA"/>
    <w:multiLevelType w:val="hybridMultilevel"/>
    <w:tmpl w:val="7E2A8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F"/>
    <w:rsid w:val="00020970"/>
    <w:rsid w:val="00045CAC"/>
    <w:rsid w:val="00057BDF"/>
    <w:rsid w:val="00074291"/>
    <w:rsid w:val="000E224B"/>
    <w:rsid w:val="000F4B6F"/>
    <w:rsid w:val="000F5CB0"/>
    <w:rsid w:val="00136C29"/>
    <w:rsid w:val="00153A50"/>
    <w:rsid w:val="001747FC"/>
    <w:rsid w:val="001B386A"/>
    <w:rsid w:val="001C4DF9"/>
    <w:rsid w:val="00233F6F"/>
    <w:rsid w:val="00234CB3"/>
    <w:rsid w:val="002412A3"/>
    <w:rsid w:val="0025752B"/>
    <w:rsid w:val="00273676"/>
    <w:rsid w:val="002A42E4"/>
    <w:rsid w:val="002A6C7E"/>
    <w:rsid w:val="002A76ED"/>
    <w:rsid w:val="002A7A1F"/>
    <w:rsid w:val="002B1145"/>
    <w:rsid w:val="002B215E"/>
    <w:rsid w:val="002B6139"/>
    <w:rsid w:val="002C223B"/>
    <w:rsid w:val="002D01D3"/>
    <w:rsid w:val="002D522A"/>
    <w:rsid w:val="00310F7F"/>
    <w:rsid w:val="0031434C"/>
    <w:rsid w:val="00351033"/>
    <w:rsid w:val="00375FBF"/>
    <w:rsid w:val="00387C2A"/>
    <w:rsid w:val="003A0055"/>
    <w:rsid w:val="003B2DBC"/>
    <w:rsid w:val="003D1F23"/>
    <w:rsid w:val="003D3486"/>
    <w:rsid w:val="003D6541"/>
    <w:rsid w:val="004314BA"/>
    <w:rsid w:val="00454DAB"/>
    <w:rsid w:val="00462214"/>
    <w:rsid w:val="004867CB"/>
    <w:rsid w:val="004A0CA4"/>
    <w:rsid w:val="004D55A0"/>
    <w:rsid w:val="004E61DC"/>
    <w:rsid w:val="004F2AC8"/>
    <w:rsid w:val="005225D2"/>
    <w:rsid w:val="00526BC3"/>
    <w:rsid w:val="00536CC6"/>
    <w:rsid w:val="00551FBB"/>
    <w:rsid w:val="0059769B"/>
    <w:rsid w:val="005C26EE"/>
    <w:rsid w:val="005C7DA1"/>
    <w:rsid w:val="005D29B1"/>
    <w:rsid w:val="005E6F6E"/>
    <w:rsid w:val="00600D78"/>
    <w:rsid w:val="006167CF"/>
    <w:rsid w:val="00624427"/>
    <w:rsid w:val="006319C0"/>
    <w:rsid w:val="0064782D"/>
    <w:rsid w:val="006534A5"/>
    <w:rsid w:val="0067459E"/>
    <w:rsid w:val="00681C45"/>
    <w:rsid w:val="00692702"/>
    <w:rsid w:val="006E099E"/>
    <w:rsid w:val="00740A95"/>
    <w:rsid w:val="00754777"/>
    <w:rsid w:val="00796BD4"/>
    <w:rsid w:val="007D2180"/>
    <w:rsid w:val="007E0454"/>
    <w:rsid w:val="00801BB1"/>
    <w:rsid w:val="00805532"/>
    <w:rsid w:val="008217CD"/>
    <w:rsid w:val="00841449"/>
    <w:rsid w:val="00841937"/>
    <w:rsid w:val="008444EE"/>
    <w:rsid w:val="00865F32"/>
    <w:rsid w:val="008B2C14"/>
    <w:rsid w:val="008D23A6"/>
    <w:rsid w:val="008E6B0E"/>
    <w:rsid w:val="00901BDF"/>
    <w:rsid w:val="00915159"/>
    <w:rsid w:val="009165EF"/>
    <w:rsid w:val="00973CD7"/>
    <w:rsid w:val="009A2228"/>
    <w:rsid w:val="009E4609"/>
    <w:rsid w:val="009F0131"/>
    <w:rsid w:val="009F4B51"/>
    <w:rsid w:val="00A22FB8"/>
    <w:rsid w:val="00A463BF"/>
    <w:rsid w:val="00A52A7E"/>
    <w:rsid w:val="00A75EAF"/>
    <w:rsid w:val="00A77598"/>
    <w:rsid w:val="00A77FB1"/>
    <w:rsid w:val="00A942B0"/>
    <w:rsid w:val="00AA52B6"/>
    <w:rsid w:val="00B05088"/>
    <w:rsid w:val="00B23B74"/>
    <w:rsid w:val="00B30398"/>
    <w:rsid w:val="00B362E2"/>
    <w:rsid w:val="00B37586"/>
    <w:rsid w:val="00B43B9E"/>
    <w:rsid w:val="00B4799E"/>
    <w:rsid w:val="00B6785E"/>
    <w:rsid w:val="00B95393"/>
    <w:rsid w:val="00B96C5E"/>
    <w:rsid w:val="00BB3842"/>
    <w:rsid w:val="00BE1FE4"/>
    <w:rsid w:val="00BE5227"/>
    <w:rsid w:val="00C07CDE"/>
    <w:rsid w:val="00C3147A"/>
    <w:rsid w:val="00C36277"/>
    <w:rsid w:val="00C53138"/>
    <w:rsid w:val="00C57695"/>
    <w:rsid w:val="00C6084E"/>
    <w:rsid w:val="00C6239E"/>
    <w:rsid w:val="00C66C49"/>
    <w:rsid w:val="00C70A99"/>
    <w:rsid w:val="00C83F9A"/>
    <w:rsid w:val="00C8431E"/>
    <w:rsid w:val="00C929C3"/>
    <w:rsid w:val="00C93C39"/>
    <w:rsid w:val="00CB2033"/>
    <w:rsid w:val="00D06CD4"/>
    <w:rsid w:val="00D13FF3"/>
    <w:rsid w:val="00D1687C"/>
    <w:rsid w:val="00D20A6F"/>
    <w:rsid w:val="00D27D6B"/>
    <w:rsid w:val="00D44268"/>
    <w:rsid w:val="00D90668"/>
    <w:rsid w:val="00D9309B"/>
    <w:rsid w:val="00DA3863"/>
    <w:rsid w:val="00DA4662"/>
    <w:rsid w:val="00E0327D"/>
    <w:rsid w:val="00E14DDB"/>
    <w:rsid w:val="00E216FE"/>
    <w:rsid w:val="00E6473D"/>
    <w:rsid w:val="00E66A9A"/>
    <w:rsid w:val="00E840DD"/>
    <w:rsid w:val="00EA2388"/>
    <w:rsid w:val="00EB67EF"/>
    <w:rsid w:val="00EE180B"/>
    <w:rsid w:val="00F20CE7"/>
    <w:rsid w:val="00F46E8B"/>
    <w:rsid w:val="00F66194"/>
    <w:rsid w:val="00F753EF"/>
    <w:rsid w:val="00F75A6E"/>
    <w:rsid w:val="00FA70C2"/>
    <w:rsid w:val="00FB4EA0"/>
    <w:rsid w:val="00FC7D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87E97"/>
  <w15:docId w15:val="{F5132B42-39B9-4ED0-AA0B-6B7426E8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F23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D1F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2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2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1F23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3D1F23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3D1F23"/>
    <w:pPr>
      <w:spacing w:after="0"/>
    </w:pPr>
    <w:rPr>
      <w:sz w:val="16"/>
      <w:szCs w:val="22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3D1F23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3D1F2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1F23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3D1F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1F23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F2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D1F23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F2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1F23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3D1F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E14DDB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D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D1F23"/>
    <w:rPr>
      <w:rFonts w:ascii="Arial" w:eastAsiaTheme="minorEastAsia" w:hAnsi="Arial" w:cs="Times New Roman"/>
      <w:b/>
      <w:sz w:val="40"/>
      <w:szCs w:val="52"/>
    </w:rPr>
  </w:style>
  <w:style w:type="character" w:styleId="CommentReference">
    <w:name w:val="annotation reference"/>
    <w:basedOn w:val="DefaultParagraphFont"/>
    <w:uiPriority w:val="99"/>
    <w:unhideWhenUsed/>
    <w:rsid w:val="003D1F23"/>
    <w:rPr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unhideWhenUsed/>
    <w:rsid w:val="003D1F2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3D1F23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1F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D1F2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1F23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F23"/>
    <w:rPr>
      <w:rFonts w:ascii="Arial" w:eastAsiaTheme="minorEastAsia" w:hAnsi="Arial" w:cs="Times New Roman"/>
      <w:b/>
      <w:sz w:val="22"/>
    </w:rPr>
  </w:style>
  <w:style w:type="character" w:styleId="PageNumber">
    <w:name w:val="page number"/>
    <w:basedOn w:val="DefaultParagraphFont"/>
    <w:uiPriority w:val="99"/>
    <w:unhideWhenUsed/>
    <w:rsid w:val="003D1F23"/>
    <w:rPr>
      <w:b/>
    </w:rPr>
  </w:style>
  <w:style w:type="paragraph" w:styleId="Revision">
    <w:name w:val="Revision"/>
    <w:hidden/>
    <w:uiPriority w:val="99"/>
    <w:semiHidden/>
    <w:rsid w:val="003D1F23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D1F2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D1F2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D1F23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D1F2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D1F2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D1F2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D1F2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D1F23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3D1F23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3D1F23"/>
    <w:pPr>
      <w:numPr>
        <w:numId w:val="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3D1F23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D1F23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D1F23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D1F2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D1F2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D1F23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  <w:style w:type="table" w:customStyle="1" w:styleId="TableGrid1">
    <w:name w:val="Table Grid1"/>
    <w:basedOn w:val="TableNormal"/>
    <w:next w:val="TableGrid"/>
    <w:uiPriority w:val="59"/>
    <w:rsid w:val="0031434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64782D"/>
    <w:rPr>
      <w:rFonts w:ascii="Cambria" w:eastAsiaTheme="minorEastAsia" w:hAnsi="Cambri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ma-toolkit.org/" TargetMode="External"/><Relationship Id="rId13" Type="http://schemas.openxmlformats.org/officeDocument/2006/relationships/hyperlink" Target="http://www.cashlearning.org/resources/library/545-pre-crisis-market-mapping-and-analysis---step-by-step-guidance-for-practitione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ashlearning.org/resources/library/351-minimum-requirements-for-market-analysis-in-emergenci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hlearning.org/resources/library/257-market-analysis-in-emergenc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uments.wfp.org/stellent/groups/public/documents/manual_guide_proced/wfp2438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gcluster.org/sites/default/files/wfp_trade_logistics_assessment_2014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ogcluster.org/sites/default/files/wfp_trade_logistics_assessment_2014.pdf" TargetMode="External"/><Relationship Id="rId14" Type="http://schemas.openxmlformats.org/officeDocument/2006/relationships/hyperlink" Target="http://pdf.usaid.gov/pdf_docs/PNADS361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F98FD8-FAA5-490B-BE3C-A45D2171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97</TotalTime>
  <Pages>1</Pages>
  <Words>1424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Ines DALMAU i GUTSENS</cp:lastModifiedBy>
  <cp:revision>7</cp:revision>
  <cp:lastPrinted>2015-09-24T11:12:00Z</cp:lastPrinted>
  <dcterms:created xsi:type="dcterms:W3CDTF">2016-01-18T20:13:00Z</dcterms:created>
  <dcterms:modified xsi:type="dcterms:W3CDTF">2016-02-11T17:55:00Z</dcterms:modified>
</cp:coreProperties>
</file>