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C227C" w14:textId="76E627F6" w:rsidR="00FF39FA" w:rsidRPr="00835C57" w:rsidRDefault="000B172A" w:rsidP="000B172A">
      <w:pPr>
        <w:pStyle w:val="H1"/>
        <w:rPr>
          <w:lang w:val="es-ES_tradnl"/>
        </w:rPr>
      </w:pPr>
      <w:r w:rsidRPr="00835C57">
        <w:rPr>
          <w:lang w:val="es-ES_tradnl"/>
        </w:rPr>
        <w:t xml:space="preserve">Hoja de ruta para </w:t>
      </w:r>
      <w:r w:rsidR="00FF39FA" w:rsidRPr="00835C57">
        <w:rPr>
          <w:lang w:val="es-ES_tradnl"/>
        </w:rPr>
        <w:t>el análisis</w:t>
      </w:r>
      <w:r w:rsidRPr="00835C57">
        <w:rPr>
          <w:lang w:val="es-ES_tradnl"/>
        </w:rPr>
        <w:t xml:space="preserve">, </w:t>
      </w:r>
      <w:r w:rsidR="00FF39FA" w:rsidRPr="00835C57">
        <w:rPr>
          <w:lang w:val="es-ES_tradnl"/>
        </w:rPr>
        <w:t>las lecciones aprendidas y el perfeccionamiento</w:t>
      </w:r>
      <w:r w:rsidRPr="00835C57">
        <w:rPr>
          <w:lang w:val="es-ES_tradn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FF39FA" w:rsidRPr="00835C57" w14:paraId="7A0F18DE" w14:textId="77777777" w:rsidTr="007E5D19">
        <w:tc>
          <w:tcPr>
            <w:tcW w:w="9054" w:type="dxa"/>
            <w:gridSpan w:val="3"/>
          </w:tcPr>
          <w:p w14:paraId="232FC115" w14:textId="77777777" w:rsidR="00FF39FA" w:rsidRPr="00835C57" w:rsidRDefault="00FF39FA" w:rsidP="007E5D19">
            <w:pPr>
              <w:jc w:val="center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PREPARACIÓN </w:t>
            </w:r>
          </w:p>
        </w:tc>
      </w:tr>
      <w:tr w:rsidR="00FF39FA" w:rsidRPr="00835C57" w14:paraId="048346BD" w14:textId="77777777" w:rsidTr="007E5D19">
        <w:tc>
          <w:tcPr>
            <w:tcW w:w="3018" w:type="dxa"/>
          </w:tcPr>
          <w:p w14:paraId="3039FF79" w14:textId="77777777" w:rsidR="00FF39FA" w:rsidRPr="00835C57" w:rsidRDefault="00FF39FA" w:rsidP="007E5D19">
            <w:pPr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1. Preparación y análisis</w:t>
            </w:r>
          </w:p>
        </w:tc>
        <w:tc>
          <w:tcPr>
            <w:tcW w:w="3018" w:type="dxa"/>
          </w:tcPr>
          <w:p w14:paraId="3C0AA47E" w14:textId="77777777" w:rsidR="00FF39FA" w:rsidRPr="00835C57" w:rsidRDefault="00FF39FA" w:rsidP="007E5D19">
            <w:pPr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2. Elaboración y ejecución  </w:t>
            </w:r>
          </w:p>
        </w:tc>
        <w:tc>
          <w:tcPr>
            <w:tcW w:w="3018" w:type="dxa"/>
          </w:tcPr>
          <w:p w14:paraId="7F553FF3" w14:textId="77777777" w:rsidR="00FF39FA" w:rsidRPr="00835C57" w:rsidRDefault="00FF39FA" w:rsidP="007E5D19">
            <w:pPr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3. Análisis, lecciones aprendidas y perfeccionamiento  </w:t>
            </w:r>
          </w:p>
        </w:tc>
      </w:tr>
      <w:tr w:rsidR="00FF39FA" w:rsidRPr="00835C57" w14:paraId="09145D82" w14:textId="77777777" w:rsidTr="007E5D19">
        <w:tc>
          <w:tcPr>
            <w:tcW w:w="3018" w:type="dxa"/>
          </w:tcPr>
          <w:p w14:paraId="3B3D8512" w14:textId="77777777" w:rsidR="00FF39FA" w:rsidRPr="00835C57" w:rsidRDefault="00FF39FA" w:rsidP="00FF39FA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Examen y análisis de información secundaria</w:t>
            </w:r>
          </w:p>
          <w:p w14:paraId="4226D729" w14:textId="77777777" w:rsidR="00FF39FA" w:rsidRPr="00835C57" w:rsidRDefault="00FF39FA" w:rsidP="00FF39FA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Recopilación y análisis de información primaria </w:t>
            </w:r>
          </w:p>
          <w:p w14:paraId="67190EA4" w14:textId="77777777" w:rsidR="00FF39FA" w:rsidRPr="00835C57" w:rsidRDefault="00FF39FA" w:rsidP="00FF39FA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Documentación de la línea de base </w:t>
            </w:r>
          </w:p>
          <w:p w14:paraId="4753A61C" w14:textId="77777777" w:rsidR="00FF39FA" w:rsidRPr="00835C57" w:rsidRDefault="00FF39FA" w:rsidP="00FF39FA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Elaboración y análisis de los escenarios  </w:t>
            </w:r>
          </w:p>
          <w:p w14:paraId="6F1855AA" w14:textId="77777777" w:rsidR="00FF39FA" w:rsidRPr="00835C57" w:rsidRDefault="00FF39FA" w:rsidP="00FF39FA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Fomento de la participación de los interesados en la preparación para ejecutar programas </w:t>
            </w:r>
          </w:p>
          <w:p w14:paraId="139B3E44" w14:textId="77777777" w:rsidR="00FF39FA" w:rsidRPr="00835C57" w:rsidRDefault="00FF39FA" w:rsidP="00FF39FA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Análisis y autoevaluación de las deficiencias en la preparación para ejecutar los programas</w:t>
            </w:r>
          </w:p>
          <w:p w14:paraId="45B07292" w14:textId="77777777" w:rsidR="00FF39FA" w:rsidRPr="00835C57" w:rsidRDefault="00FF39FA" w:rsidP="00FF39FA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Elaboración y difusión de los mensajes clave</w:t>
            </w:r>
          </w:p>
          <w:p w14:paraId="1D2829E7" w14:textId="77777777" w:rsidR="00FF39FA" w:rsidRPr="00835C57" w:rsidRDefault="00FF39FA" w:rsidP="007E5D19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</w:p>
        </w:tc>
        <w:tc>
          <w:tcPr>
            <w:tcW w:w="3018" w:type="dxa"/>
          </w:tcPr>
          <w:p w14:paraId="28DC34BF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Designación de un coordinador para PTE</w:t>
            </w:r>
          </w:p>
          <w:p w14:paraId="22E05536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Establecimiento de un grupo de trabajo técnico sobre programas de transferencias de efectivo </w:t>
            </w:r>
          </w:p>
          <w:p w14:paraId="1331B995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Plan de acción de preparación para la elaboración de programas de transferencias de efectivo </w:t>
            </w:r>
          </w:p>
          <w:p w14:paraId="75A94F1C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Elaboración de procedimientos operativos normalizados para programas de transferencias</w:t>
            </w:r>
          </w:p>
          <w:p w14:paraId="7B4CD809" w14:textId="77777777" w:rsidR="00FF39FA" w:rsidRPr="00835C57" w:rsidRDefault="00FF39FA" w:rsidP="007E5D19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de efectivo </w:t>
            </w:r>
          </w:p>
          <w:p w14:paraId="4E08BCA4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Integración de los programas de transferencias de efectivo</w:t>
            </w:r>
          </w:p>
          <w:p w14:paraId="4039C4A8" w14:textId="77777777" w:rsidR="00FF39FA" w:rsidRPr="00835C57" w:rsidRDefault="00FF39FA" w:rsidP="007E5D19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en los planes estratégicos, de intervención y de contingencia </w:t>
            </w:r>
          </w:p>
          <w:p w14:paraId="033A3C26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Integración de los programas de transferencias de dinero en efectivo en el sistema de recursos humanos</w:t>
            </w:r>
          </w:p>
          <w:p w14:paraId="6C222C7C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Integración de los programas de transferencias de dinero en efectivo</w:t>
            </w:r>
          </w:p>
          <w:p w14:paraId="7611711B" w14:textId="77777777" w:rsidR="00FF39FA" w:rsidRPr="00835C57" w:rsidRDefault="00FF39FA" w:rsidP="007E5D19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en los sistemas financieros </w:t>
            </w:r>
          </w:p>
          <w:p w14:paraId="162D047C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Integración de los programas de transferencias de dinero en efectivo</w:t>
            </w:r>
          </w:p>
          <w:p w14:paraId="5811BD45" w14:textId="77777777" w:rsidR="00FF39FA" w:rsidRPr="00835C57" w:rsidRDefault="00FF39FA" w:rsidP="007E5D19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en los sistemas de supervisión y evaluación </w:t>
            </w:r>
          </w:p>
          <w:p w14:paraId="3B96F10F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Integración de los programas de transferencias de dinero en efectivo</w:t>
            </w:r>
          </w:p>
          <w:p w14:paraId="28AAA2FE" w14:textId="77777777" w:rsidR="00FF39FA" w:rsidRPr="00835C57" w:rsidRDefault="00FF39FA" w:rsidP="007E5D19">
            <w:pPr>
              <w:pStyle w:val="ListParagraph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en los sistemas de movilización de recursos </w:t>
            </w:r>
          </w:p>
          <w:p w14:paraId="353BBC3F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Realizar un ejercicio de simulación y/o proyecto piloto </w:t>
            </w:r>
          </w:p>
          <w:p w14:paraId="4FB18BC9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Coordinación de las actividades relacionadas con los programas de transferencias de efectivo a nivel interno y externo </w:t>
            </w:r>
          </w:p>
          <w:p w14:paraId="694C821F" w14:textId="77777777" w:rsidR="00FF39FA" w:rsidRPr="00835C57" w:rsidRDefault="00FF39FA" w:rsidP="00FF39FA">
            <w:pPr>
              <w:pStyle w:val="ListParagraph"/>
              <w:numPr>
                <w:ilvl w:val="0"/>
                <w:numId w:val="8"/>
              </w:numPr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Elaboración y despliegue de la estrategia de comunicación y de material de sensibilización</w:t>
            </w:r>
          </w:p>
        </w:tc>
        <w:tc>
          <w:tcPr>
            <w:tcW w:w="3018" w:type="dxa"/>
          </w:tcPr>
          <w:p w14:paraId="3728D2E0" w14:textId="77777777" w:rsidR="00FF39FA" w:rsidRPr="00835C57" w:rsidRDefault="00FF39FA" w:rsidP="00262F8A">
            <w:pPr>
              <w:pStyle w:val="ListParagraph"/>
              <w:numPr>
                <w:ilvl w:val="0"/>
                <w:numId w:val="9"/>
              </w:numPr>
              <w:shd w:val="clear" w:color="auto" w:fill="4F81BD" w:themeFill="accent1"/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Crear un entorno de aprendizaje propicio </w:t>
            </w:r>
          </w:p>
          <w:p w14:paraId="342EBFA1" w14:textId="77777777" w:rsidR="00FF39FA" w:rsidRPr="00835C57" w:rsidRDefault="00FF39FA" w:rsidP="00262F8A">
            <w:pPr>
              <w:pStyle w:val="ListParagraph"/>
              <w:numPr>
                <w:ilvl w:val="0"/>
                <w:numId w:val="9"/>
              </w:numPr>
              <w:shd w:val="clear" w:color="auto" w:fill="4F81BD" w:themeFill="accent1"/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Análisis interno de la preparación para la elaboración de programas</w:t>
            </w:r>
          </w:p>
          <w:p w14:paraId="007A5EAE" w14:textId="77777777" w:rsidR="00FF39FA" w:rsidRPr="00835C57" w:rsidRDefault="00FF39FA" w:rsidP="00262F8A">
            <w:pPr>
              <w:pStyle w:val="ListParagraph"/>
              <w:shd w:val="clear" w:color="auto" w:fill="4F81BD" w:themeFill="accent1"/>
              <w:spacing w:after="0"/>
              <w:ind w:left="36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de transferencias de efectivo </w:t>
            </w:r>
          </w:p>
          <w:p w14:paraId="718EEEDB" w14:textId="77777777" w:rsidR="00FF39FA" w:rsidRPr="00835C57" w:rsidRDefault="00FF39FA" w:rsidP="00262F8A">
            <w:pPr>
              <w:pStyle w:val="ListParagraph"/>
              <w:numPr>
                <w:ilvl w:val="0"/>
                <w:numId w:val="9"/>
              </w:numPr>
              <w:shd w:val="clear" w:color="auto" w:fill="4F81BD" w:themeFill="accent1"/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 xml:space="preserve">Evaluación externa de las operaciones que abarcan transferencias de efectivo </w:t>
            </w:r>
          </w:p>
          <w:p w14:paraId="136E49DD" w14:textId="77777777" w:rsidR="00FF39FA" w:rsidRPr="00835C57" w:rsidRDefault="00FF39FA" w:rsidP="00262F8A">
            <w:pPr>
              <w:pStyle w:val="ListParagraph"/>
              <w:numPr>
                <w:ilvl w:val="0"/>
                <w:numId w:val="9"/>
              </w:numPr>
              <w:shd w:val="clear" w:color="auto" w:fill="4F81BD" w:themeFill="accent1"/>
              <w:spacing w:after="0"/>
              <w:jc w:val="left"/>
              <w:rPr>
                <w:b/>
                <w:sz w:val="14"/>
                <w:lang w:val="es-ES_tradnl"/>
              </w:rPr>
            </w:pPr>
            <w:r w:rsidRPr="00835C57">
              <w:rPr>
                <w:b/>
                <w:sz w:val="14"/>
                <w:lang w:val="es-ES_tradnl"/>
              </w:rPr>
              <w:t>Documentación y difusión de lecciones a</w:t>
            </w:r>
            <w:bookmarkStart w:id="0" w:name="_GoBack"/>
            <w:bookmarkEnd w:id="0"/>
            <w:r w:rsidRPr="00835C57">
              <w:rPr>
                <w:b/>
                <w:sz w:val="14"/>
                <w:lang w:val="es-ES_tradnl"/>
              </w:rPr>
              <w:t xml:space="preserve">prendidas  </w:t>
            </w:r>
          </w:p>
        </w:tc>
      </w:tr>
    </w:tbl>
    <w:p w14:paraId="6B2161C8" w14:textId="5DEDA9E0" w:rsidR="00A03445" w:rsidRPr="00835C57" w:rsidRDefault="00A03445" w:rsidP="00C1316D">
      <w:pPr>
        <w:pStyle w:val="Heading2"/>
        <w:rPr>
          <w:lang w:val="es-ES_tradnl"/>
        </w:rPr>
      </w:pPr>
      <w:r w:rsidRPr="00835C57">
        <w:rPr>
          <w:lang w:val="es-ES_tradnl"/>
        </w:rPr>
        <w:t>INTRODUC</w:t>
      </w:r>
      <w:r w:rsidR="00FF39FA" w:rsidRPr="00835C57">
        <w:rPr>
          <w:lang w:val="es-ES_tradnl"/>
        </w:rPr>
        <w:t>CIÓN</w:t>
      </w:r>
    </w:p>
    <w:p w14:paraId="5CCB57F2" w14:textId="37EC78EB" w:rsidR="00FF39FA" w:rsidRPr="00835C57" w:rsidRDefault="00CC1DF3" w:rsidP="005C489F">
      <w:pPr>
        <w:rPr>
          <w:lang w:val="es-ES_tradnl"/>
        </w:rPr>
      </w:pPr>
      <w:r w:rsidRPr="00835C57">
        <w:rPr>
          <w:lang w:val="es-ES_tradnl"/>
        </w:rPr>
        <w:t>Las cuestiones específicas relativas a la entrega de efectivo, deben ser tenidas en cuenta durante todo el proceso de preparación</w:t>
      </w:r>
      <w:r w:rsidR="006B509D" w:rsidRPr="00835C57">
        <w:rPr>
          <w:lang w:val="es-ES_tradnl"/>
        </w:rPr>
        <w:t>, c</w:t>
      </w:r>
      <w:r w:rsidR="00FF39FA" w:rsidRPr="00835C57">
        <w:rPr>
          <w:lang w:val="es-ES_tradnl"/>
        </w:rPr>
        <w:t>on el fin</w:t>
      </w:r>
      <w:r w:rsidR="006B509D" w:rsidRPr="00835C57">
        <w:rPr>
          <w:lang w:val="es-ES_tradnl"/>
        </w:rPr>
        <w:t xml:space="preserve"> </w:t>
      </w:r>
      <w:r w:rsidRPr="00835C57">
        <w:rPr>
          <w:lang w:val="es-ES_tradnl"/>
        </w:rPr>
        <w:t xml:space="preserve">de poder </w:t>
      </w:r>
      <w:r w:rsidR="006B509D" w:rsidRPr="00835C57">
        <w:rPr>
          <w:lang w:val="es-ES_tradnl"/>
        </w:rPr>
        <w:t>implementar intervenciones</w:t>
      </w:r>
      <w:r w:rsidR="00FF39FA" w:rsidRPr="00835C57">
        <w:rPr>
          <w:lang w:val="es-ES_tradnl"/>
        </w:rPr>
        <w:t xml:space="preserve"> basadas en efectivo </w:t>
      </w:r>
      <w:r w:rsidR="006B509D" w:rsidRPr="00835C57">
        <w:rPr>
          <w:lang w:val="es-ES_tradnl"/>
        </w:rPr>
        <w:t>a tiempo y en la escala necesaria</w:t>
      </w:r>
      <w:r w:rsidR="00FF39FA" w:rsidRPr="00835C57">
        <w:rPr>
          <w:lang w:val="es-ES_tradnl"/>
        </w:rPr>
        <w:t xml:space="preserve">, </w:t>
      </w:r>
      <w:r w:rsidRPr="00835C57">
        <w:rPr>
          <w:lang w:val="es-ES_tradnl"/>
        </w:rPr>
        <w:t xml:space="preserve">después de una emergencia, </w:t>
      </w:r>
      <w:r w:rsidR="00FF39FA" w:rsidRPr="00835C57">
        <w:rPr>
          <w:lang w:val="es-ES_tradnl"/>
        </w:rPr>
        <w:t xml:space="preserve">Esta hoja de ruta se centrará en los procesos de evaluación de la preparación para </w:t>
      </w:r>
      <w:r w:rsidR="005C489F" w:rsidRPr="00835C57">
        <w:rPr>
          <w:lang w:val="es-ES_tradnl"/>
        </w:rPr>
        <w:t>PTE</w:t>
      </w:r>
      <w:r w:rsidR="00FF39FA" w:rsidRPr="00835C57">
        <w:rPr>
          <w:lang w:val="es-ES_tradnl"/>
        </w:rPr>
        <w:t>, l</w:t>
      </w:r>
      <w:r w:rsidRPr="00835C57">
        <w:rPr>
          <w:lang w:val="es-ES_tradnl"/>
        </w:rPr>
        <w:t>a revisión de las operaciones con</w:t>
      </w:r>
      <w:r w:rsidR="00FF39FA" w:rsidRPr="00835C57">
        <w:rPr>
          <w:lang w:val="es-ES_tradnl"/>
        </w:rPr>
        <w:t xml:space="preserve"> </w:t>
      </w:r>
      <w:r w:rsidR="005C489F" w:rsidRPr="00835C57">
        <w:rPr>
          <w:lang w:val="es-ES_tradnl"/>
        </w:rPr>
        <w:t>PTE</w:t>
      </w:r>
      <w:r w:rsidR="00FF39FA" w:rsidRPr="00835C57">
        <w:rPr>
          <w:lang w:val="es-ES_tradnl"/>
        </w:rPr>
        <w:t xml:space="preserve"> y </w:t>
      </w:r>
      <w:r w:rsidR="005C489F" w:rsidRPr="00835C57">
        <w:rPr>
          <w:lang w:val="es-ES_tradnl"/>
        </w:rPr>
        <w:t>la documentación</w:t>
      </w:r>
      <w:r w:rsidR="00FF39FA" w:rsidRPr="00835C57">
        <w:rPr>
          <w:lang w:val="es-ES_tradnl"/>
        </w:rPr>
        <w:t xml:space="preserve"> </w:t>
      </w:r>
      <w:r w:rsidRPr="00835C57">
        <w:rPr>
          <w:lang w:val="es-ES_tradnl"/>
        </w:rPr>
        <w:t>d</w:t>
      </w:r>
      <w:r w:rsidR="00FF39FA" w:rsidRPr="00835C57">
        <w:rPr>
          <w:lang w:val="es-ES_tradnl"/>
        </w:rPr>
        <w:t xml:space="preserve">el aprendizaje con el fin de contribuir a un creciente cuerpo de evidencia sobre </w:t>
      </w:r>
      <w:r w:rsidR="005C489F" w:rsidRPr="00835C57">
        <w:rPr>
          <w:lang w:val="es-ES_tradnl"/>
        </w:rPr>
        <w:t>PTE</w:t>
      </w:r>
      <w:r w:rsidR="00FF39FA" w:rsidRPr="00835C57">
        <w:rPr>
          <w:lang w:val="es-ES_tradnl"/>
        </w:rPr>
        <w:t xml:space="preserve">. La estructura de hoja de ruta refleja la </w:t>
      </w:r>
      <w:r w:rsidR="005C489F" w:rsidRPr="00835C57">
        <w:rPr>
          <w:lang w:val="es-ES_tradnl"/>
        </w:rPr>
        <w:t xml:space="preserve">fase </w:t>
      </w:r>
      <w:r w:rsidRPr="00835C57">
        <w:rPr>
          <w:lang w:val="es-ES_tradnl"/>
        </w:rPr>
        <w:t>“</w:t>
      </w:r>
      <w:r w:rsidR="005C489F" w:rsidRPr="00835C57">
        <w:rPr>
          <w:lang w:val="es-ES_tradnl"/>
        </w:rPr>
        <w:t>Análisis, lecciones aprendidas y perfeccionamiento” de</w:t>
      </w:r>
      <w:r w:rsidR="00FF39FA" w:rsidRPr="00835C57">
        <w:rPr>
          <w:lang w:val="es-ES_tradnl"/>
        </w:rPr>
        <w:t xml:space="preserve"> las </w:t>
      </w:r>
      <w:r w:rsidR="005C489F" w:rsidRPr="00835C57">
        <w:rPr>
          <w:i/>
          <w:lang w:val="es-ES_tradnl"/>
        </w:rPr>
        <w:t xml:space="preserve">Directrices para la </w:t>
      </w:r>
      <w:proofErr w:type="spellStart"/>
      <w:r w:rsidR="005C489F" w:rsidRPr="00835C57">
        <w:rPr>
          <w:i/>
          <w:lang w:val="es-ES_tradnl"/>
        </w:rPr>
        <w:t>preparacióny</w:t>
      </w:r>
      <w:proofErr w:type="spellEnd"/>
      <w:r w:rsidR="005C489F" w:rsidRPr="00835C57">
        <w:rPr>
          <w:i/>
          <w:lang w:val="es-ES_tradnl"/>
        </w:rPr>
        <w:t xml:space="preserve"> la integración institucional de</w:t>
      </w:r>
      <w:r w:rsidRPr="00835C57">
        <w:rPr>
          <w:i/>
          <w:lang w:val="es-ES_tradnl"/>
        </w:rPr>
        <w:t xml:space="preserve"> </w:t>
      </w:r>
      <w:r w:rsidR="005C489F" w:rsidRPr="00835C57">
        <w:rPr>
          <w:i/>
          <w:lang w:val="es-ES_tradnl"/>
        </w:rPr>
        <w:t>Programas de transferencias de dinero en efectivo</w:t>
      </w:r>
      <w:r w:rsidR="005C489F" w:rsidRPr="00835C57">
        <w:rPr>
          <w:lang w:val="es-ES_tradnl"/>
        </w:rPr>
        <w:t xml:space="preserve"> del Movimiento Internacional de la Cruz Roja y </w:t>
      </w:r>
      <w:r w:rsidR="00FF39FA" w:rsidRPr="00835C57">
        <w:rPr>
          <w:lang w:val="es-ES_tradnl"/>
        </w:rPr>
        <w:t>la Media Luna Roja</w:t>
      </w:r>
      <w:r w:rsidR="005C489F" w:rsidRPr="00835C57">
        <w:rPr>
          <w:lang w:val="es-ES_tradnl"/>
        </w:rPr>
        <w:t xml:space="preserve">. </w:t>
      </w:r>
    </w:p>
    <w:p w14:paraId="6F0B6D5D" w14:textId="26512304" w:rsidR="000139F7" w:rsidRPr="00835C57" w:rsidRDefault="005C489F" w:rsidP="00FF39FA">
      <w:pPr>
        <w:rPr>
          <w:lang w:val="es-ES_tradnl"/>
        </w:rPr>
      </w:pPr>
      <w:r w:rsidRPr="00835C57">
        <w:rPr>
          <w:lang w:val="es-ES_tradnl"/>
        </w:rPr>
        <w:t xml:space="preserve">Las etapas </w:t>
      </w:r>
      <w:r w:rsidR="00FF39FA" w:rsidRPr="00835C57">
        <w:rPr>
          <w:lang w:val="es-ES_tradnl"/>
        </w:rPr>
        <w:t>y sub</w:t>
      </w:r>
      <w:r w:rsidRPr="00835C57">
        <w:rPr>
          <w:lang w:val="es-ES_tradnl"/>
        </w:rPr>
        <w:t xml:space="preserve">-etapas </w:t>
      </w:r>
      <w:r w:rsidR="00FF39FA" w:rsidRPr="00835C57">
        <w:rPr>
          <w:lang w:val="es-ES_tradnl"/>
        </w:rPr>
        <w:t xml:space="preserve">sugeridas no son necesariamente secuenciales e incluso pueden tener lugar simultáneamente. Cada sub-etapa se asocia con herramientas que pueden ser útiles a medida que avanza el proceso. Puede </w:t>
      </w:r>
      <w:r w:rsidRPr="00835C57">
        <w:rPr>
          <w:lang w:val="es-ES_tradnl"/>
        </w:rPr>
        <w:t xml:space="preserve">que no se sea capaz de </w:t>
      </w:r>
      <w:r w:rsidR="00FF39FA" w:rsidRPr="00835C57">
        <w:rPr>
          <w:lang w:val="es-ES_tradnl"/>
        </w:rPr>
        <w:t xml:space="preserve">utilizar todas las herramientas sugeridas, pero al menos </w:t>
      </w:r>
      <w:r w:rsidRPr="00835C57">
        <w:rPr>
          <w:lang w:val="es-ES_tradnl"/>
        </w:rPr>
        <w:t xml:space="preserve">se </w:t>
      </w:r>
      <w:r w:rsidR="00FF39FA" w:rsidRPr="00835C57">
        <w:rPr>
          <w:lang w:val="es-ES_tradnl"/>
        </w:rPr>
        <w:t>debe cumplir con los estándares mínimos establecidos para el proceso.</w:t>
      </w:r>
    </w:p>
    <w:p w14:paraId="0C95E746" w14:textId="721BC6F8" w:rsidR="00A03445" w:rsidRPr="00835C57" w:rsidRDefault="00806C55" w:rsidP="00C1316D">
      <w:pPr>
        <w:pStyle w:val="Heading2"/>
        <w:rPr>
          <w:lang w:val="es-ES_tradnl"/>
        </w:rPr>
      </w:pPr>
      <w:r w:rsidRPr="00835C57">
        <w:rPr>
          <w:lang w:val="es-ES_tradnl"/>
        </w:rPr>
        <w:lastRenderedPageBreak/>
        <w:t xml:space="preserve">ESTÁNDAReS </w:t>
      </w:r>
      <w:r w:rsidR="00A03445" w:rsidRPr="00835C57">
        <w:rPr>
          <w:lang w:val="es-ES_tradnl"/>
        </w:rPr>
        <w:t>M</w:t>
      </w:r>
      <w:r w:rsidRPr="00835C57">
        <w:rPr>
          <w:lang w:val="es-ES_tradnl"/>
        </w:rPr>
        <w:t>ÍNIMos</w:t>
      </w:r>
      <w:r w:rsidR="00A03445" w:rsidRPr="00835C57">
        <w:rPr>
          <w:lang w:val="es-ES_tradnl"/>
        </w:rPr>
        <w:t xml:space="preserve"> </w:t>
      </w:r>
    </w:p>
    <w:p w14:paraId="1545D031" w14:textId="1E97B8E2" w:rsidR="000139F7" w:rsidRPr="00835C57" w:rsidRDefault="00806C55" w:rsidP="000139F7">
      <w:pPr>
        <w:pStyle w:val="Bullet1"/>
        <w:rPr>
          <w:lang w:val="es-ES_tradnl"/>
        </w:rPr>
      </w:pPr>
      <w:r w:rsidRPr="00835C57">
        <w:rPr>
          <w:lang w:val="es-ES_tradnl"/>
        </w:rPr>
        <w:t>El P</w:t>
      </w:r>
      <w:r w:rsidR="000139F7" w:rsidRPr="00835C57">
        <w:rPr>
          <w:lang w:val="es-ES_tradnl"/>
        </w:rPr>
        <w:t xml:space="preserve">lan de </w:t>
      </w:r>
      <w:r w:rsidRPr="00835C57">
        <w:rPr>
          <w:lang w:val="es-ES_tradnl"/>
        </w:rPr>
        <w:t xml:space="preserve">acción de </w:t>
      </w:r>
      <w:r w:rsidR="000139F7" w:rsidRPr="00835C57">
        <w:rPr>
          <w:lang w:val="es-ES_tradnl"/>
        </w:rPr>
        <w:t xml:space="preserve">preparación </w:t>
      </w:r>
      <w:r w:rsidRPr="00835C57">
        <w:rPr>
          <w:lang w:val="es-ES_tradnl"/>
        </w:rPr>
        <w:t xml:space="preserve">para </w:t>
      </w:r>
      <w:r w:rsidR="005C489F" w:rsidRPr="00835C57">
        <w:rPr>
          <w:lang w:val="es-ES_tradnl"/>
        </w:rPr>
        <w:t>PTE</w:t>
      </w:r>
      <w:r w:rsidR="000139F7" w:rsidRPr="00835C57">
        <w:rPr>
          <w:lang w:val="es-ES_tradnl"/>
        </w:rPr>
        <w:t xml:space="preserve"> debe incluir actividades y recursos para su revisión y evaluación.</w:t>
      </w:r>
    </w:p>
    <w:p w14:paraId="3250AF82" w14:textId="65F9061A" w:rsidR="000139F7" w:rsidRPr="00835C57" w:rsidRDefault="000139F7" w:rsidP="000139F7">
      <w:pPr>
        <w:pStyle w:val="Bullet1"/>
        <w:rPr>
          <w:lang w:val="es-ES_tradnl"/>
        </w:rPr>
      </w:pPr>
      <w:r w:rsidRPr="00835C57">
        <w:rPr>
          <w:lang w:val="es-ES_tradnl"/>
        </w:rPr>
        <w:t>Los Términos de Referencia (</w:t>
      </w:r>
      <w:proofErr w:type="spellStart"/>
      <w:r w:rsidRPr="00835C57">
        <w:rPr>
          <w:lang w:val="es-ES_tradnl"/>
        </w:rPr>
        <w:t>TdR</w:t>
      </w:r>
      <w:proofErr w:type="spellEnd"/>
      <w:r w:rsidRPr="00835C57">
        <w:rPr>
          <w:lang w:val="es-ES_tradnl"/>
        </w:rPr>
        <w:t xml:space="preserve">) para el punto focal </w:t>
      </w:r>
      <w:r w:rsidR="00CC1DF3" w:rsidRPr="00835C57">
        <w:rPr>
          <w:lang w:val="es-ES_tradnl"/>
        </w:rPr>
        <w:t xml:space="preserve">de PTE </w:t>
      </w:r>
      <w:r w:rsidRPr="00835C57">
        <w:rPr>
          <w:lang w:val="es-ES_tradnl"/>
        </w:rPr>
        <w:t xml:space="preserve">de la Sociedad Nacional y </w:t>
      </w:r>
      <w:r w:rsidR="00806C55" w:rsidRPr="00835C57">
        <w:rPr>
          <w:lang w:val="es-ES_tradnl"/>
        </w:rPr>
        <w:t xml:space="preserve">del grupo técnico de trabajo </w:t>
      </w:r>
      <w:r w:rsidRPr="00835C57">
        <w:rPr>
          <w:lang w:val="es-ES_tradnl"/>
        </w:rPr>
        <w:t>debe</w:t>
      </w:r>
      <w:r w:rsidR="00806C55" w:rsidRPr="00835C57">
        <w:rPr>
          <w:lang w:val="es-ES_tradnl"/>
        </w:rPr>
        <w:t>n</w:t>
      </w:r>
      <w:r w:rsidRPr="00835C57">
        <w:rPr>
          <w:lang w:val="es-ES_tradnl"/>
        </w:rPr>
        <w:t xml:space="preserve"> incluir las funciones y responsabilidades relacionadas con la preparación </w:t>
      </w:r>
      <w:r w:rsidR="00806C55" w:rsidRPr="00835C57">
        <w:rPr>
          <w:lang w:val="es-ES_tradnl"/>
        </w:rPr>
        <w:t xml:space="preserve">de los </w:t>
      </w:r>
      <w:r w:rsidR="005C489F" w:rsidRPr="00835C57">
        <w:rPr>
          <w:lang w:val="es-ES_tradnl"/>
        </w:rPr>
        <w:t>PTE</w:t>
      </w:r>
      <w:r w:rsidRPr="00835C57">
        <w:rPr>
          <w:lang w:val="es-ES_tradnl"/>
        </w:rPr>
        <w:t xml:space="preserve">, </w:t>
      </w:r>
      <w:r w:rsidR="00806C55" w:rsidRPr="00835C57">
        <w:rPr>
          <w:lang w:val="es-ES_tradnl"/>
        </w:rPr>
        <w:t>el monitoreo</w:t>
      </w:r>
      <w:r w:rsidRPr="00835C57">
        <w:rPr>
          <w:lang w:val="es-ES_tradnl"/>
        </w:rPr>
        <w:t xml:space="preserve"> y </w:t>
      </w:r>
      <w:r w:rsidR="00806C55" w:rsidRPr="00835C57">
        <w:rPr>
          <w:lang w:val="es-ES_tradnl"/>
        </w:rPr>
        <w:t xml:space="preserve">la </w:t>
      </w:r>
      <w:r w:rsidRPr="00835C57">
        <w:rPr>
          <w:lang w:val="es-ES_tradnl"/>
        </w:rPr>
        <w:t>evaluación.</w:t>
      </w:r>
    </w:p>
    <w:p w14:paraId="5C69E18C" w14:textId="449B3EC3" w:rsidR="000139F7" w:rsidRPr="00835C57" w:rsidRDefault="00806C55" w:rsidP="000139F7">
      <w:pPr>
        <w:pStyle w:val="Bullet1"/>
        <w:rPr>
          <w:lang w:val="es-ES_tradnl"/>
        </w:rPr>
      </w:pPr>
      <w:r w:rsidRPr="00835C57">
        <w:rPr>
          <w:lang w:val="es-ES_tradnl"/>
        </w:rPr>
        <w:t xml:space="preserve">La </w:t>
      </w:r>
      <w:r w:rsidR="000139F7" w:rsidRPr="00835C57">
        <w:rPr>
          <w:lang w:val="es-ES_tradnl"/>
        </w:rPr>
        <w:t xml:space="preserve">preparación </w:t>
      </w:r>
      <w:r w:rsidRPr="00835C57">
        <w:rPr>
          <w:lang w:val="es-ES_tradnl"/>
        </w:rPr>
        <w:t xml:space="preserve">para </w:t>
      </w:r>
      <w:r w:rsidR="005C489F" w:rsidRPr="00835C57">
        <w:rPr>
          <w:lang w:val="es-ES_tradnl"/>
        </w:rPr>
        <w:t>PTE</w:t>
      </w:r>
      <w:r w:rsidR="00CC1DF3" w:rsidRPr="00835C57">
        <w:rPr>
          <w:lang w:val="es-ES_tradnl"/>
        </w:rPr>
        <w:t xml:space="preserve"> debe ser evaluada</w:t>
      </w:r>
      <w:r w:rsidR="000139F7" w:rsidRPr="00835C57">
        <w:rPr>
          <w:lang w:val="es-ES_tradnl"/>
        </w:rPr>
        <w:t xml:space="preserve"> a través de un proceso de revisión interna dirigida por el punto focal de la Sociedad Nacional y el </w:t>
      </w:r>
      <w:r w:rsidRPr="00835C57">
        <w:rPr>
          <w:lang w:val="es-ES_tradnl"/>
        </w:rPr>
        <w:t xml:space="preserve">grupo técnico de trabajo. </w:t>
      </w:r>
    </w:p>
    <w:p w14:paraId="64FE9119" w14:textId="654CDF14" w:rsidR="000139F7" w:rsidRPr="00835C57" w:rsidRDefault="00806C55" w:rsidP="000139F7">
      <w:pPr>
        <w:pStyle w:val="Bullet1"/>
        <w:rPr>
          <w:lang w:val="es-ES_tradnl"/>
        </w:rPr>
      </w:pPr>
      <w:r w:rsidRPr="00835C57">
        <w:rPr>
          <w:lang w:val="es-ES_tradnl"/>
        </w:rPr>
        <w:t>L</w:t>
      </w:r>
      <w:r w:rsidR="000139F7" w:rsidRPr="00835C57">
        <w:rPr>
          <w:lang w:val="es-ES_tradnl"/>
        </w:rPr>
        <w:t>os procesos y l</w:t>
      </w:r>
      <w:r w:rsidRPr="00835C57">
        <w:rPr>
          <w:lang w:val="es-ES_tradnl"/>
        </w:rPr>
        <w:t>as herramientas de preparación para</w:t>
      </w:r>
      <w:r w:rsidR="000139F7" w:rsidRPr="00835C57">
        <w:rPr>
          <w:lang w:val="es-ES_tradnl"/>
        </w:rPr>
        <w:t xml:space="preserve"> </w:t>
      </w:r>
      <w:r w:rsidR="005C489F" w:rsidRPr="00835C57">
        <w:rPr>
          <w:lang w:val="es-ES_tradnl"/>
        </w:rPr>
        <w:t>PTE</w:t>
      </w:r>
      <w:r w:rsidR="000139F7" w:rsidRPr="00835C57">
        <w:rPr>
          <w:lang w:val="es-ES_tradnl"/>
        </w:rPr>
        <w:t xml:space="preserve"> deben ser probados y adaptados a los contextos locales.</w:t>
      </w:r>
    </w:p>
    <w:p w14:paraId="151152BD" w14:textId="747D1464" w:rsidR="000139F7" w:rsidRPr="00835C57" w:rsidRDefault="00806C55" w:rsidP="000139F7">
      <w:pPr>
        <w:pStyle w:val="Bullet1"/>
        <w:rPr>
          <w:lang w:val="es-ES_tradnl"/>
        </w:rPr>
      </w:pPr>
      <w:r w:rsidRPr="00835C57">
        <w:rPr>
          <w:lang w:val="es-ES_tradnl"/>
        </w:rPr>
        <w:t>Las</w:t>
      </w:r>
      <w:r w:rsidR="000139F7" w:rsidRPr="00835C57">
        <w:rPr>
          <w:lang w:val="es-ES_tradnl"/>
        </w:rPr>
        <w:t xml:space="preserve"> operaciones </w:t>
      </w:r>
      <w:r w:rsidRPr="00835C57">
        <w:rPr>
          <w:lang w:val="es-ES_tradnl"/>
        </w:rPr>
        <w:t xml:space="preserve">de </w:t>
      </w:r>
      <w:r w:rsidR="005C489F" w:rsidRPr="00835C57">
        <w:rPr>
          <w:lang w:val="es-ES_tradnl"/>
        </w:rPr>
        <w:t>PTE</w:t>
      </w:r>
      <w:r w:rsidR="00CC1DF3" w:rsidRPr="00835C57">
        <w:rPr>
          <w:lang w:val="es-ES_tradnl"/>
        </w:rPr>
        <w:t xml:space="preserve"> deben ser evaluada</w:t>
      </w:r>
      <w:r w:rsidR="000139F7" w:rsidRPr="00835C57">
        <w:rPr>
          <w:lang w:val="es-ES_tradnl"/>
        </w:rPr>
        <w:t>s por un consultor/equipo externo.</w:t>
      </w:r>
    </w:p>
    <w:p w14:paraId="549FCA4A" w14:textId="2129872D" w:rsidR="000139F7" w:rsidRPr="00835C57" w:rsidRDefault="00806C55" w:rsidP="000139F7">
      <w:pPr>
        <w:pStyle w:val="Bullet1"/>
        <w:rPr>
          <w:lang w:val="es-ES_tradnl"/>
        </w:rPr>
      </w:pPr>
      <w:r w:rsidRPr="00835C57">
        <w:rPr>
          <w:lang w:val="es-ES_tradnl"/>
        </w:rPr>
        <w:t>Los i</w:t>
      </w:r>
      <w:r w:rsidR="000139F7" w:rsidRPr="00835C57">
        <w:rPr>
          <w:lang w:val="es-ES_tradnl"/>
        </w:rPr>
        <w:t>nformes de evaluación, estudios de caso y hojas de datos debe ser difundida</w:t>
      </w:r>
      <w:r w:rsidRPr="00835C57">
        <w:rPr>
          <w:lang w:val="es-ES_tradnl"/>
        </w:rPr>
        <w:t>s</w:t>
      </w:r>
      <w:r w:rsidR="000139F7" w:rsidRPr="00835C57">
        <w:rPr>
          <w:lang w:val="es-ES_tradnl"/>
        </w:rPr>
        <w:t xml:space="preserve"> a nivel interno </w:t>
      </w:r>
      <w:r w:rsidRPr="00835C57">
        <w:rPr>
          <w:lang w:val="es-ES_tradnl"/>
        </w:rPr>
        <w:t xml:space="preserve">a los socios del Movimiento y a nivel </w:t>
      </w:r>
      <w:r w:rsidR="000139F7" w:rsidRPr="00835C57">
        <w:rPr>
          <w:lang w:val="es-ES_tradnl"/>
        </w:rPr>
        <w:t>externo a otros actores y redes.</w:t>
      </w:r>
    </w:p>
    <w:p w14:paraId="3AB782FB" w14:textId="77777777" w:rsidR="000139F7" w:rsidRPr="00835C57" w:rsidRDefault="000139F7" w:rsidP="00806C55">
      <w:pPr>
        <w:pStyle w:val="Bullet1"/>
        <w:numPr>
          <w:ilvl w:val="0"/>
          <w:numId w:val="0"/>
        </w:numPr>
        <w:ind w:left="720"/>
        <w:rPr>
          <w:lang w:val="es-ES_tradnl"/>
        </w:rPr>
      </w:pPr>
    </w:p>
    <w:p w14:paraId="0BEBC6E5" w14:textId="1D5A9165" w:rsidR="00A03445" w:rsidRPr="00835C57" w:rsidRDefault="004C151C" w:rsidP="00C1316D">
      <w:pPr>
        <w:pStyle w:val="Heading2"/>
        <w:rPr>
          <w:lang w:val="es-ES_tradnl"/>
        </w:rPr>
      </w:pPr>
      <w:r w:rsidRPr="00835C57">
        <w:rPr>
          <w:lang w:val="es-ES_tradnl"/>
        </w:rPr>
        <w:t>SUB-</w:t>
      </w:r>
      <w:r w:rsidR="00806C55" w:rsidRPr="00835C57">
        <w:rPr>
          <w:lang w:val="es-ES_tradnl"/>
        </w:rPr>
        <w:t xml:space="preserve">ETAPAS Y HERRAMIENTAS </w:t>
      </w:r>
    </w:p>
    <w:p w14:paraId="6F39F07E" w14:textId="5212D21E" w:rsidR="00346889" w:rsidRPr="00835C57" w:rsidRDefault="00DB0F86" w:rsidP="00C1316D">
      <w:pPr>
        <w:pStyle w:val="Heading3"/>
        <w:rPr>
          <w:lang w:val="es-ES_tradnl"/>
        </w:rPr>
      </w:pPr>
      <w:r w:rsidRPr="00835C57">
        <w:rPr>
          <w:lang w:val="es-ES_tradnl"/>
        </w:rPr>
        <w:t>Creación de un ambiente de aprendizaje</w:t>
      </w:r>
    </w:p>
    <w:p w14:paraId="39F647D7" w14:textId="4EA1DC6E" w:rsidR="000139F7" w:rsidRPr="00835C57" w:rsidRDefault="000139F7" w:rsidP="000139F7">
      <w:pPr>
        <w:rPr>
          <w:lang w:val="es-ES_tradnl"/>
        </w:rPr>
      </w:pPr>
      <w:r w:rsidRPr="00835C57">
        <w:rPr>
          <w:lang w:val="es-ES_tradnl"/>
        </w:rPr>
        <w:t xml:space="preserve">El punto focal de </w:t>
      </w:r>
      <w:r w:rsidR="005C489F" w:rsidRPr="00835C57">
        <w:rPr>
          <w:lang w:val="es-ES_tradnl"/>
        </w:rPr>
        <w:t>PTE</w:t>
      </w:r>
      <w:r w:rsidRPr="00835C57">
        <w:rPr>
          <w:lang w:val="es-ES_tradnl"/>
        </w:rPr>
        <w:t xml:space="preserve"> y </w:t>
      </w:r>
      <w:r w:rsidR="00DB0F86" w:rsidRPr="00835C57">
        <w:rPr>
          <w:lang w:val="es-ES_tradnl"/>
        </w:rPr>
        <w:t xml:space="preserve">el grupo técnico de trabajo </w:t>
      </w:r>
      <w:r w:rsidRPr="00835C57">
        <w:rPr>
          <w:lang w:val="es-ES_tradnl"/>
        </w:rPr>
        <w:t>deben tomar la iniciativa en el establecimiento de los sistemas de</w:t>
      </w:r>
      <w:r w:rsidR="00DB0F86" w:rsidRPr="00835C57">
        <w:rPr>
          <w:lang w:val="es-ES_tradnl"/>
        </w:rPr>
        <w:t xml:space="preserve"> monitoreo</w:t>
      </w:r>
      <w:r w:rsidRPr="00835C57">
        <w:rPr>
          <w:lang w:val="es-ES_tradnl"/>
        </w:rPr>
        <w:t xml:space="preserve"> y evaluación de preparación </w:t>
      </w:r>
      <w:r w:rsidR="00DB0F86" w:rsidRPr="00835C57">
        <w:rPr>
          <w:lang w:val="es-ES_tradnl"/>
        </w:rPr>
        <w:t>para PTE; y</w:t>
      </w:r>
      <w:r w:rsidRPr="00835C57">
        <w:rPr>
          <w:lang w:val="es-ES_tradnl"/>
        </w:rPr>
        <w:t xml:space="preserve"> </w:t>
      </w:r>
      <w:r w:rsidR="00DB0F86" w:rsidRPr="00835C57">
        <w:rPr>
          <w:lang w:val="es-ES_tradnl"/>
        </w:rPr>
        <w:t>tambié</w:t>
      </w:r>
      <w:r w:rsidRPr="00835C57">
        <w:rPr>
          <w:lang w:val="es-ES_tradnl"/>
        </w:rPr>
        <w:t xml:space="preserve">n </w:t>
      </w:r>
      <w:r w:rsidR="00DB0F86" w:rsidRPr="00835C57">
        <w:rPr>
          <w:lang w:val="es-ES_tradnl"/>
        </w:rPr>
        <w:t xml:space="preserve">en </w:t>
      </w:r>
      <w:r w:rsidRPr="00835C57">
        <w:rPr>
          <w:lang w:val="es-ES_tradnl"/>
        </w:rPr>
        <w:t xml:space="preserve">la promoción del </w:t>
      </w:r>
      <w:r w:rsidR="00DB0F86" w:rsidRPr="00835C57">
        <w:rPr>
          <w:lang w:val="es-ES_tradnl"/>
        </w:rPr>
        <w:t>aprendizaje sistemático en los</w:t>
      </w:r>
      <w:r w:rsidRPr="00835C57">
        <w:rPr>
          <w:lang w:val="es-ES_tradnl"/>
        </w:rPr>
        <w:t xml:space="preserve"> di</w:t>
      </w:r>
      <w:r w:rsidR="00DB0F86" w:rsidRPr="00835C57">
        <w:rPr>
          <w:lang w:val="es-ES_tradnl"/>
        </w:rPr>
        <w:t xml:space="preserve">stintos </w:t>
      </w:r>
      <w:r w:rsidRPr="00835C57">
        <w:rPr>
          <w:lang w:val="es-ES_tradnl"/>
        </w:rPr>
        <w:t>departamentos. Ellos planificar</w:t>
      </w:r>
      <w:r w:rsidR="00DB0F86" w:rsidRPr="00835C57">
        <w:rPr>
          <w:lang w:val="es-ES_tradnl"/>
        </w:rPr>
        <w:t>án</w:t>
      </w:r>
      <w:r w:rsidRPr="00835C57">
        <w:rPr>
          <w:lang w:val="es-ES_tradnl"/>
        </w:rPr>
        <w:t xml:space="preserve"> y llevar</w:t>
      </w:r>
      <w:r w:rsidR="00DB0F86" w:rsidRPr="00835C57">
        <w:rPr>
          <w:lang w:val="es-ES_tradnl"/>
        </w:rPr>
        <w:t>án</w:t>
      </w:r>
      <w:r w:rsidR="00F13DF5" w:rsidRPr="00835C57">
        <w:rPr>
          <w:lang w:val="es-ES_tradnl"/>
        </w:rPr>
        <w:t xml:space="preserve"> a cabo </w:t>
      </w:r>
      <w:r w:rsidR="00DB0F86" w:rsidRPr="00835C57">
        <w:rPr>
          <w:lang w:val="es-ES_tradnl"/>
        </w:rPr>
        <w:t xml:space="preserve">las revisiones </w:t>
      </w:r>
      <w:r w:rsidRPr="00835C57">
        <w:rPr>
          <w:lang w:val="es-ES_tradnl"/>
        </w:rPr>
        <w:t>del P</w:t>
      </w:r>
      <w:r w:rsidR="00DB0F86" w:rsidRPr="00835C57">
        <w:rPr>
          <w:lang w:val="es-ES_tradnl"/>
        </w:rPr>
        <w:t xml:space="preserve">lan </w:t>
      </w:r>
      <w:r w:rsidR="00F13DF5" w:rsidRPr="00835C57">
        <w:rPr>
          <w:lang w:val="es-ES_tradnl"/>
        </w:rPr>
        <w:t>de a</w:t>
      </w:r>
      <w:r w:rsidRPr="00835C57">
        <w:rPr>
          <w:lang w:val="es-ES_tradnl"/>
        </w:rPr>
        <w:t xml:space="preserve">cción de preparación </w:t>
      </w:r>
      <w:r w:rsidR="00DB0F86" w:rsidRPr="00835C57">
        <w:rPr>
          <w:lang w:val="es-ES_tradnl"/>
        </w:rPr>
        <w:t xml:space="preserve">para </w:t>
      </w:r>
      <w:r w:rsidR="005C489F" w:rsidRPr="00835C57">
        <w:rPr>
          <w:lang w:val="es-ES_tradnl"/>
        </w:rPr>
        <w:t>PTE</w:t>
      </w:r>
      <w:r w:rsidRPr="00835C57">
        <w:rPr>
          <w:lang w:val="es-ES_tradnl"/>
        </w:rPr>
        <w:t xml:space="preserve"> y </w:t>
      </w:r>
      <w:r w:rsidR="00F13DF5" w:rsidRPr="00835C57">
        <w:rPr>
          <w:lang w:val="es-ES_tradnl"/>
        </w:rPr>
        <w:t xml:space="preserve">de </w:t>
      </w:r>
      <w:r w:rsidRPr="00835C57">
        <w:rPr>
          <w:lang w:val="es-ES_tradnl"/>
        </w:rPr>
        <w:t xml:space="preserve">los sistemas pertinentes y </w:t>
      </w:r>
      <w:r w:rsidR="00F13DF5" w:rsidRPr="00835C57">
        <w:rPr>
          <w:lang w:val="es-ES_tradnl"/>
        </w:rPr>
        <w:t xml:space="preserve">de las </w:t>
      </w:r>
      <w:r w:rsidRPr="00835C57">
        <w:rPr>
          <w:lang w:val="es-ES_tradnl"/>
        </w:rPr>
        <w:t xml:space="preserve">herramientas. La herramienta </w:t>
      </w:r>
      <w:r w:rsidR="00DB0F86" w:rsidRPr="00835C57">
        <w:rPr>
          <w:lang w:val="es-ES_tradnl"/>
        </w:rPr>
        <w:t xml:space="preserve">de la </w:t>
      </w:r>
      <w:r w:rsidRPr="00835C57">
        <w:rPr>
          <w:lang w:val="es-ES_tradnl"/>
        </w:rPr>
        <w:t>sub</w:t>
      </w:r>
      <w:r w:rsidR="00DB0F86" w:rsidRPr="00835C57">
        <w:rPr>
          <w:lang w:val="es-ES_tradnl"/>
        </w:rPr>
        <w:t>-</w:t>
      </w:r>
      <w:r w:rsidRPr="00835C57">
        <w:rPr>
          <w:lang w:val="es-ES_tradnl"/>
        </w:rPr>
        <w:t>etapa puest</w:t>
      </w:r>
      <w:r w:rsidR="00DB0F86" w:rsidRPr="00835C57">
        <w:rPr>
          <w:lang w:val="es-ES_tradnl"/>
        </w:rPr>
        <w:t>a</w:t>
      </w:r>
      <w:r w:rsidRPr="00835C57">
        <w:rPr>
          <w:lang w:val="es-ES_tradnl"/>
        </w:rPr>
        <w:t xml:space="preserve"> a disposición es una plantilla de informe mensual que puede ayudar </w:t>
      </w:r>
      <w:r w:rsidR="00DB0F86" w:rsidRPr="00835C57">
        <w:rPr>
          <w:lang w:val="es-ES_tradnl"/>
        </w:rPr>
        <w:t>a</w:t>
      </w:r>
      <w:r w:rsidRPr="00835C57">
        <w:rPr>
          <w:lang w:val="es-ES_tradnl"/>
        </w:rPr>
        <w:t xml:space="preserve">l punto focal de </w:t>
      </w:r>
      <w:r w:rsidR="005C489F" w:rsidRPr="00835C57">
        <w:rPr>
          <w:lang w:val="es-ES_tradnl"/>
        </w:rPr>
        <w:t>PTE</w:t>
      </w:r>
      <w:r w:rsidRPr="00835C57">
        <w:rPr>
          <w:lang w:val="es-ES_tradnl"/>
        </w:rPr>
        <w:t xml:space="preserve"> y </w:t>
      </w:r>
      <w:r w:rsidR="00DB0F86" w:rsidRPr="00835C57">
        <w:rPr>
          <w:lang w:val="es-ES_tradnl"/>
        </w:rPr>
        <w:t xml:space="preserve">al grupo técnico de trabajo a </w:t>
      </w:r>
      <w:r w:rsidRPr="00835C57">
        <w:rPr>
          <w:lang w:val="es-ES_tradnl"/>
        </w:rPr>
        <w:t>recabar aportaciones de todos los sectores e inf</w:t>
      </w:r>
      <w:r w:rsidR="00DB0F86" w:rsidRPr="00835C57">
        <w:rPr>
          <w:lang w:val="es-ES_tradnl"/>
        </w:rPr>
        <w:t xml:space="preserve">ormar a los altos directivos y </w:t>
      </w:r>
      <w:r w:rsidRPr="00835C57">
        <w:rPr>
          <w:lang w:val="es-ES_tradnl"/>
        </w:rPr>
        <w:t>soci</w:t>
      </w:r>
      <w:r w:rsidR="00DB0F86" w:rsidRPr="00835C57">
        <w:rPr>
          <w:lang w:val="es-ES_tradnl"/>
        </w:rPr>
        <w:t xml:space="preserve">os </w:t>
      </w:r>
      <w:r w:rsidRPr="00835C57">
        <w:rPr>
          <w:lang w:val="es-ES_tradnl"/>
        </w:rPr>
        <w:t>del Movimiento de los avanc</w:t>
      </w:r>
      <w:r w:rsidR="00DB0F86" w:rsidRPr="00835C57">
        <w:rPr>
          <w:lang w:val="es-ES_tradnl"/>
        </w:rPr>
        <w:t>es del Plan de a</w:t>
      </w:r>
      <w:r w:rsidRPr="00835C57">
        <w:rPr>
          <w:lang w:val="es-ES_tradnl"/>
        </w:rPr>
        <w:t>cción.</w:t>
      </w:r>
    </w:p>
    <w:p w14:paraId="57A74DEF" w14:textId="5E0C750C" w:rsidR="00417D24" w:rsidRPr="00835C57" w:rsidRDefault="00DB0F86" w:rsidP="00C1316D">
      <w:pPr>
        <w:pStyle w:val="Heading3"/>
        <w:rPr>
          <w:lang w:val="es-ES_tradnl"/>
        </w:rPr>
      </w:pPr>
      <w:r w:rsidRPr="00835C57">
        <w:rPr>
          <w:lang w:val="es-ES_tradnl"/>
        </w:rPr>
        <w:t xml:space="preserve">Revisión interna de las operaciones de PTE </w:t>
      </w:r>
    </w:p>
    <w:p w14:paraId="1FAC9025" w14:textId="4D0CC3E0" w:rsidR="000139F7" w:rsidRPr="00835C57" w:rsidRDefault="000139F7" w:rsidP="000139F7">
      <w:pPr>
        <w:rPr>
          <w:lang w:val="es-ES_tradnl"/>
        </w:rPr>
      </w:pPr>
      <w:r w:rsidRPr="00835C57">
        <w:rPr>
          <w:lang w:val="es-ES_tradnl"/>
        </w:rPr>
        <w:t xml:space="preserve">La evaluación del proceso de preparación </w:t>
      </w:r>
      <w:r w:rsidR="00F13DF5" w:rsidRPr="00835C57">
        <w:rPr>
          <w:lang w:val="es-ES_tradnl"/>
        </w:rPr>
        <w:t xml:space="preserve">para </w:t>
      </w:r>
      <w:r w:rsidR="005C489F" w:rsidRPr="00835C57">
        <w:rPr>
          <w:lang w:val="es-ES_tradnl"/>
        </w:rPr>
        <w:t>PTE</w:t>
      </w:r>
      <w:r w:rsidRPr="00835C57">
        <w:rPr>
          <w:lang w:val="es-ES_tradnl"/>
        </w:rPr>
        <w:t xml:space="preserve"> debe permitir la identificación de los principales logros </w:t>
      </w:r>
      <w:r w:rsidR="00DB0F86" w:rsidRPr="00835C57">
        <w:rPr>
          <w:lang w:val="es-ES_tradnl"/>
        </w:rPr>
        <w:t xml:space="preserve">conseguidos en relación a los </w:t>
      </w:r>
      <w:r w:rsidRPr="00835C57">
        <w:rPr>
          <w:lang w:val="es-ES_tradnl"/>
        </w:rPr>
        <w:t>planes, la documentación de las buenas prácticas y el desarrollo de recomendac</w:t>
      </w:r>
      <w:r w:rsidR="00F13DF5" w:rsidRPr="00835C57">
        <w:rPr>
          <w:lang w:val="es-ES_tradnl"/>
        </w:rPr>
        <w:t>iones para mejorar los resultados</w:t>
      </w:r>
      <w:r w:rsidRPr="00835C57">
        <w:rPr>
          <w:lang w:val="es-ES_tradnl"/>
        </w:rPr>
        <w:t xml:space="preserve"> y los procesos. Un taller de un día o dos puede ayudar en la comprensión de lo</w:t>
      </w:r>
      <w:r w:rsidR="00DB0F86" w:rsidRPr="00835C57">
        <w:rPr>
          <w:lang w:val="es-ES_tradnl"/>
        </w:rPr>
        <w:t>s logros principales, la recogida</w:t>
      </w:r>
      <w:r w:rsidRPr="00835C57">
        <w:rPr>
          <w:lang w:val="es-ES_tradnl"/>
        </w:rPr>
        <w:t xml:space="preserve"> de las lecciones aprendidas y </w:t>
      </w:r>
      <w:r w:rsidR="00DB0F86" w:rsidRPr="00835C57">
        <w:rPr>
          <w:lang w:val="es-ES_tradnl"/>
        </w:rPr>
        <w:t xml:space="preserve">el </w:t>
      </w:r>
      <w:r w:rsidRPr="00835C57">
        <w:rPr>
          <w:lang w:val="es-ES_tradnl"/>
        </w:rPr>
        <w:t>desarroll</w:t>
      </w:r>
      <w:r w:rsidR="00DB0F86" w:rsidRPr="00835C57">
        <w:rPr>
          <w:lang w:val="es-ES_tradnl"/>
        </w:rPr>
        <w:t>o</w:t>
      </w:r>
      <w:r w:rsidRPr="00835C57">
        <w:rPr>
          <w:lang w:val="es-ES_tradnl"/>
        </w:rPr>
        <w:t xml:space="preserve"> </w:t>
      </w:r>
      <w:r w:rsidR="00DB0F86" w:rsidRPr="00835C57">
        <w:rPr>
          <w:lang w:val="es-ES_tradnl"/>
        </w:rPr>
        <w:t xml:space="preserve">de </w:t>
      </w:r>
      <w:r w:rsidRPr="00835C57">
        <w:rPr>
          <w:lang w:val="es-ES_tradnl"/>
        </w:rPr>
        <w:t>recomendaciones. El enfoque y las herramientas son similares a los utilizados en el ta</w:t>
      </w:r>
      <w:r w:rsidR="00F13DF5" w:rsidRPr="00835C57">
        <w:rPr>
          <w:lang w:val="es-ES_tradnl"/>
        </w:rPr>
        <w:t>ller inicial de preparación. El</w:t>
      </w:r>
      <w:r w:rsidRPr="00835C57">
        <w:rPr>
          <w:lang w:val="es-ES_tradnl"/>
        </w:rPr>
        <w:t xml:space="preserve"> análisis</w:t>
      </w:r>
      <w:r w:rsidR="00847320" w:rsidRPr="00835C57">
        <w:rPr>
          <w:lang w:val="es-ES_tradnl"/>
        </w:rPr>
        <w:t xml:space="preserve"> DAFO </w:t>
      </w:r>
      <w:r w:rsidRPr="00835C57">
        <w:rPr>
          <w:lang w:val="es-ES_tradnl"/>
        </w:rPr>
        <w:t xml:space="preserve">y </w:t>
      </w:r>
      <w:r w:rsidR="00847320" w:rsidRPr="00835C57">
        <w:rPr>
          <w:lang w:val="es-ES_tradnl"/>
        </w:rPr>
        <w:t xml:space="preserve">la </w:t>
      </w:r>
      <w:r w:rsidRPr="00835C57">
        <w:rPr>
          <w:lang w:val="es-ES_tradnl"/>
        </w:rPr>
        <w:t xml:space="preserve">autoevaluación </w:t>
      </w:r>
      <w:r w:rsidR="00847320" w:rsidRPr="00835C57">
        <w:rPr>
          <w:lang w:val="es-ES_tradnl"/>
        </w:rPr>
        <w:t>p</w:t>
      </w:r>
      <w:r w:rsidRPr="00835C57">
        <w:rPr>
          <w:lang w:val="es-ES_tradnl"/>
        </w:rPr>
        <w:t xml:space="preserve">ueden ser actualizados y utilizados </w:t>
      </w:r>
      <w:r w:rsidR="00F13DF5" w:rsidRPr="00835C57">
        <w:rPr>
          <w:lang w:val="es-ES_tradnl"/>
        </w:rPr>
        <w:t>para la</w:t>
      </w:r>
      <w:r w:rsidRPr="00835C57">
        <w:rPr>
          <w:lang w:val="es-ES_tradnl"/>
        </w:rPr>
        <w:t xml:space="preserve"> evaluación. Las herramientas </w:t>
      </w:r>
      <w:r w:rsidR="00847320" w:rsidRPr="00835C57">
        <w:rPr>
          <w:lang w:val="es-ES_tradnl"/>
        </w:rPr>
        <w:t xml:space="preserve">de la </w:t>
      </w:r>
      <w:r w:rsidRPr="00835C57">
        <w:rPr>
          <w:lang w:val="es-ES_tradnl"/>
        </w:rPr>
        <w:t>sub</w:t>
      </w:r>
      <w:r w:rsidR="00847320" w:rsidRPr="00835C57">
        <w:rPr>
          <w:lang w:val="es-ES_tradnl"/>
        </w:rPr>
        <w:t>-</w:t>
      </w:r>
      <w:r w:rsidRPr="00835C57">
        <w:rPr>
          <w:lang w:val="es-ES_tradnl"/>
        </w:rPr>
        <w:t xml:space="preserve">etapa incluyen plantillas para la evaluación de la preparación </w:t>
      </w:r>
      <w:r w:rsidR="00F13DF5" w:rsidRPr="00835C57">
        <w:rPr>
          <w:lang w:val="es-ES_tradnl"/>
        </w:rPr>
        <w:t xml:space="preserve">para </w:t>
      </w:r>
      <w:r w:rsidR="005C489F" w:rsidRPr="00835C57">
        <w:rPr>
          <w:lang w:val="es-ES_tradnl"/>
        </w:rPr>
        <w:t>PTE</w:t>
      </w:r>
      <w:r w:rsidRPr="00835C57">
        <w:rPr>
          <w:lang w:val="es-ES_tradnl"/>
        </w:rPr>
        <w:t>, térmi</w:t>
      </w:r>
      <w:r w:rsidR="00F13DF5" w:rsidRPr="00835C57">
        <w:rPr>
          <w:lang w:val="es-ES_tradnl"/>
        </w:rPr>
        <w:t>nos de referencia e</w:t>
      </w:r>
      <w:r w:rsidR="00847320" w:rsidRPr="00835C57">
        <w:rPr>
          <w:lang w:val="es-ES_tradnl"/>
        </w:rPr>
        <w:t xml:space="preserve"> </w:t>
      </w:r>
      <w:r w:rsidRPr="00835C57">
        <w:rPr>
          <w:lang w:val="es-ES_tradnl"/>
        </w:rPr>
        <w:t>informes, y una breve orientación sobre cuestiones clave a considerar en la organización del taller de aprendizaje.</w:t>
      </w:r>
    </w:p>
    <w:p w14:paraId="49F9F076" w14:textId="715373CA" w:rsidR="005C6F57" w:rsidRPr="00835C57" w:rsidRDefault="00847320" w:rsidP="00C1316D">
      <w:pPr>
        <w:pStyle w:val="Heading3"/>
        <w:rPr>
          <w:lang w:val="es-ES_tradnl"/>
        </w:rPr>
      </w:pPr>
      <w:r w:rsidRPr="00835C57">
        <w:rPr>
          <w:lang w:val="es-ES_tradnl"/>
        </w:rPr>
        <w:t xml:space="preserve">Evaluación externa de las operaciones PTE </w:t>
      </w:r>
    </w:p>
    <w:p w14:paraId="745BC926" w14:textId="68069FFC" w:rsidR="000139F7" w:rsidRPr="00835C57" w:rsidRDefault="000139F7" w:rsidP="000139F7">
      <w:pPr>
        <w:rPr>
          <w:lang w:val="es-ES_tradnl" w:eastAsia="en-GB"/>
        </w:rPr>
      </w:pPr>
      <w:r w:rsidRPr="00835C57">
        <w:rPr>
          <w:lang w:val="es-ES_tradnl" w:eastAsia="en-GB"/>
        </w:rPr>
        <w:t xml:space="preserve">Al final de una </w:t>
      </w:r>
      <w:r w:rsidR="00847320" w:rsidRPr="00835C57">
        <w:rPr>
          <w:lang w:val="es-ES_tradnl" w:eastAsia="en-GB"/>
        </w:rPr>
        <w:t xml:space="preserve">intervención </w:t>
      </w:r>
      <w:r w:rsidRPr="00835C57">
        <w:rPr>
          <w:lang w:val="es-ES_tradnl" w:eastAsia="en-GB"/>
        </w:rPr>
        <w:t xml:space="preserve">de emergencia </w:t>
      </w:r>
      <w:r w:rsidR="00847320" w:rsidRPr="00835C57">
        <w:rPr>
          <w:lang w:val="es-ES_tradnl" w:eastAsia="en-GB"/>
        </w:rPr>
        <w:t xml:space="preserve">con </w:t>
      </w:r>
      <w:r w:rsidR="005C489F" w:rsidRPr="00835C57">
        <w:rPr>
          <w:lang w:val="es-ES_tradnl" w:eastAsia="en-GB"/>
        </w:rPr>
        <w:t>PTE</w:t>
      </w:r>
      <w:r w:rsidRPr="00835C57">
        <w:rPr>
          <w:lang w:val="es-ES_tradnl" w:eastAsia="en-GB"/>
        </w:rPr>
        <w:t xml:space="preserve">, </w:t>
      </w:r>
      <w:r w:rsidR="00847320" w:rsidRPr="00835C57">
        <w:rPr>
          <w:lang w:val="es-ES_tradnl" w:eastAsia="en-GB"/>
        </w:rPr>
        <w:t xml:space="preserve">se debe llevar a cabo </w:t>
      </w:r>
      <w:r w:rsidRPr="00835C57">
        <w:rPr>
          <w:lang w:val="es-ES_tradnl" w:eastAsia="en-GB"/>
        </w:rPr>
        <w:t xml:space="preserve">una </w:t>
      </w:r>
      <w:r w:rsidRPr="00835C57">
        <w:rPr>
          <w:b/>
          <w:i/>
          <w:lang w:val="es-ES_tradnl" w:eastAsia="en-GB"/>
        </w:rPr>
        <w:t>evaluación externa</w:t>
      </w:r>
      <w:r w:rsidRPr="00835C57">
        <w:rPr>
          <w:lang w:val="es-ES_tradnl" w:eastAsia="en-GB"/>
        </w:rPr>
        <w:t xml:space="preserve"> de manera que las fortalezas y </w:t>
      </w:r>
      <w:r w:rsidR="00847320" w:rsidRPr="00835C57">
        <w:rPr>
          <w:lang w:val="es-ES_tradnl" w:eastAsia="en-GB"/>
        </w:rPr>
        <w:t>debilidades del proceso se pueda</w:t>
      </w:r>
      <w:r w:rsidRPr="00835C57">
        <w:rPr>
          <w:lang w:val="es-ES_tradnl" w:eastAsia="en-GB"/>
        </w:rPr>
        <w:t xml:space="preserve">n identificar de manera sistemática e imparcial. La evaluación debe extraer las lecciones aprendidas y hacer recomendaciones clave para mejorar las prácticas actuales y futuras. La evaluación debe cubrir los procesos, </w:t>
      </w:r>
      <w:r w:rsidR="00847320" w:rsidRPr="00835C57">
        <w:rPr>
          <w:lang w:val="es-ES_tradnl" w:eastAsia="en-GB"/>
        </w:rPr>
        <w:t xml:space="preserve">el </w:t>
      </w:r>
      <w:r w:rsidRPr="00835C57">
        <w:rPr>
          <w:lang w:val="es-ES_tradnl" w:eastAsia="en-GB"/>
        </w:rPr>
        <w:t xml:space="preserve">diseño, </w:t>
      </w:r>
      <w:r w:rsidR="00847320" w:rsidRPr="00835C57">
        <w:rPr>
          <w:lang w:val="es-ES_tradnl" w:eastAsia="en-GB"/>
        </w:rPr>
        <w:t xml:space="preserve">los resultados </w:t>
      </w:r>
      <w:r w:rsidRPr="00835C57">
        <w:rPr>
          <w:lang w:val="es-ES_tradnl" w:eastAsia="en-GB"/>
        </w:rPr>
        <w:t xml:space="preserve">(incluidos los recursos asignados y gastados) y el impacto de la preparación para </w:t>
      </w:r>
      <w:r w:rsidR="005C489F" w:rsidRPr="00835C57">
        <w:rPr>
          <w:lang w:val="es-ES_tradnl" w:eastAsia="en-GB"/>
        </w:rPr>
        <w:t>PTE</w:t>
      </w:r>
      <w:r w:rsidRPr="00835C57">
        <w:rPr>
          <w:lang w:val="es-ES_tradnl" w:eastAsia="en-GB"/>
        </w:rPr>
        <w:t xml:space="preserve">. </w:t>
      </w:r>
      <w:r w:rsidR="00847320" w:rsidRPr="00835C57">
        <w:rPr>
          <w:lang w:val="es-ES_tradnl" w:eastAsia="en-GB"/>
        </w:rPr>
        <w:t xml:space="preserve">El Plan de acción de </w:t>
      </w:r>
      <w:r w:rsidRPr="00835C57">
        <w:rPr>
          <w:lang w:val="es-ES_tradnl" w:eastAsia="en-GB"/>
        </w:rPr>
        <w:t xml:space="preserve">preparación </w:t>
      </w:r>
      <w:r w:rsidR="00847320" w:rsidRPr="00835C57">
        <w:rPr>
          <w:lang w:val="es-ES_tradnl" w:eastAsia="en-GB"/>
        </w:rPr>
        <w:t xml:space="preserve">para </w:t>
      </w:r>
      <w:r w:rsidR="005C489F" w:rsidRPr="00835C57">
        <w:rPr>
          <w:lang w:val="es-ES_tradnl" w:eastAsia="en-GB"/>
        </w:rPr>
        <w:t>PTE</w:t>
      </w:r>
      <w:r w:rsidRPr="00835C57">
        <w:rPr>
          <w:lang w:val="es-ES_tradnl" w:eastAsia="en-GB"/>
        </w:rPr>
        <w:t xml:space="preserve"> debe incluir la </w:t>
      </w:r>
      <w:r w:rsidR="00847320" w:rsidRPr="00835C57">
        <w:rPr>
          <w:lang w:val="es-ES_tradnl" w:eastAsia="en-GB"/>
        </w:rPr>
        <w:t>evaluación de las operaciones con</w:t>
      </w:r>
      <w:r w:rsidRPr="00835C57">
        <w:rPr>
          <w:lang w:val="es-ES_tradnl" w:eastAsia="en-GB"/>
        </w:rPr>
        <w:t xml:space="preserve"> </w:t>
      </w:r>
      <w:r w:rsidR="005C489F" w:rsidRPr="00835C57">
        <w:rPr>
          <w:lang w:val="es-ES_tradnl" w:eastAsia="en-GB"/>
        </w:rPr>
        <w:t>PTE</w:t>
      </w:r>
      <w:r w:rsidRPr="00835C57">
        <w:rPr>
          <w:lang w:val="es-ES_tradnl" w:eastAsia="en-GB"/>
        </w:rPr>
        <w:t xml:space="preserve">, e integrar el aprendizaje asociado a él. </w:t>
      </w:r>
      <w:r w:rsidR="00847320" w:rsidRPr="00835C57">
        <w:rPr>
          <w:lang w:val="es-ES_tradnl" w:eastAsia="en-GB"/>
        </w:rPr>
        <w:t>En esta sub-etapa se pone a disposición u</w:t>
      </w:r>
      <w:r w:rsidRPr="00835C57">
        <w:rPr>
          <w:lang w:val="es-ES_tradnl" w:eastAsia="en-GB"/>
        </w:rPr>
        <w:t xml:space="preserve">na hoja de ruta para la evaluación </w:t>
      </w:r>
      <w:r w:rsidR="00847320" w:rsidRPr="00835C57">
        <w:rPr>
          <w:lang w:val="es-ES_tradnl" w:eastAsia="en-GB"/>
        </w:rPr>
        <w:t xml:space="preserve">de </w:t>
      </w:r>
      <w:r w:rsidR="005C489F" w:rsidRPr="00835C57">
        <w:rPr>
          <w:lang w:val="es-ES_tradnl" w:eastAsia="en-GB"/>
        </w:rPr>
        <w:t>PTE</w:t>
      </w:r>
      <w:r w:rsidRPr="00835C57">
        <w:rPr>
          <w:lang w:val="es-ES_tradnl" w:eastAsia="en-GB"/>
        </w:rPr>
        <w:t>.</w:t>
      </w:r>
    </w:p>
    <w:p w14:paraId="00409B96" w14:textId="26B54BA9" w:rsidR="000139F7" w:rsidRPr="00835C57" w:rsidRDefault="000139F7" w:rsidP="000139F7">
      <w:pPr>
        <w:rPr>
          <w:lang w:val="es-ES_tradnl" w:eastAsia="en-GB"/>
        </w:rPr>
      </w:pPr>
      <w:r w:rsidRPr="00835C57">
        <w:rPr>
          <w:b/>
          <w:lang w:val="es-ES_tradnl" w:eastAsia="en-GB"/>
        </w:rPr>
        <w:t>Los estudios de caso</w:t>
      </w:r>
      <w:r w:rsidRPr="00835C57">
        <w:rPr>
          <w:lang w:val="es-ES_tradnl" w:eastAsia="en-GB"/>
        </w:rPr>
        <w:t xml:space="preserve"> realizados por los colaboradores externos también son una forma interesante de documentar las fortalezas, desafíos y soluciones encontradas durante una experiencia</w:t>
      </w:r>
      <w:r w:rsidR="00847320" w:rsidRPr="00835C57">
        <w:rPr>
          <w:lang w:val="es-ES_tradnl" w:eastAsia="en-GB"/>
        </w:rPr>
        <w:t xml:space="preserve"> con</w:t>
      </w:r>
      <w:r w:rsidRPr="00835C57">
        <w:rPr>
          <w:lang w:val="es-ES_tradnl" w:eastAsia="en-GB"/>
        </w:rPr>
        <w:t xml:space="preserve"> </w:t>
      </w:r>
      <w:r w:rsidR="005C489F" w:rsidRPr="00835C57">
        <w:rPr>
          <w:lang w:val="es-ES_tradnl" w:eastAsia="en-GB"/>
        </w:rPr>
        <w:t>PTE</w:t>
      </w:r>
      <w:r w:rsidRPr="00835C57">
        <w:rPr>
          <w:lang w:val="es-ES_tradnl" w:eastAsia="en-GB"/>
        </w:rPr>
        <w:t>, y pueden ser utilizados para apoyar los esfuerzos de movilización de recursos y la creación de capacidad.</w:t>
      </w:r>
    </w:p>
    <w:p w14:paraId="499D88CE" w14:textId="77777777" w:rsidR="000139F7" w:rsidRPr="00835C57" w:rsidRDefault="000139F7" w:rsidP="000139F7">
      <w:pPr>
        <w:rPr>
          <w:lang w:val="es-ES_tradnl" w:eastAsia="en-GB"/>
        </w:rPr>
      </w:pPr>
    </w:p>
    <w:p w14:paraId="3B963356" w14:textId="77777777" w:rsidR="000139F7" w:rsidRPr="00835C57" w:rsidRDefault="000139F7" w:rsidP="000139F7">
      <w:pPr>
        <w:rPr>
          <w:lang w:val="es-ES_tradnl" w:eastAsia="en-GB"/>
        </w:rPr>
      </w:pPr>
    </w:p>
    <w:p w14:paraId="0C3C2CB5" w14:textId="77777777" w:rsidR="000139F7" w:rsidRPr="00835C57" w:rsidRDefault="000139F7" w:rsidP="000139F7">
      <w:pPr>
        <w:rPr>
          <w:lang w:val="es-ES_tradnl" w:eastAsia="en-GB"/>
        </w:rPr>
      </w:pPr>
    </w:p>
    <w:p w14:paraId="7B8BD3A6" w14:textId="77777777" w:rsidR="000139F7" w:rsidRPr="00835C57" w:rsidRDefault="000139F7" w:rsidP="000139F7">
      <w:pPr>
        <w:rPr>
          <w:lang w:val="es-ES_tradnl" w:eastAsia="en-GB"/>
        </w:rPr>
      </w:pPr>
    </w:p>
    <w:p w14:paraId="376FFD7F" w14:textId="5A309CCB" w:rsidR="005C6F57" w:rsidRPr="00835C57" w:rsidRDefault="00847320" w:rsidP="00C1316D">
      <w:pPr>
        <w:pStyle w:val="Heading3"/>
        <w:rPr>
          <w:lang w:val="es-ES_tradnl"/>
        </w:rPr>
      </w:pPr>
      <w:r w:rsidRPr="00835C57">
        <w:rPr>
          <w:lang w:val="es-ES_tradnl"/>
        </w:rPr>
        <w:lastRenderedPageBreak/>
        <w:t xml:space="preserve">Documentar y difundir el aprendizaje y contribuir a la evidencia a nivel mundial </w:t>
      </w:r>
    </w:p>
    <w:p w14:paraId="7E448F97" w14:textId="3334401C" w:rsidR="00847320" w:rsidRPr="00835C57" w:rsidRDefault="00847320" w:rsidP="00847320">
      <w:pPr>
        <w:spacing w:after="240"/>
        <w:rPr>
          <w:lang w:val="es-ES_tradnl" w:eastAsia="en-GB"/>
        </w:rPr>
      </w:pPr>
      <w:r w:rsidRPr="00835C57">
        <w:rPr>
          <w:lang w:val="es-ES_tradnl" w:eastAsia="en-GB"/>
        </w:rPr>
        <w:t>Es importante compartir y promover las buenas prácticas y el aprendizaje de la experiencia de preparación para PTE, tanto a nivel interno con los socios del Movimiento, como externamente a otros actores y redes. La difusión de herramientas y estudios de caso, noticias y materiales audiovisuales puede ayudar a promover la labor de la Sociedad Nacional y hacer una valiosa contribución al sector humanitario. Una Sociedad Nacional también debe estar dispuesta a prestar apoyo técnico a otras Sociedades Nacionales que están implementando iniciativas similares. Las herramientas de la sub-etapa incluyen plantillas para desarrollar estudios de caso y hojas informativas.</w:t>
      </w: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490"/>
      </w:tblGrid>
      <w:tr w:rsidR="00764A04" w:rsidRPr="00835C57" w14:paraId="3AE6A4F9" w14:textId="77777777" w:rsidTr="00847320">
        <w:tc>
          <w:tcPr>
            <w:tcW w:w="9490" w:type="dxa"/>
          </w:tcPr>
          <w:p w14:paraId="263CA58C" w14:textId="66CE1854" w:rsidR="00764A04" w:rsidRPr="00835C57" w:rsidRDefault="00847320" w:rsidP="00764A04">
            <w:pPr>
              <w:pStyle w:val="RefTitre"/>
              <w:rPr>
                <w:lang w:val="es-ES_tradnl"/>
              </w:rPr>
            </w:pPr>
            <w:r w:rsidRPr="00835C57">
              <w:rPr>
                <w:lang w:val="es-ES_tradnl"/>
              </w:rPr>
              <w:t>DOCUMENTOS DE REFERENCIA</w:t>
            </w:r>
            <w:r w:rsidR="00764A04" w:rsidRPr="00835C57">
              <w:rPr>
                <w:lang w:val="es-ES_tradnl"/>
              </w:rPr>
              <w:t xml:space="preserve"> </w:t>
            </w:r>
          </w:p>
          <w:p w14:paraId="7FA7B0B7" w14:textId="60B1DFA1" w:rsidR="00764A04" w:rsidRPr="00835C57" w:rsidRDefault="00764A04" w:rsidP="00764A04">
            <w:pPr>
              <w:pStyle w:val="RefItem1"/>
              <w:rPr>
                <w:lang w:val="es-ES_tradnl"/>
              </w:rPr>
            </w:pPr>
            <w:r w:rsidRPr="00835C57">
              <w:rPr>
                <w:lang w:val="es-ES_tradnl"/>
              </w:rPr>
              <w:t xml:space="preserve">IFRC (2012) </w:t>
            </w:r>
            <w:r w:rsidR="00CC1DF3" w:rsidRPr="00835C57">
              <w:rPr>
                <w:lang w:val="es-ES_tradnl"/>
              </w:rPr>
              <w:t>Guía para la preparación de planes de respuesta y contingencia</w:t>
            </w:r>
            <w:r w:rsidRPr="00835C57">
              <w:rPr>
                <w:lang w:val="es-ES_tradnl"/>
              </w:rPr>
              <w:t xml:space="preserve"> </w:t>
            </w:r>
          </w:p>
          <w:p w14:paraId="5F3359E9" w14:textId="77777777" w:rsidR="00764A04" w:rsidRPr="00835C57" w:rsidRDefault="00764A04" w:rsidP="00764A04">
            <w:pPr>
              <w:pStyle w:val="RefItem1"/>
              <w:rPr>
                <w:lang w:val="es-ES_tradnl"/>
              </w:rPr>
            </w:pPr>
            <w:r w:rsidRPr="00835C57">
              <w:rPr>
                <w:lang w:val="es-ES_tradnl"/>
              </w:rPr>
              <w:t xml:space="preserve">IFRC (2015) </w:t>
            </w:r>
            <w:proofErr w:type="spellStart"/>
            <w:r w:rsidRPr="00835C57">
              <w:rPr>
                <w:lang w:val="es-ES_tradnl"/>
              </w:rPr>
              <w:t>Simulation</w:t>
            </w:r>
            <w:proofErr w:type="spellEnd"/>
            <w:r w:rsidRPr="00835C57">
              <w:rPr>
                <w:lang w:val="es-ES_tradnl"/>
              </w:rPr>
              <w:t xml:space="preserve"> </w:t>
            </w:r>
            <w:proofErr w:type="spellStart"/>
            <w:r w:rsidRPr="00835C57">
              <w:rPr>
                <w:lang w:val="es-ES_tradnl"/>
              </w:rPr>
              <w:t>guidance</w:t>
            </w:r>
            <w:proofErr w:type="spellEnd"/>
            <w:r w:rsidRPr="00835C57">
              <w:rPr>
                <w:lang w:val="es-ES_tradnl"/>
              </w:rPr>
              <w:t xml:space="preserve"> and </w:t>
            </w:r>
            <w:proofErr w:type="spellStart"/>
            <w:r w:rsidRPr="00835C57">
              <w:rPr>
                <w:lang w:val="es-ES_tradnl"/>
              </w:rPr>
              <w:t>templates</w:t>
            </w:r>
            <w:proofErr w:type="spellEnd"/>
            <w:r w:rsidRPr="00835C57">
              <w:rPr>
                <w:lang w:val="es-ES_tradnl"/>
              </w:rPr>
              <w:t xml:space="preserve"> </w:t>
            </w:r>
          </w:p>
          <w:p w14:paraId="500D1C08" w14:textId="75258567" w:rsidR="00764A04" w:rsidRPr="00835C57" w:rsidRDefault="00FD4531" w:rsidP="00764A04">
            <w:pPr>
              <w:pStyle w:val="RefItem1"/>
              <w:rPr>
                <w:lang w:val="es-ES_tradnl"/>
              </w:rPr>
            </w:pPr>
            <w:r w:rsidRPr="00835C57">
              <w:rPr>
                <w:lang w:val="es-ES_tradnl"/>
              </w:rPr>
              <w:t>Programas de transferencias de efectivo: Informe de buenas prácticas</w:t>
            </w:r>
            <w:r w:rsidR="00764A04" w:rsidRPr="00835C57">
              <w:rPr>
                <w:lang w:val="es-ES_tradnl"/>
              </w:rPr>
              <w:t xml:space="preserve">. </w:t>
            </w:r>
            <w:proofErr w:type="spellStart"/>
            <w:r w:rsidR="00764A04" w:rsidRPr="00835C57">
              <w:rPr>
                <w:lang w:val="es-ES_tradnl"/>
              </w:rPr>
              <w:t>Humanitarian</w:t>
            </w:r>
            <w:proofErr w:type="spellEnd"/>
            <w:r w:rsidR="00764A04" w:rsidRPr="00835C57">
              <w:rPr>
                <w:lang w:val="es-ES_tradnl"/>
              </w:rPr>
              <w:t xml:space="preserve"> </w:t>
            </w:r>
            <w:proofErr w:type="spellStart"/>
            <w:r w:rsidR="00764A04" w:rsidRPr="00835C57">
              <w:rPr>
                <w:lang w:val="es-ES_tradnl"/>
              </w:rPr>
              <w:t>Practice</w:t>
            </w:r>
            <w:proofErr w:type="spellEnd"/>
            <w:r w:rsidR="00764A04" w:rsidRPr="00835C57">
              <w:rPr>
                <w:lang w:val="es-ES_tradnl"/>
              </w:rPr>
              <w:t xml:space="preserve"> Network (2011) </w:t>
            </w:r>
            <w:hyperlink r:id="rId7" w:history="1">
              <w:r w:rsidRPr="00835C57">
                <w:rPr>
                  <w:rStyle w:val="Hyperlink"/>
                  <w:lang w:val="es-ES_tradnl"/>
                </w:rPr>
                <w:t>http://cashlearning.org/downloads/resources/guidelines/GPR%2011%20crc%20ES%20V1%20.pdf</w:t>
              </w:r>
            </w:hyperlink>
            <w:r w:rsidRPr="00835C57">
              <w:rPr>
                <w:lang w:val="es-ES_tradnl"/>
              </w:rPr>
              <w:t xml:space="preserve"> </w:t>
            </w:r>
          </w:p>
          <w:p w14:paraId="08E456E8" w14:textId="305C8E33" w:rsidR="00764A04" w:rsidRPr="00835C57" w:rsidRDefault="00764A04" w:rsidP="00764A04">
            <w:pPr>
              <w:pStyle w:val="RefItem1"/>
              <w:rPr>
                <w:w w:val="102"/>
                <w:lang w:val="es-ES_tradnl"/>
              </w:rPr>
            </w:pPr>
            <w:proofErr w:type="spellStart"/>
            <w:r w:rsidRPr="00835C57">
              <w:rPr>
                <w:lang w:val="es-ES_tradnl"/>
              </w:rPr>
              <w:t>Evaluating</w:t>
            </w:r>
            <w:proofErr w:type="spellEnd"/>
            <w:r w:rsidRPr="00835C57">
              <w:rPr>
                <w:lang w:val="es-ES_tradnl"/>
              </w:rPr>
              <w:t xml:space="preserve"> </w:t>
            </w:r>
            <w:proofErr w:type="spellStart"/>
            <w:r w:rsidRPr="00835C57">
              <w:rPr>
                <w:lang w:val="es-ES_tradnl"/>
              </w:rPr>
              <w:t>humanitarian</w:t>
            </w:r>
            <w:proofErr w:type="spellEnd"/>
            <w:r w:rsidRPr="00835C57">
              <w:rPr>
                <w:lang w:val="es-ES_tradnl"/>
              </w:rPr>
              <w:t xml:space="preserve"> </w:t>
            </w:r>
            <w:proofErr w:type="spellStart"/>
            <w:r w:rsidRPr="00835C57">
              <w:rPr>
                <w:lang w:val="es-ES_tradnl"/>
              </w:rPr>
              <w:t>action</w:t>
            </w:r>
            <w:proofErr w:type="spellEnd"/>
            <w:r w:rsidRPr="00835C57">
              <w:rPr>
                <w:lang w:val="es-ES_tradnl"/>
              </w:rPr>
              <w:t xml:space="preserve"> </w:t>
            </w:r>
            <w:proofErr w:type="spellStart"/>
            <w:r w:rsidRPr="00835C57">
              <w:rPr>
                <w:lang w:val="es-ES_tradnl"/>
              </w:rPr>
              <w:t>using</w:t>
            </w:r>
            <w:proofErr w:type="spellEnd"/>
            <w:r w:rsidRPr="00835C57">
              <w:rPr>
                <w:lang w:val="es-ES_tradnl"/>
              </w:rPr>
              <w:t xml:space="preserve"> </w:t>
            </w:r>
            <w:proofErr w:type="spellStart"/>
            <w:r w:rsidRPr="00835C57">
              <w:rPr>
                <w:lang w:val="es-ES_tradnl"/>
              </w:rPr>
              <w:t>the</w:t>
            </w:r>
            <w:proofErr w:type="spellEnd"/>
            <w:r w:rsidRPr="00835C57">
              <w:rPr>
                <w:lang w:val="es-ES_tradnl"/>
              </w:rPr>
              <w:t xml:space="preserve"> OECD-DAC </w:t>
            </w:r>
            <w:proofErr w:type="spellStart"/>
            <w:r w:rsidRPr="00835C57">
              <w:rPr>
                <w:lang w:val="es-ES_tradnl"/>
              </w:rPr>
              <w:t>criteria</w:t>
            </w:r>
            <w:proofErr w:type="spellEnd"/>
            <w:r w:rsidRPr="00835C57">
              <w:rPr>
                <w:lang w:val="es-ES_tradnl"/>
              </w:rPr>
              <w:t xml:space="preserve">. ALNAP </w:t>
            </w:r>
            <w:r w:rsidRPr="00835C57">
              <w:rPr>
                <w:lang w:val="es-ES_tradnl"/>
              </w:rPr>
              <w:br/>
            </w:r>
            <w:hyperlink r:id="rId8" w:history="1">
              <w:r w:rsidRPr="00835C57">
                <w:rPr>
                  <w:rStyle w:val="Hyperlink"/>
                  <w:rFonts w:eastAsia="Times New Roman"/>
                  <w:lang w:val="es-ES_tradnl"/>
                </w:rPr>
                <w:t>http://www.alnap.org/resource/5253</w:t>
              </w:r>
            </w:hyperlink>
          </w:p>
        </w:tc>
      </w:tr>
    </w:tbl>
    <w:p w14:paraId="582479E1" w14:textId="77777777" w:rsidR="00764A04" w:rsidRPr="00835C57" w:rsidRDefault="00764A04" w:rsidP="00764A04">
      <w:pPr>
        <w:rPr>
          <w:w w:val="102"/>
          <w:lang w:val="es-ES_tradnl"/>
        </w:rPr>
      </w:pPr>
    </w:p>
    <w:sectPr w:rsidR="00764A04" w:rsidRPr="00835C57" w:rsidSect="00C1316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D2E13" w14:textId="77777777" w:rsidR="00A16526" w:rsidRDefault="00A16526" w:rsidP="00E1143F">
      <w:r>
        <w:separator/>
      </w:r>
    </w:p>
  </w:endnote>
  <w:endnote w:type="continuationSeparator" w:id="0">
    <w:p w14:paraId="16E5C5E9" w14:textId="77777777" w:rsidR="00A16526" w:rsidRDefault="00A16526" w:rsidP="00E1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07C3F" w14:textId="3D3BCC00" w:rsidR="00595CF6" w:rsidRDefault="00CC1DF3">
    <w:pPr>
      <w:pStyle w:val="Footer"/>
    </w:pPr>
    <w:proofErr w:type="spellStart"/>
    <w:r>
      <w:t>Módulo</w:t>
    </w:r>
    <w:proofErr w:type="spellEnd"/>
    <w:r w:rsidR="00595CF6">
      <w:t xml:space="preserve"> 1</w:t>
    </w:r>
    <w:r w:rsidR="007B57DE">
      <w:t xml:space="preserve">. </w:t>
    </w:r>
    <w:proofErr w:type="spellStart"/>
    <w:r>
      <w:t>Etapa</w:t>
    </w:r>
    <w:proofErr w:type="spellEnd"/>
    <w:r>
      <w:t xml:space="preserve"> </w:t>
    </w:r>
    <w:r w:rsidR="007B57DE">
      <w:t>3.</w:t>
    </w:r>
    <w:r w:rsidR="00595CF6">
      <w:t xml:space="preserve"> </w:t>
    </w:r>
    <w:proofErr w:type="spellStart"/>
    <w:r w:rsidRPr="00CC1DF3">
      <w:t>Hoja</w:t>
    </w:r>
    <w:proofErr w:type="spellEnd"/>
    <w:r w:rsidRPr="00CC1DF3">
      <w:t xml:space="preserve"> de </w:t>
    </w:r>
    <w:proofErr w:type="spellStart"/>
    <w:r w:rsidRPr="00CC1DF3">
      <w:t>ruta</w:t>
    </w:r>
    <w:proofErr w:type="spellEnd"/>
    <w:r w:rsidRPr="00CC1DF3">
      <w:t xml:space="preserve"> para el </w:t>
    </w:r>
    <w:proofErr w:type="spellStart"/>
    <w:r w:rsidRPr="00CC1DF3">
      <w:t>análisis</w:t>
    </w:r>
    <w:proofErr w:type="spellEnd"/>
    <w:r w:rsidRPr="00CC1DF3">
      <w:t xml:space="preserve">, las </w:t>
    </w:r>
    <w:proofErr w:type="spellStart"/>
    <w:r w:rsidRPr="00CC1DF3">
      <w:t>lecciones</w:t>
    </w:r>
    <w:proofErr w:type="spellEnd"/>
    <w:r w:rsidRPr="00CC1DF3">
      <w:t xml:space="preserve"> </w:t>
    </w:r>
    <w:proofErr w:type="spellStart"/>
    <w:r w:rsidRPr="00CC1DF3">
      <w:t>aprendidas</w:t>
    </w:r>
    <w:proofErr w:type="spellEnd"/>
    <w:r w:rsidRPr="00CC1DF3">
      <w:t xml:space="preserve"> y el </w:t>
    </w:r>
    <w:proofErr w:type="spellStart"/>
    <w:r w:rsidRPr="00CC1DF3">
      <w:t>perfeccionamiento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F7FB" w14:textId="76C2BAB9" w:rsidR="00C1316D" w:rsidRPr="00B45C74" w:rsidRDefault="00C1316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62F8A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3CC2091" w14:textId="4D404522" w:rsidR="00C1316D" w:rsidRPr="003A3500" w:rsidRDefault="00806C55" w:rsidP="00ED1B2B">
    <w:pPr>
      <w:pStyle w:val="Footer"/>
    </w:pPr>
    <w:proofErr w:type="spellStart"/>
    <w:r>
      <w:rPr>
        <w:b/>
      </w:rPr>
      <w:t>Módulo</w:t>
    </w:r>
    <w:proofErr w:type="spellEnd"/>
    <w:r w:rsidR="00C1316D" w:rsidRPr="00107E15">
      <w:rPr>
        <w:b/>
      </w:rPr>
      <w:t xml:space="preserve"> </w:t>
    </w:r>
    <w:r w:rsidR="00C1316D">
      <w:rPr>
        <w:b/>
      </w:rPr>
      <w:t>1</w:t>
    </w:r>
    <w:r w:rsidR="00C1316D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C1316D" w:rsidRPr="00107E15">
      <w:t xml:space="preserve"> </w:t>
    </w:r>
    <w:r w:rsidR="00C1316D">
      <w:t xml:space="preserve">3 </w:t>
    </w:r>
    <w:r w:rsidR="00C1316D" w:rsidRPr="00C1316D">
      <w:rPr>
        <w:b/>
      </w:rPr>
      <w:fldChar w:fldCharType="begin"/>
    </w:r>
    <w:r w:rsidR="00C1316D" w:rsidRPr="00C1316D">
      <w:rPr>
        <w:b/>
      </w:rPr>
      <w:instrText xml:space="preserve"> STYLEREF  H1 \t  \* MERGEFORMAT </w:instrText>
    </w:r>
    <w:r w:rsidR="00C1316D" w:rsidRPr="00C1316D">
      <w:rPr>
        <w:b/>
      </w:rPr>
      <w:fldChar w:fldCharType="separate"/>
    </w:r>
    <w:r w:rsidR="00262F8A" w:rsidRPr="00262F8A">
      <w:rPr>
        <w:bCs/>
        <w:noProof/>
      </w:rPr>
      <w:t>Hoja de ruta para el análisis,</w:t>
    </w:r>
    <w:r w:rsidR="00262F8A">
      <w:rPr>
        <w:b/>
        <w:noProof/>
      </w:rPr>
      <w:t xml:space="preserve"> las lecciones aprendidas y el perfeccionamiento</w:t>
    </w:r>
    <w:r w:rsidR="00C1316D" w:rsidRPr="00C1316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5241" w14:textId="77777777" w:rsidR="00A16526" w:rsidRDefault="00A16526" w:rsidP="00E1143F">
      <w:r>
        <w:separator/>
      </w:r>
    </w:p>
  </w:footnote>
  <w:footnote w:type="continuationSeparator" w:id="0">
    <w:p w14:paraId="67E58CBF" w14:textId="77777777" w:rsidR="00A16526" w:rsidRDefault="00A16526" w:rsidP="00E1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B08D" w14:textId="77777777" w:rsidR="000B172A" w:rsidRPr="000D597D" w:rsidRDefault="000B172A" w:rsidP="000B172A">
    <w:pPr>
      <w:pStyle w:val="Header"/>
      <w:rPr>
        <w:szCs w:val="16"/>
      </w:rPr>
    </w:pPr>
    <w:proofErr w:type="spellStart"/>
    <w:r>
      <w:rPr>
        <w:rStyle w:val="Pantone485"/>
      </w:rPr>
      <w:t>Federación</w:t>
    </w:r>
    <w:proofErr w:type="spellEnd"/>
    <w:r>
      <w:rPr>
        <w:rStyle w:val="Pantone485"/>
      </w:rPr>
      <w:t xml:space="preserve"> </w:t>
    </w:r>
    <w:proofErr w:type="spellStart"/>
    <w:r w:rsidRPr="004B5DA9">
      <w:rPr>
        <w:rStyle w:val="Pantone485"/>
      </w:rPr>
      <w:t>Interna</w:t>
    </w:r>
    <w:r>
      <w:rPr>
        <w:rStyle w:val="Pantone485"/>
      </w:rPr>
      <w:t>c</w:t>
    </w:r>
    <w:r w:rsidRPr="004B5DA9">
      <w:rPr>
        <w:rStyle w:val="Pantone485"/>
      </w:rPr>
      <w:t>ional</w:t>
    </w:r>
    <w:proofErr w:type="spellEnd"/>
    <w:r w:rsidRPr="004B5DA9">
      <w:rPr>
        <w:rStyle w:val="Pantone485"/>
      </w:rPr>
      <w:t xml:space="preserve"> </w:t>
    </w:r>
    <w:r>
      <w:rPr>
        <w:rStyle w:val="Pantone485"/>
      </w:rPr>
      <w:t xml:space="preserve">de </w:t>
    </w:r>
    <w:proofErr w:type="spellStart"/>
    <w:r>
      <w:rPr>
        <w:rStyle w:val="Pantone485"/>
      </w:rPr>
      <w:t>Sociedades</w:t>
    </w:r>
    <w:proofErr w:type="spellEnd"/>
    <w:r>
      <w:rPr>
        <w:rStyle w:val="Pantone485"/>
      </w:rPr>
      <w:t xml:space="preserve"> de la Cruz Roja y de la Media Luna Roja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proofErr w:type="spellStart"/>
    <w:r w:rsidRPr="000D597D">
      <w:rPr>
        <w:rStyle w:val="PageNumber"/>
        <w:szCs w:val="16"/>
      </w:rPr>
      <w:t>Caja</w:t>
    </w:r>
    <w:proofErr w:type="spellEnd"/>
    <w:r w:rsidRPr="000D597D">
      <w:rPr>
        <w:rStyle w:val="PageNumber"/>
        <w:szCs w:val="16"/>
      </w:rPr>
      <w:t xml:space="preserve"> de </w:t>
    </w:r>
    <w:proofErr w:type="spellStart"/>
    <w:r w:rsidRPr="000D597D">
      <w:rPr>
        <w:rStyle w:val="PageNumber"/>
        <w:szCs w:val="16"/>
      </w:rPr>
      <w:t>herramientas</w:t>
    </w:r>
    <w:proofErr w:type="spellEnd"/>
    <w:r w:rsidRPr="000D597D">
      <w:rPr>
        <w:rStyle w:val="PageNumber"/>
        <w:szCs w:val="16"/>
      </w:rPr>
      <w:t xml:space="preserve"> para </w:t>
    </w:r>
    <w:r>
      <w:rPr>
        <w:rStyle w:val="PageNumber"/>
        <w:szCs w:val="16"/>
      </w:rPr>
      <w:t xml:space="preserve">PTE </w:t>
    </w:r>
    <w:proofErr w:type="spellStart"/>
    <w:r w:rsidRPr="000D597D">
      <w:rPr>
        <w:rStyle w:val="PageNumber"/>
        <w:szCs w:val="16"/>
      </w:rPr>
      <w:t>en</w:t>
    </w:r>
    <w:proofErr w:type="spellEnd"/>
    <w:r w:rsidRPr="000D597D">
      <w:rPr>
        <w:rStyle w:val="PageNumber"/>
        <w:szCs w:val="16"/>
      </w:rPr>
      <w:t xml:space="preserve"> </w:t>
    </w:r>
    <w:proofErr w:type="spellStart"/>
    <w:r w:rsidRPr="000D597D">
      <w:rPr>
        <w:rStyle w:val="PageNumber"/>
        <w:szCs w:val="16"/>
      </w:rPr>
      <w:t>emergencias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541F6" w14:textId="78FE85CE" w:rsidR="00C1316D" w:rsidRDefault="005A393B" w:rsidP="00050617">
    <w:pPr>
      <w:pStyle w:val="Header1"/>
    </w:pPr>
    <w:r w:rsidRPr="005A393B">
      <w:rPr>
        <w:noProof/>
        <w:lang w:val="es-ES_tradnl" w:eastAsia="es-ES_tradnl"/>
      </w:rPr>
      <w:drawing>
        <wp:anchor distT="0" distB="0" distL="114300" distR="114300" simplePos="0" relativeHeight="251787264" behindDoc="0" locked="0" layoutInCell="1" allowOverlap="1" wp14:anchorId="171761A5" wp14:editId="32D27D3C">
          <wp:simplePos x="0" y="0"/>
          <wp:positionH relativeFrom="column">
            <wp:posOffset>314325</wp:posOffset>
          </wp:positionH>
          <wp:positionV relativeFrom="paragraph">
            <wp:posOffset>-180340</wp:posOffset>
          </wp:positionV>
          <wp:extent cx="624205" cy="780415"/>
          <wp:effectExtent l="0" t="0" r="4445" b="635"/>
          <wp:wrapThrough wrapText="bothSides">
            <wp:wrapPolygon edited="0">
              <wp:start x="0" y="0"/>
              <wp:lineTo x="0" y="21090"/>
              <wp:lineTo x="21095" y="21090"/>
              <wp:lineTo x="21095" y="0"/>
              <wp:lineTo x="0" y="0"/>
            </wp:wrapPolygon>
          </wp:wrapThrough>
          <wp:docPr id="4" name="Picture 4" descr="http://tse1.mm.bing.net/th?&amp;id=OIP.M140f58220c8c905dca44060f4c7a17a2H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e1.mm.bing.net/th?&amp;id=OIP.M140f58220c8c905dca44060f4c7a17a2H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B06751" w14:textId="5BAF8E9A" w:rsidR="00C1316D" w:rsidRDefault="005A393B" w:rsidP="00050617">
    <w:pPr>
      <w:pStyle w:val="Header1"/>
    </w:pPr>
    <w:r w:rsidRPr="005A393B">
      <w:rPr>
        <w:noProof/>
        <w:lang w:val="es-ES_tradnl" w:eastAsia="es-ES_tradnl"/>
      </w:rPr>
      <w:drawing>
        <wp:anchor distT="0" distB="0" distL="114300" distR="114300" simplePos="0" relativeHeight="251707392" behindDoc="0" locked="0" layoutInCell="1" allowOverlap="1" wp14:anchorId="134D2293" wp14:editId="504CCF26">
          <wp:simplePos x="0" y="0"/>
          <wp:positionH relativeFrom="column">
            <wp:posOffset>2637790</wp:posOffset>
          </wp:positionH>
          <wp:positionV relativeFrom="paragraph">
            <wp:posOffset>75565</wp:posOffset>
          </wp:positionV>
          <wp:extent cx="3226435" cy="300355"/>
          <wp:effectExtent l="0" t="0" r="0" b="4445"/>
          <wp:wrapNone/>
          <wp:docPr id="3" name="Picture 3" descr="http://www.ifrc.org/Global/ifrc.org/Logos/IFRC-Spanis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rc.org/Global/ifrc.org/Logos/IFRC-Spanish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643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7845F2" w14:textId="01ECDBE3" w:rsidR="00C1316D" w:rsidRPr="007563A1" w:rsidRDefault="00C1316D" w:rsidP="00CB38F7">
    <w:pPr>
      <w:pStyle w:val="Header"/>
      <w:rPr>
        <w:sz w:val="24"/>
        <w:szCs w:val="24"/>
      </w:rPr>
    </w:pPr>
  </w:p>
  <w:p w14:paraId="2F20459C" w14:textId="77777777" w:rsidR="00C1316D" w:rsidRPr="007563A1" w:rsidRDefault="00C1316D" w:rsidP="00C16D71">
    <w:pPr>
      <w:pStyle w:val="Header"/>
      <w:spacing w:line="240" w:lineRule="auto"/>
      <w:rPr>
        <w:b/>
        <w:sz w:val="24"/>
        <w:szCs w:val="24"/>
      </w:rPr>
    </w:pPr>
  </w:p>
  <w:p w14:paraId="041B2C58" w14:textId="77777777" w:rsidR="00C1316D" w:rsidRPr="007563A1" w:rsidRDefault="00C1316D" w:rsidP="00C16D71">
    <w:pPr>
      <w:pStyle w:val="Header"/>
      <w:spacing w:line="240" w:lineRule="auto"/>
      <w:rPr>
        <w:b/>
        <w:sz w:val="24"/>
        <w:szCs w:val="24"/>
      </w:rPr>
    </w:pPr>
  </w:p>
  <w:p w14:paraId="2180E810" w14:textId="5558E86E" w:rsidR="00C1316D" w:rsidRPr="007563A1" w:rsidRDefault="005A393B" w:rsidP="00050617">
    <w:pPr>
      <w:pStyle w:val="Header1"/>
      <w:rPr>
        <w:rStyle w:val="Pantone485"/>
      </w:rPr>
    </w:pPr>
    <w:proofErr w:type="spellStart"/>
    <w:r w:rsidRPr="005A393B">
      <w:rPr>
        <w:rStyle w:val="Pantone485"/>
      </w:rPr>
      <w:t>Caja</w:t>
    </w:r>
    <w:proofErr w:type="spellEnd"/>
    <w:r w:rsidRPr="005A393B">
      <w:rPr>
        <w:rStyle w:val="Pantone485"/>
      </w:rPr>
      <w:t xml:space="preserve"> de </w:t>
    </w:r>
    <w:proofErr w:type="spellStart"/>
    <w:r w:rsidRPr="005A393B">
      <w:rPr>
        <w:rStyle w:val="Pantone485"/>
      </w:rPr>
      <w:t>herramientas</w:t>
    </w:r>
    <w:proofErr w:type="spellEnd"/>
    <w:r w:rsidRPr="005A393B">
      <w:rPr>
        <w:rStyle w:val="Pantone485"/>
      </w:rPr>
      <w:t xml:space="preserve"> para PTE </w:t>
    </w:r>
    <w:proofErr w:type="spellStart"/>
    <w:r w:rsidRPr="005A393B">
      <w:rPr>
        <w:rStyle w:val="Pantone485"/>
      </w:rPr>
      <w:t>en</w:t>
    </w:r>
    <w:proofErr w:type="spellEnd"/>
    <w:r w:rsidRPr="005A393B">
      <w:rPr>
        <w:rStyle w:val="Pantone485"/>
      </w:rPr>
      <w:t xml:space="preserve"> </w:t>
    </w:r>
    <w:proofErr w:type="spellStart"/>
    <w:r w:rsidRPr="005A393B">
      <w:rPr>
        <w:rStyle w:val="Pantone485"/>
      </w:rPr>
      <w:t>emergencias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0E5C"/>
    <w:multiLevelType w:val="hybridMultilevel"/>
    <w:tmpl w:val="156AD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58E9"/>
    <w:multiLevelType w:val="hybridMultilevel"/>
    <w:tmpl w:val="ADFA06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206DD"/>
    <w:multiLevelType w:val="hybridMultilevel"/>
    <w:tmpl w:val="EBFA7E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45"/>
    <w:rsid w:val="000139F7"/>
    <w:rsid w:val="00032CA8"/>
    <w:rsid w:val="00036113"/>
    <w:rsid w:val="000A7CE8"/>
    <w:rsid w:val="000B172A"/>
    <w:rsid w:val="000C5626"/>
    <w:rsid w:val="00116612"/>
    <w:rsid w:val="001247C1"/>
    <w:rsid w:val="00134C8E"/>
    <w:rsid w:val="001477A3"/>
    <w:rsid w:val="001800BC"/>
    <w:rsid w:val="001D1AB3"/>
    <w:rsid w:val="001D62D6"/>
    <w:rsid w:val="001F320F"/>
    <w:rsid w:val="00262F8A"/>
    <w:rsid w:val="00287871"/>
    <w:rsid w:val="002D4571"/>
    <w:rsid w:val="00346889"/>
    <w:rsid w:val="003A66D4"/>
    <w:rsid w:val="0041027B"/>
    <w:rsid w:val="00417D24"/>
    <w:rsid w:val="004C151C"/>
    <w:rsid w:val="004E0D0B"/>
    <w:rsid w:val="004E4858"/>
    <w:rsid w:val="00595CF6"/>
    <w:rsid w:val="005A393B"/>
    <w:rsid w:val="005A56D7"/>
    <w:rsid w:val="005C489F"/>
    <w:rsid w:val="005C6F57"/>
    <w:rsid w:val="0066332E"/>
    <w:rsid w:val="006B509D"/>
    <w:rsid w:val="006D074D"/>
    <w:rsid w:val="006D6B0C"/>
    <w:rsid w:val="00734FEC"/>
    <w:rsid w:val="007369B7"/>
    <w:rsid w:val="007563A1"/>
    <w:rsid w:val="007629A4"/>
    <w:rsid w:val="00764A04"/>
    <w:rsid w:val="00797AA8"/>
    <w:rsid w:val="007B57DE"/>
    <w:rsid w:val="007F3211"/>
    <w:rsid w:val="00806021"/>
    <w:rsid w:val="00806C55"/>
    <w:rsid w:val="00835C57"/>
    <w:rsid w:val="00847320"/>
    <w:rsid w:val="0089205B"/>
    <w:rsid w:val="008A0153"/>
    <w:rsid w:val="008B26E5"/>
    <w:rsid w:val="008B2E2D"/>
    <w:rsid w:val="008C2AFA"/>
    <w:rsid w:val="009012EA"/>
    <w:rsid w:val="00925B66"/>
    <w:rsid w:val="009613B1"/>
    <w:rsid w:val="009658F2"/>
    <w:rsid w:val="00970FF7"/>
    <w:rsid w:val="00973754"/>
    <w:rsid w:val="00975F3C"/>
    <w:rsid w:val="009777FB"/>
    <w:rsid w:val="009D4BE1"/>
    <w:rsid w:val="009D6B80"/>
    <w:rsid w:val="00A03445"/>
    <w:rsid w:val="00A062A2"/>
    <w:rsid w:val="00A16526"/>
    <w:rsid w:val="00A16B47"/>
    <w:rsid w:val="00A9099D"/>
    <w:rsid w:val="00AC6BD6"/>
    <w:rsid w:val="00AD4918"/>
    <w:rsid w:val="00AF585F"/>
    <w:rsid w:val="00B3194A"/>
    <w:rsid w:val="00B66301"/>
    <w:rsid w:val="00BC1F3F"/>
    <w:rsid w:val="00C1316D"/>
    <w:rsid w:val="00CB00D3"/>
    <w:rsid w:val="00CB4893"/>
    <w:rsid w:val="00CC1DF3"/>
    <w:rsid w:val="00CD7151"/>
    <w:rsid w:val="00DB0F86"/>
    <w:rsid w:val="00E1143F"/>
    <w:rsid w:val="00E33D8D"/>
    <w:rsid w:val="00E56E59"/>
    <w:rsid w:val="00E60C6A"/>
    <w:rsid w:val="00E75BC3"/>
    <w:rsid w:val="00EA1D87"/>
    <w:rsid w:val="00EB1049"/>
    <w:rsid w:val="00ED70D0"/>
    <w:rsid w:val="00F13DF5"/>
    <w:rsid w:val="00F41AE7"/>
    <w:rsid w:val="00F54D17"/>
    <w:rsid w:val="00F649D1"/>
    <w:rsid w:val="00F825E1"/>
    <w:rsid w:val="00FC5161"/>
    <w:rsid w:val="00FD4531"/>
    <w:rsid w:val="00FE60C4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D6AF2"/>
  <w14:defaultImageDpi w14:val="300"/>
  <w15:docId w15:val="{FD0220F4-A724-46C9-A215-2D513595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6B0C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6D6B0C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D6B0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B0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6B0C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6B0C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6D6B0C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C5161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6B0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D6B0C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6D6B0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6B0C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6B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3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3B1"/>
    <w:rPr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D6B0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D6B0C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0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0C"/>
    <w:rPr>
      <w:rFonts w:ascii="Lucida Grande" w:hAnsi="Lucida Grande" w:cs="Lucida Grande"/>
      <w:color w:val="auto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6B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6B0C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D6B0C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B0C"/>
    <w:rPr>
      <w:rFonts w:ascii="Arial" w:hAnsi="Arial"/>
      <w:b/>
      <w:color w:val="auto"/>
      <w:szCs w:val="24"/>
    </w:rPr>
  </w:style>
  <w:style w:type="paragraph" w:customStyle="1" w:styleId="Default">
    <w:name w:val="Default"/>
    <w:rsid w:val="006D6B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6D6B0C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D6B0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6D6B0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B0C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6D6B0C"/>
    <w:rPr>
      <w:vertAlign w:val="superscript"/>
    </w:rPr>
  </w:style>
  <w:style w:type="paragraph" w:styleId="Revision">
    <w:name w:val="Revision"/>
    <w:hidden/>
    <w:uiPriority w:val="99"/>
    <w:semiHidden/>
    <w:rsid w:val="006D6B0C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D6B0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D6B0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autoRedefine/>
    <w:rsid w:val="006D6B0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D6B0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D6B0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D6B0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D6B0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D6B0C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6D6B0C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D6B0C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6D6B0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D6B0C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D6B0C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D6B0C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7563A1"/>
    <w:pPr>
      <w:widowControl w:val="0"/>
      <w:spacing w:before="240"/>
    </w:pPr>
    <w:rPr>
      <w:rFonts w:cs="Arial"/>
      <w:sz w:val="22"/>
    </w:rPr>
  </w:style>
  <w:style w:type="paragraph" w:customStyle="1" w:styleId="TitreTableau">
    <w:name w:val="Titre Tableau"/>
    <w:basedOn w:val="Normal"/>
    <w:qFormat/>
    <w:rsid w:val="006D6B0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D6B0C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nap.org/resource/52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hlearning.org/downloads/resources/guidelines/GPR%2011%20crc%20ES%20V1%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logo+CICR&amp;view=detailv2&amp;&amp;id=B8F2200A8D1D71B63F2B06CB626363359D63FEEC&amp;selectedIndex=0&amp;ccid=FA9YIgyM&amp;simid=608001068764300521&amp;thid=OIP.M140f58220c8c905dca44060f4c7a17a2H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106</TotalTime>
  <Pages>1</Pages>
  <Words>1255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8</cp:revision>
  <cp:lastPrinted>2015-09-17T15:29:00Z</cp:lastPrinted>
  <dcterms:created xsi:type="dcterms:W3CDTF">2016-02-07T15:41:00Z</dcterms:created>
  <dcterms:modified xsi:type="dcterms:W3CDTF">2016-02-22T18:03:00Z</dcterms:modified>
</cp:coreProperties>
</file>