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2.jpg" ContentType="image/jpeg"/>
  <Override PartName="/word/media/image3.jpg" ContentType="image/jpeg"/>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B99FA" w14:textId="3E7F511A" w:rsidR="00752615" w:rsidRPr="00C70AA1" w:rsidRDefault="00C70AA1" w:rsidP="008E5991">
      <w:pPr>
        <w:pStyle w:val="H1"/>
        <w:rPr>
          <w:rFonts w:cs="Arial"/>
          <w:color w:val="4F81BD" w:themeColor="accent1"/>
          <w:lang w:val="es-ES"/>
        </w:rPr>
      </w:pPr>
      <w:r w:rsidRPr="00C70AA1">
        <w:rPr>
          <w:rFonts w:cs="Arial"/>
          <w:lang w:val="es-ES"/>
        </w:rPr>
        <w:t>Hoja de ruta para e</w:t>
      </w:r>
      <w:r>
        <w:rPr>
          <w:rFonts w:cs="Arial"/>
          <w:lang w:val="es-ES"/>
        </w:rPr>
        <w:t>l</w:t>
      </w:r>
      <w:r w:rsidRPr="00C70AA1">
        <w:rPr>
          <w:rFonts w:cs="Arial"/>
          <w:lang w:val="es-ES"/>
        </w:rPr>
        <w:t xml:space="preserve"> análisis de respuestas </w:t>
      </w:r>
    </w:p>
    <w:p w14:paraId="2F9E544A" w14:textId="77777777" w:rsidR="003179F0" w:rsidRPr="00C70AA1" w:rsidRDefault="003179F0" w:rsidP="008E5991">
      <w:pPr>
        <w:pStyle w:val="H1"/>
        <w:rPr>
          <w:rFonts w:cs="Arial"/>
          <w:lang w:val="es-ES"/>
        </w:rPr>
      </w:pPr>
    </w:p>
    <w:p w14:paraId="0FCC425B" w14:textId="490B5B1E" w:rsidR="007D1A58" w:rsidRPr="0004220A" w:rsidRDefault="00C70AA1" w:rsidP="008E5991">
      <w:pPr>
        <w:pStyle w:val="Heading2"/>
        <w:rPr>
          <w:rFonts w:cs="Arial"/>
          <w:lang w:val="es-ES"/>
        </w:rPr>
      </w:pPr>
      <w:r w:rsidRPr="0004220A">
        <w:rPr>
          <w:rFonts w:cs="Arial"/>
          <w:lang w:val="es-ES"/>
        </w:rPr>
        <w:t xml:space="preserve">INTRODUCCIÓN </w:t>
      </w:r>
    </w:p>
    <w:p w14:paraId="2A1A57F4" w14:textId="5D2E8B04" w:rsidR="006D3A93" w:rsidRPr="000E0A8F" w:rsidRDefault="00C70AA1" w:rsidP="003179F0">
      <w:pPr>
        <w:rPr>
          <w:rFonts w:cs="Arial"/>
          <w:color w:val="4F81BD" w:themeColor="accent1"/>
          <w:lang w:val="es-ES"/>
        </w:rPr>
      </w:pPr>
      <w:r w:rsidRPr="00C70AA1">
        <w:rPr>
          <w:rFonts w:cs="Arial"/>
          <w:shd w:val="clear" w:color="auto" w:fill="FFFFFF"/>
          <w:lang w:val="es-ES" w:eastAsia="it-IT"/>
        </w:rPr>
        <w:t xml:space="preserve">Esta hoja de ruta es un guía a lo largo del módulo de análisis de repuestas. </w:t>
      </w:r>
      <w:r>
        <w:rPr>
          <w:rFonts w:cs="Arial"/>
          <w:shd w:val="clear" w:color="auto" w:fill="FFFFFF"/>
          <w:lang w:val="es-ES" w:eastAsia="it-IT"/>
        </w:rPr>
        <w:t>El análisis de respuestas se suele llevar a cabo después de una evaluación inicial, en la que se identifican las necesidades</w:t>
      </w:r>
      <w:r w:rsidRPr="003179F0">
        <w:rPr>
          <w:rStyle w:val="FootnoteReference"/>
          <w:rFonts w:cs="Arial"/>
          <w:szCs w:val="22"/>
        </w:rPr>
        <w:footnoteReference w:id="1"/>
      </w:r>
      <w:r>
        <w:rPr>
          <w:rFonts w:cs="Arial"/>
          <w:shd w:val="clear" w:color="auto" w:fill="FFFFFF"/>
          <w:lang w:val="es-ES" w:eastAsia="it-IT"/>
        </w:rPr>
        <w:t xml:space="preserve"> de la población afectada. El proceso de análisis de respuestas ayuda a determinar las opciones de respuesta más apropiadas y viables, para unos objetivos fijados de cobertura de necesidades de emergencia. </w:t>
      </w:r>
      <w:r w:rsidR="000E0A8F" w:rsidRPr="000E0A8F">
        <w:rPr>
          <w:rFonts w:cs="Arial"/>
          <w:color w:val="4F81BD" w:themeColor="accent1"/>
          <w:shd w:val="clear" w:color="auto" w:fill="FFFFFF"/>
          <w:lang w:val="es-ES" w:eastAsia="it-IT"/>
        </w:rPr>
        <w:t xml:space="preserve"> </w:t>
      </w:r>
    </w:p>
    <w:p w14:paraId="4FACFCA3" w14:textId="2B1FB9F0" w:rsidR="00527882" w:rsidRPr="000E0A8F" w:rsidRDefault="00C70AA1" w:rsidP="003179F0">
      <w:pPr>
        <w:rPr>
          <w:color w:val="4F81BD" w:themeColor="accent1"/>
          <w:lang w:val="es-ES"/>
        </w:rPr>
      </w:pPr>
      <w:r w:rsidRPr="00C70AA1">
        <w:rPr>
          <w:shd w:val="clear" w:color="auto" w:fill="FFFFFF"/>
          <w:lang w:val="es-ES" w:eastAsia="it-IT"/>
        </w:rPr>
        <w:t>A efectos de la Caja de herram</w:t>
      </w:r>
      <w:r>
        <w:rPr>
          <w:shd w:val="clear" w:color="auto" w:fill="FFFFFF"/>
          <w:lang w:val="es-ES" w:eastAsia="it-IT"/>
        </w:rPr>
        <w:t>ie</w:t>
      </w:r>
      <w:r w:rsidRPr="00C70AA1">
        <w:rPr>
          <w:shd w:val="clear" w:color="auto" w:fill="FFFFFF"/>
          <w:lang w:val="es-ES" w:eastAsia="it-IT"/>
        </w:rPr>
        <w:t>ntas para PTE, el análisis de respuestas se ha dividido en etapas y sub-etapas.</w:t>
      </w:r>
      <w:r>
        <w:rPr>
          <w:shd w:val="clear" w:color="auto" w:fill="FFFFFF"/>
          <w:lang w:val="es-ES" w:eastAsia="it-IT"/>
        </w:rPr>
        <w:t xml:space="preserve"> Cada sub-etapa se ha asociado con herramientas seleccionadas por su potencial para ser adaptadas y utilizadas en diferentes contextos</w:t>
      </w:r>
      <w:r w:rsidR="00F13C09">
        <w:rPr>
          <w:shd w:val="clear" w:color="auto" w:fill="FFFFFF"/>
          <w:lang w:val="es-ES" w:eastAsia="it-IT"/>
        </w:rPr>
        <w:t xml:space="preserve"> y programas de transferencias</w:t>
      </w:r>
      <w:r>
        <w:rPr>
          <w:shd w:val="clear" w:color="auto" w:fill="FFFFFF"/>
          <w:lang w:val="es-ES" w:eastAsia="it-IT"/>
        </w:rPr>
        <w:t xml:space="preserve"> de efectivo, por distintas organizaciones. </w:t>
      </w:r>
      <w:r w:rsidR="00F13C09">
        <w:rPr>
          <w:shd w:val="clear" w:color="auto" w:fill="FFFFFF"/>
          <w:lang w:val="es-ES" w:eastAsia="it-IT"/>
        </w:rPr>
        <w:t xml:space="preserve">Para adaptar las herramientas a un determinado contexto y necesidades, puede obtenerse orientación en los documentos de referencia sugeridos tanto a nivel de módulo como de etapa. </w:t>
      </w:r>
      <w:r w:rsidR="000E0A8F" w:rsidRPr="000E0A8F">
        <w:rPr>
          <w:color w:val="4F81BD" w:themeColor="accent1"/>
          <w:shd w:val="clear" w:color="auto" w:fill="FFFFFF"/>
          <w:lang w:val="es-ES" w:eastAsia="it-IT"/>
        </w:rPr>
        <w:t xml:space="preserve"> </w:t>
      </w:r>
    </w:p>
    <w:p w14:paraId="3A64E09E" w14:textId="5CC1DAFE" w:rsidR="00527882" w:rsidRPr="00F267F0" w:rsidRDefault="00F13C09" w:rsidP="003179F0">
      <w:pPr>
        <w:rPr>
          <w:color w:val="4F81BD" w:themeColor="accent1"/>
          <w:shd w:val="clear" w:color="auto" w:fill="FFFFFF"/>
          <w:lang w:val="es-ES" w:eastAsia="it-IT"/>
        </w:rPr>
      </w:pPr>
      <w:r w:rsidRPr="00F13C09">
        <w:rPr>
          <w:lang w:val="es-ES"/>
        </w:rPr>
        <w:t xml:space="preserve">Las etapas y sub-etapas son indicativas y no necesariamente </w:t>
      </w:r>
      <w:r w:rsidR="00F27985">
        <w:rPr>
          <w:lang w:val="es-ES"/>
        </w:rPr>
        <w:t>consecutivas</w:t>
      </w:r>
      <w:r w:rsidRPr="00F13C09">
        <w:rPr>
          <w:lang w:val="es-ES"/>
        </w:rPr>
        <w:t>.</w:t>
      </w:r>
      <w:r>
        <w:rPr>
          <w:lang w:val="es-ES"/>
        </w:rPr>
        <w:t xml:space="preserve"> </w:t>
      </w:r>
      <w:r w:rsidR="00F27985">
        <w:rPr>
          <w:lang w:val="es-ES"/>
        </w:rPr>
        <w:t xml:space="preserve">Puede </w:t>
      </w:r>
      <w:r w:rsidR="00F27985" w:rsidRPr="00883D3B">
        <w:rPr>
          <w:lang w:val="es-ES"/>
        </w:rPr>
        <w:t xml:space="preserve">ser </w:t>
      </w:r>
      <w:r w:rsidR="00F27985" w:rsidRPr="00F27985">
        <w:rPr>
          <w:lang w:val="es-ES"/>
        </w:rPr>
        <w:t>necesario moverse hacia atrás y hacia delante para lograr los resultados deseados. En ocasiones, puede</w:t>
      </w:r>
      <w:r w:rsidR="00F27985">
        <w:rPr>
          <w:lang w:val="es-ES"/>
        </w:rPr>
        <w:t xml:space="preserve"> incluso ser necesario saltarse etapas o sub-etapas, debido a limitaciones de tiempo o de recursos, frecuentes en contextos de emergencia. En todo caso, deben cumplirse al menos los estándares mínimos fijados en el módulo de análisis de respuestas. Para cada etapa se proponen también unos estándares mínimos que sirven de guía para ayudar a decidir en qué centrarse. </w:t>
      </w:r>
      <w:r w:rsidR="00F267F0" w:rsidRPr="00F267F0">
        <w:rPr>
          <w:color w:val="4F81BD" w:themeColor="accent1"/>
          <w:lang w:val="es-ES"/>
        </w:rPr>
        <w:t xml:space="preserve"> </w:t>
      </w:r>
    </w:p>
    <w:p w14:paraId="4B09DA59" w14:textId="27D92383" w:rsidR="001B79C9" w:rsidRPr="00F27985" w:rsidRDefault="00F27985" w:rsidP="008E5991">
      <w:pPr>
        <w:pStyle w:val="Heading2"/>
        <w:rPr>
          <w:rFonts w:cs="Arial"/>
          <w:color w:val="4F81BD" w:themeColor="accent1"/>
        </w:rPr>
      </w:pPr>
      <w:r>
        <w:rPr>
          <w:rFonts w:cs="Arial"/>
        </w:rPr>
        <w:t xml:space="preserve">ESTÁNDARES MÍNIMOS </w:t>
      </w:r>
      <w:r w:rsidR="00F267F0">
        <w:rPr>
          <w:rFonts w:cs="Arial"/>
          <w:color w:val="4F81BD" w:themeColor="accent1"/>
        </w:rPr>
        <w:t xml:space="preserve"> </w:t>
      </w:r>
    </w:p>
    <w:p w14:paraId="506C4C97" w14:textId="7CCD3FA6" w:rsidR="00F90F42" w:rsidRPr="00F267F0" w:rsidRDefault="00F27985" w:rsidP="001B79C9">
      <w:pPr>
        <w:pStyle w:val="ListParagraph"/>
        <w:numPr>
          <w:ilvl w:val="0"/>
          <w:numId w:val="14"/>
        </w:numPr>
        <w:spacing w:after="60"/>
        <w:contextualSpacing w:val="0"/>
        <w:jc w:val="left"/>
        <w:rPr>
          <w:rFonts w:eastAsia="Times New Roman" w:cs="Arial"/>
          <w:szCs w:val="24"/>
          <w:lang w:val="es-ES"/>
        </w:rPr>
      </w:pPr>
      <w:r>
        <w:rPr>
          <w:rFonts w:eastAsia="Times New Roman" w:cs="Arial"/>
          <w:color w:val="000000"/>
          <w:szCs w:val="24"/>
          <w:lang w:val="es-ES"/>
        </w:rPr>
        <w:t xml:space="preserve">En el </w:t>
      </w:r>
      <w:r w:rsidRPr="00F267F0">
        <w:rPr>
          <w:rFonts w:eastAsia="Times New Roman" w:cs="Arial"/>
          <w:szCs w:val="24"/>
          <w:lang w:val="es-ES"/>
        </w:rPr>
        <w:t xml:space="preserve">proceso de selección de las modalidades y mecanismos de entrega de transferencias de efectivo deben estar implicados finanzas y logística. </w:t>
      </w:r>
      <w:r w:rsidR="00F267F0" w:rsidRPr="00F267F0">
        <w:rPr>
          <w:rFonts w:eastAsia="Times New Roman" w:cs="Arial"/>
          <w:szCs w:val="24"/>
          <w:lang w:val="es-ES"/>
        </w:rPr>
        <w:t xml:space="preserve"> </w:t>
      </w:r>
    </w:p>
    <w:p w14:paraId="540A7713" w14:textId="1AC6BB41" w:rsidR="00853516" w:rsidRPr="00F267F0" w:rsidRDefault="00F27985" w:rsidP="001B79C9">
      <w:pPr>
        <w:pStyle w:val="ListParagraph"/>
        <w:numPr>
          <w:ilvl w:val="0"/>
          <w:numId w:val="14"/>
        </w:numPr>
        <w:spacing w:after="60"/>
        <w:contextualSpacing w:val="0"/>
        <w:jc w:val="left"/>
        <w:rPr>
          <w:rFonts w:eastAsia="Times New Roman" w:cs="Arial"/>
          <w:szCs w:val="24"/>
          <w:lang w:val="es-ES"/>
        </w:rPr>
      </w:pPr>
      <w:r w:rsidRPr="00F267F0">
        <w:rPr>
          <w:rFonts w:eastAsia="Times New Roman" w:cs="Arial"/>
          <w:szCs w:val="24"/>
          <w:lang w:val="es-ES"/>
        </w:rPr>
        <w:t xml:space="preserve">Ha de verificarse la viabilidad de cada posible modalidad y mecanismo de entrega. </w:t>
      </w:r>
      <w:r w:rsidR="00F267F0" w:rsidRPr="00F267F0">
        <w:rPr>
          <w:rFonts w:eastAsia="Times New Roman" w:cs="Arial"/>
          <w:szCs w:val="24"/>
          <w:lang w:val="es-ES"/>
        </w:rPr>
        <w:t xml:space="preserve"> </w:t>
      </w:r>
    </w:p>
    <w:p w14:paraId="3086FF93" w14:textId="0CFDA289" w:rsidR="001B79C9" w:rsidRPr="00F267F0" w:rsidRDefault="00F27985" w:rsidP="001B79C9">
      <w:pPr>
        <w:pStyle w:val="ListParagraph"/>
        <w:numPr>
          <w:ilvl w:val="0"/>
          <w:numId w:val="14"/>
        </w:numPr>
        <w:spacing w:after="60"/>
        <w:contextualSpacing w:val="0"/>
        <w:jc w:val="left"/>
        <w:rPr>
          <w:rFonts w:eastAsia="Times New Roman" w:cs="Arial"/>
          <w:szCs w:val="24"/>
          <w:lang w:val="es-ES"/>
        </w:rPr>
      </w:pPr>
      <w:r w:rsidRPr="00F267F0">
        <w:rPr>
          <w:rFonts w:eastAsia="Times New Roman" w:cs="Arial"/>
          <w:szCs w:val="24"/>
          <w:lang w:val="es-ES"/>
        </w:rPr>
        <w:t xml:space="preserve">La elección de la modalidad y el mecanismo de entrega debe estar basada en un análisis comparativo </w:t>
      </w:r>
      <w:r w:rsidR="00E7031D" w:rsidRPr="00F267F0">
        <w:rPr>
          <w:rFonts w:eastAsia="Times New Roman" w:cs="Arial"/>
          <w:szCs w:val="24"/>
          <w:lang w:val="es-ES"/>
        </w:rPr>
        <w:t xml:space="preserve">que ha de incluir al menos </w:t>
      </w:r>
      <w:r w:rsidR="00034002" w:rsidRPr="00F36218">
        <w:rPr>
          <w:rFonts w:eastAsia="Times New Roman" w:cs="Arial"/>
          <w:szCs w:val="24"/>
          <w:lang w:val="es-ES"/>
        </w:rPr>
        <w:t xml:space="preserve">los </w:t>
      </w:r>
      <w:r w:rsidR="00E7031D" w:rsidRPr="00F36218">
        <w:rPr>
          <w:rFonts w:eastAsia="Times New Roman" w:cs="Arial"/>
          <w:szCs w:val="24"/>
          <w:lang w:val="es-ES"/>
        </w:rPr>
        <w:t>riesgos</w:t>
      </w:r>
      <w:r w:rsidR="00034002" w:rsidRPr="00F36218">
        <w:rPr>
          <w:rFonts w:eastAsia="Times New Roman" w:cs="Arial"/>
          <w:szCs w:val="24"/>
          <w:lang w:val="es-ES"/>
        </w:rPr>
        <w:t xml:space="preserve"> y medidas de </w:t>
      </w:r>
      <w:r w:rsidR="00E7031D" w:rsidRPr="00F36218">
        <w:rPr>
          <w:rFonts w:eastAsia="Times New Roman" w:cs="Arial"/>
          <w:szCs w:val="24"/>
          <w:lang w:val="es-ES"/>
        </w:rPr>
        <w:t>mitigación y</w:t>
      </w:r>
      <w:r w:rsidR="00E7031D" w:rsidRPr="00F267F0">
        <w:rPr>
          <w:rFonts w:eastAsia="Times New Roman" w:cs="Arial"/>
          <w:szCs w:val="24"/>
          <w:lang w:val="es-ES"/>
        </w:rPr>
        <w:t xml:space="preserve"> </w:t>
      </w:r>
      <w:r w:rsidR="00034002" w:rsidRPr="00F267F0">
        <w:rPr>
          <w:rFonts w:eastAsia="Times New Roman" w:cs="Arial"/>
          <w:szCs w:val="24"/>
          <w:lang w:val="es-ES"/>
        </w:rPr>
        <w:t xml:space="preserve">los </w:t>
      </w:r>
      <w:r w:rsidR="00E7031D" w:rsidRPr="00F267F0">
        <w:rPr>
          <w:rFonts w:eastAsia="Times New Roman" w:cs="Arial"/>
          <w:szCs w:val="24"/>
          <w:lang w:val="es-ES"/>
        </w:rPr>
        <w:t xml:space="preserve">costes. </w:t>
      </w:r>
      <w:r w:rsidR="00F267F0" w:rsidRPr="00F267F0">
        <w:rPr>
          <w:rFonts w:eastAsia="Times New Roman" w:cs="Arial"/>
          <w:szCs w:val="24"/>
          <w:lang w:val="es-ES"/>
        </w:rPr>
        <w:t xml:space="preserve"> </w:t>
      </w:r>
    </w:p>
    <w:p w14:paraId="460784EA" w14:textId="379D3891" w:rsidR="001B79C9" w:rsidRPr="00F267F0" w:rsidRDefault="00E7031D" w:rsidP="001B79C9">
      <w:pPr>
        <w:pStyle w:val="ListParagraph"/>
        <w:numPr>
          <w:ilvl w:val="0"/>
          <w:numId w:val="14"/>
        </w:numPr>
        <w:spacing w:after="60"/>
        <w:contextualSpacing w:val="0"/>
        <w:jc w:val="left"/>
        <w:rPr>
          <w:rFonts w:eastAsia="Times New Roman" w:cs="Arial"/>
          <w:szCs w:val="24"/>
          <w:lang w:val="es-ES"/>
        </w:rPr>
      </w:pPr>
      <w:r w:rsidRPr="00F267F0">
        <w:rPr>
          <w:rFonts w:eastAsia="Times New Roman" w:cs="Arial"/>
          <w:szCs w:val="24"/>
          <w:lang w:val="es-ES"/>
        </w:rPr>
        <w:t xml:space="preserve">Las preferencias y la capacidad de los beneficiarios (por ejemplo, para utilizar tecnología), así como cuestiones internas de los hogares, han de ser tenidas en consideración. </w:t>
      </w:r>
      <w:r w:rsidR="00F267F0" w:rsidRPr="00F267F0">
        <w:rPr>
          <w:rFonts w:eastAsia="Times New Roman" w:cs="Arial"/>
          <w:szCs w:val="24"/>
          <w:lang w:val="es-ES"/>
        </w:rPr>
        <w:t xml:space="preserve"> </w:t>
      </w:r>
    </w:p>
    <w:p w14:paraId="2982EF08" w14:textId="1CA25EF0" w:rsidR="00E01226" w:rsidRPr="00F267F0" w:rsidRDefault="00E7031D" w:rsidP="00E01226">
      <w:pPr>
        <w:pStyle w:val="ListParagraph"/>
        <w:numPr>
          <w:ilvl w:val="0"/>
          <w:numId w:val="14"/>
        </w:numPr>
        <w:spacing w:after="60"/>
        <w:contextualSpacing w:val="0"/>
        <w:jc w:val="left"/>
        <w:rPr>
          <w:rFonts w:eastAsia="Times New Roman" w:cs="Arial"/>
          <w:szCs w:val="24"/>
          <w:lang w:val="es-ES"/>
        </w:rPr>
      </w:pPr>
      <w:r w:rsidRPr="00F267F0">
        <w:rPr>
          <w:rFonts w:eastAsia="Times New Roman" w:cs="Arial"/>
          <w:szCs w:val="24"/>
          <w:lang w:val="es-ES"/>
        </w:rPr>
        <w:t>Ha de tenerse en consideración la capacidad de la agencia</w:t>
      </w:r>
      <w:r w:rsidR="00034002" w:rsidRPr="00F267F0">
        <w:rPr>
          <w:rFonts w:eastAsia="Times New Roman" w:cs="Arial"/>
          <w:szCs w:val="24"/>
          <w:lang w:val="es-ES"/>
        </w:rPr>
        <w:t xml:space="preserve"> o </w:t>
      </w:r>
      <w:r w:rsidRPr="00F267F0">
        <w:rPr>
          <w:rFonts w:eastAsia="Times New Roman" w:cs="Arial"/>
          <w:szCs w:val="24"/>
          <w:lang w:val="es-ES"/>
        </w:rPr>
        <w:t xml:space="preserve">asociado para entregar efectivo mediante la modalidad y el mecanismo elegidos.  </w:t>
      </w:r>
      <w:r w:rsidR="00F267F0" w:rsidRPr="00F267F0">
        <w:rPr>
          <w:rFonts w:eastAsia="Times New Roman" w:cs="Arial"/>
          <w:szCs w:val="24"/>
          <w:lang w:val="es-ES"/>
        </w:rPr>
        <w:t xml:space="preserve"> </w:t>
      </w:r>
    </w:p>
    <w:p w14:paraId="1F18E092" w14:textId="36196B94" w:rsidR="00853516" w:rsidRPr="00F267F0" w:rsidRDefault="00E7031D" w:rsidP="00853516">
      <w:pPr>
        <w:pStyle w:val="ListParagraph"/>
        <w:numPr>
          <w:ilvl w:val="0"/>
          <w:numId w:val="14"/>
        </w:numPr>
        <w:spacing w:after="60"/>
        <w:contextualSpacing w:val="0"/>
        <w:jc w:val="left"/>
        <w:rPr>
          <w:rFonts w:eastAsia="Times New Roman" w:cs="Arial"/>
          <w:szCs w:val="24"/>
          <w:lang w:val="es-ES"/>
        </w:rPr>
      </w:pPr>
      <w:r w:rsidRPr="00F267F0">
        <w:rPr>
          <w:rFonts w:eastAsia="Times New Roman" w:cs="Arial"/>
          <w:szCs w:val="24"/>
          <w:lang w:val="es-ES"/>
        </w:rPr>
        <w:t xml:space="preserve">Ha de buscarse la alineación con las políticas y prácticas del gobierno local y otros actores humanitarios. </w:t>
      </w:r>
      <w:r w:rsidR="00F267F0" w:rsidRPr="00F267F0">
        <w:rPr>
          <w:rFonts w:eastAsia="Times New Roman" w:cs="Arial"/>
          <w:szCs w:val="24"/>
          <w:lang w:val="es-ES"/>
        </w:rPr>
        <w:t xml:space="preserve"> </w:t>
      </w:r>
    </w:p>
    <w:p w14:paraId="186C12A4" w14:textId="3E4009F2" w:rsidR="00527882" w:rsidRPr="00F267F0" w:rsidRDefault="00E7031D" w:rsidP="00527882">
      <w:pPr>
        <w:pStyle w:val="ListParagraph"/>
        <w:numPr>
          <w:ilvl w:val="0"/>
          <w:numId w:val="16"/>
        </w:numPr>
        <w:spacing w:after="60"/>
        <w:contextualSpacing w:val="0"/>
        <w:jc w:val="left"/>
        <w:rPr>
          <w:rFonts w:eastAsia="Times New Roman" w:cs="Arial"/>
          <w:szCs w:val="24"/>
        </w:rPr>
      </w:pPr>
      <w:r w:rsidRPr="00F267F0">
        <w:rPr>
          <w:rFonts w:eastAsia="Times New Roman" w:cs="Arial"/>
          <w:szCs w:val="24"/>
          <w:lang w:val="es-ES"/>
        </w:rPr>
        <w:t>El valor y la duración de la transferencia</w:t>
      </w:r>
      <w:r w:rsidR="004F1D4F" w:rsidRPr="00F267F0">
        <w:rPr>
          <w:rFonts w:eastAsia="Times New Roman" w:cs="Arial"/>
          <w:szCs w:val="24"/>
          <w:lang w:val="es-ES"/>
        </w:rPr>
        <w:t xml:space="preserve"> </w:t>
      </w:r>
      <w:r w:rsidRPr="00F267F0">
        <w:rPr>
          <w:rFonts w:eastAsia="Times New Roman" w:cs="Arial"/>
          <w:szCs w:val="24"/>
          <w:lang w:val="es-ES"/>
        </w:rPr>
        <w:t>debe</w:t>
      </w:r>
      <w:r w:rsidR="004F1D4F" w:rsidRPr="00F267F0">
        <w:rPr>
          <w:rFonts w:eastAsia="Times New Roman" w:cs="Arial"/>
          <w:szCs w:val="24"/>
          <w:lang w:val="es-ES"/>
        </w:rPr>
        <w:t xml:space="preserve"> reflejar </w:t>
      </w:r>
      <w:r w:rsidRPr="00F267F0">
        <w:rPr>
          <w:rFonts w:eastAsia="Times New Roman" w:cs="Arial"/>
          <w:szCs w:val="24"/>
          <w:lang w:val="es-ES"/>
        </w:rPr>
        <w:t xml:space="preserve">lo que </w:t>
      </w:r>
      <w:r w:rsidR="004F1D4F" w:rsidRPr="00F267F0">
        <w:rPr>
          <w:rFonts w:eastAsia="Times New Roman" w:cs="Arial"/>
          <w:szCs w:val="24"/>
          <w:lang w:val="es-ES"/>
        </w:rPr>
        <w:t xml:space="preserve">un </w:t>
      </w:r>
      <w:r w:rsidRPr="00F267F0">
        <w:rPr>
          <w:rFonts w:eastAsia="Times New Roman" w:cs="Arial"/>
          <w:szCs w:val="24"/>
          <w:lang w:val="es-ES"/>
        </w:rPr>
        <w:t>hogar</w:t>
      </w:r>
      <w:r w:rsidR="004F1D4F" w:rsidRPr="00F267F0">
        <w:rPr>
          <w:rFonts w:eastAsia="Times New Roman" w:cs="Arial"/>
          <w:szCs w:val="24"/>
          <w:lang w:val="es-ES"/>
        </w:rPr>
        <w:t xml:space="preserve"> </w:t>
      </w:r>
      <w:r w:rsidRPr="00F267F0">
        <w:rPr>
          <w:rFonts w:eastAsia="Times New Roman" w:cs="Arial"/>
          <w:szCs w:val="24"/>
          <w:lang w:val="es-ES"/>
        </w:rPr>
        <w:t>necesita</w:t>
      </w:r>
      <w:r w:rsidR="004F1D4F" w:rsidRPr="00F267F0">
        <w:rPr>
          <w:rFonts w:eastAsia="Times New Roman" w:cs="Arial"/>
          <w:szCs w:val="24"/>
          <w:lang w:val="es-ES"/>
        </w:rPr>
        <w:t xml:space="preserve"> </w:t>
      </w:r>
      <w:r w:rsidRPr="00F267F0">
        <w:rPr>
          <w:rFonts w:eastAsia="Times New Roman" w:cs="Arial"/>
          <w:szCs w:val="24"/>
          <w:lang w:val="es-ES"/>
        </w:rPr>
        <w:t xml:space="preserve">para lograr el objetivo del proyecto sin recurrir a estrategias de supervivencia negativas. El valor debe ser discutido con la comunidad. </w:t>
      </w:r>
      <w:r w:rsidR="00F267F0" w:rsidRPr="00F267F0">
        <w:rPr>
          <w:rFonts w:eastAsia="Times New Roman" w:cs="Arial"/>
          <w:szCs w:val="24"/>
        </w:rPr>
        <w:t xml:space="preserve"> </w:t>
      </w:r>
    </w:p>
    <w:p w14:paraId="0513C9A4" w14:textId="2252ADC6" w:rsidR="001B79C9" w:rsidRPr="00F267F0" w:rsidRDefault="004F1D4F" w:rsidP="001B79C9">
      <w:pPr>
        <w:pStyle w:val="ListParagraph"/>
        <w:numPr>
          <w:ilvl w:val="0"/>
          <w:numId w:val="16"/>
        </w:numPr>
        <w:spacing w:after="60"/>
        <w:contextualSpacing w:val="0"/>
        <w:jc w:val="left"/>
        <w:rPr>
          <w:rFonts w:eastAsia="Times New Roman" w:cs="Arial"/>
          <w:lang w:val="es-ES"/>
        </w:rPr>
      </w:pPr>
      <w:r w:rsidRPr="00F267F0">
        <w:rPr>
          <w:rFonts w:eastAsia="Times New Roman" w:cs="Arial"/>
          <w:lang w:val="es-ES"/>
        </w:rPr>
        <w:t xml:space="preserve">Los criterios de selección de beneficiarios deben estar relacionados con los objetivos de la intervención, ser relevantes para la población y el contexto locales, y ser viables con los recursos disponibles. </w:t>
      </w:r>
      <w:r w:rsidR="00F267F0" w:rsidRPr="00F267F0">
        <w:rPr>
          <w:rFonts w:eastAsia="Times New Roman" w:cs="Arial"/>
          <w:lang w:val="es-ES"/>
        </w:rPr>
        <w:t xml:space="preserve"> </w:t>
      </w:r>
    </w:p>
    <w:p w14:paraId="632B448F" w14:textId="54ADAEE6" w:rsidR="006D3A93" w:rsidRPr="00F267F0" w:rsidRDefault="004F1D4F" w:rsidP="006D3A93">
      <w:pPr>
        <w:pStyle w:val="ListParagraph"/>
        <w:numPr>
          <w:ilvl w:val="0"/>
          <w:numId w:val="16"/>
        </w:numPr>
        <w:spacing w:after="60"/>
        <w:contextualSpacing w:val="0"/>
        <w:jc w:val="left"/>
        <w:rPr>
          <w:rFonts w:eastAsia="Times New Roman" w:cs="Arial"/>
          <w:lang w:val="es-ES"/>
        </w:rPr>
      </w:pPr>
      <w:r w:rsidRPr="00F267F0">
        <w:rPr>
          <w:rFonts w:eastAsia="Times New Roman" w:cs="Arial"/>
          <w:lang w:val="es-ES"/>
        </w:rPr>
        <w:t xml:space="preserve">La elección del mecanismo de selección de beneficiarios debe basarse en consideraciones de costes, precisión, viabilidad y tiempo. </w:t>
      </w:r>
      <w:r w:rsidR="00F267F0" w:rsidRPr="00F267F0">
        <w:rPr>
          <w:rFonts w:eastAsia="Times New Roman" w:cs="Arial"/>
          <w:lang w:val="es-ES"/>
        </w:rPr>
        <w:t xml:space="preserve"> </w:t>
      </w:r>
    </w:p>
    <w:p w14:paraId="0DF213B2" w14:textId="0A84AF97" w:rsidR="006D3A93" w:rsidRPr="00F267F0" w:rsidRDefault="004F1D4F" w:rsidP="006D3A93">
      <w:pPr>
        <w:pStyle w:val="ListParagraph"/>
        <w:numPr>
          <w:ilvl w:val="0"/>
          <w:numId w:val="16"/>
        </w:numPr>
        <w:spacing w:after="120"/>
        <w:contextualSpacing w:val="0"/>
        <w:jc w:val="left"/>
        <w:rPr>
          <w:rFonts w:eastAsia="Times New Roman" w:cs="Arial"/>
          <w:lang w:val="es-ES"/>
        </w:rPr>
      </w:pPr>
      <w:r w:rsidRPr="00F267F0">
        <w:rPr>
          <w:rFonts w:cs="Arial"/>
          <w:lang w:val="es-ES"/>
        </w:rPr>
        <w:lastRenderedPageBreak/>
        <w:t xml:space="preserve">El dinero por trabajo debe tenerse en consideración cuando sean necesarios trabajos comunitarios, éstos sean aceptables y puedan ser desempeñados por la población local y no interfieran en los medios de vida tradicionales. </w:t>
      </w:r>
      <w:r w:rsidR="00F267F0" w:rsidRPr="00F267F0">
        <w:rPr>
          <w:rFonts w:cs="Arial"/>
          <w:lang w:val="es-ES"/>
        </w:rPr>
        <w:t xml:space="preserve"> </w:t>
      </w:r>
    </w:p>
    <w:p w14:paraId="6FDD8352" w14:textId="444624B7" w:rsidR="00D528AB" w:rsidRPr="0004220A" w:rsidRDefault="004F1D4F" w:rsidP="008E5991">
      <w:pPr>
        <w:pStyle w:val="Heading2"/>
        <w:rPr>
          <w:rFonts w:cs="Arial"/>
          <w:lang w:val="es-ES"/>
        </w:rPr>
      </w:pPr>
      <w:r w:rsidRPr="0004220A">
        <w:rPr>
          <w:rFonts w:cs="Arial"/>
          <w:lang w:val="es-ES"/>
        </w:rPr>
        <w:t xml:space="preserve">ETAPAS Y SUB-ETAPAS  </w:t>
      </w:r>
    </w:p>
    <w:p w14:paraId="2003C62B" w14:textId="08A85C2C" w:rsidR="004E5BB5" w:rsidRPr="00F267F0" w:rsidRDefault="004F1D4F" w:rsidP="003179F0">
      <w:pPr>
        <w:rPr>
          <w:color w:val="4F81BD" w:themeColor="accent1"/>
          <w:lang w:val="es-ES"/>
        </w:rPr>
      </w:pPr>
      <w:r w:rsidRPr="004F1D4F">
        <w:rPr>
          <w:lang w:val="es-ES"/>
        </w:rPr>
        <w:t xml:space="preserve">La Caja de </w:t>
      </w:r>
      <w:r w:rsidR="009A7A97" w:rsidRPr="004F1D4F">
        <w:rPr>
          <w:lang w:val="es-ES"/>
        </w:rPr>
        <w:t>herramientas</w:t>
      </w:r>
      <w:r w:rsidR="00034002">
        <w:rPr>
          <w:lang w:val="es-ES"/>
        </w:rPr>
        <w:t xml:space="preserve"> </w:t>
      </w:r>
      <w:r w:rsidRPr="004F1D4F">
        <w:rPr>
          <w:lang w:val="es-ES"/>
        </w:rPr>
        <w:t>para PTE en emergencias propone tres etapas pa</w:t>
      </w:r>
      <w:r>
        <w:rPr>
          <w:lang w:val="es-ES"/>
        </w:rPr>
        <w:t>ra</w:t>
      </w:r>
      <w:r w:rsidRPr="004F1D4F">
        <w:rPr>
          <w:lang w:val="es-ES"/>
        </w:rPr>
        <w:t xml:space="preserve"> el proceso </w:t>
      </w:r>
      <w:r>
        <w:rPr>
          <w:lang w:val="es-ES"/>
        </w:rPr>
        <w:t xml:space="preserve">de análisis de respuestas. </w:t>
      </w:r>
      <w:r w:rsidR="009A7A97" w:rsidRPr="009A7A97">
        <w:rPr>
          <w:lang w:val="es-ES"/>
        </w:rPr>
        <w:t xml:space="preserve">La caja de herramientas pone a disposición </w:t>
      </w:r>
      <w:r w:rsidR="009A7A97">
        <w:rPr>
          <w:lang w:val="es-ES"/>
        </w:rPr>
        <w:t xml:space="preserve">del usuario </w:t>
      </w:r>
      <w:r w:rsidR="009A7A97" w:rsidRPr="009A7A97">
        <w:rPr>
          <w:lang w:val="es-ES"/>
        </w:rPr>
        <w:t xml:space="preserve">recursos que pueden </w:t>
      </w:r>
      <w:r w:rsidR="009A7A97">
        <w:rPr>
          <w:lang w:val="es-ES"/>
        </w:rPr>
        <w:t>servir de ayuda para</w:t>
      </w:r>
      <w:r w:rsidR="009A7A97" w:rsidRPr="009A7A97">
        <w:rPr>
          <w:lang w:val="es-ES"/>
        </w:rPr>
        <w:t xml:space="preserve">: </w:t>
      </w:r>
      <w:r w:rsidR="00F267F0">
        <w:rPr>
          <w:color w:val="4F81BD" w:themeColor="accent1"/>
          <w:lang w:val="es-ES"/>
        </w:rPr>
        <w:t xml:space="preserve"> </w:t>
      </w:r>
    </w:p>
    <w:p w14:paraId="4BD63052" w14:textId="7128830C" w:rsidR="00D528AB" w:rsidRPr="00F267F0" w:rsidRDefault="009A7A97" w:rsidP="003179F0">
      <w:pPr>
        <w:rPr>
          <w:color w:val="4F81BD" w:themeColor="accent1"/>
          <w:lang w:val="es-ES"/>
        </w:rPr>
      </w:pPr>
      <w:r w:rsidRPr="009A7A97">
        <w:rPr>
          <w:b/>
          <w:shd w:val="clear" w:color="auto" w:fill="FFFFFF"/>
          <w:lang w:val="es-ES" w:eastAsia="it-IT"/>
        </w:rPr>
        <w:t xml:space="preserve">Seleccionar las modalidades y mecanismos de entrega de </w:t>
      </w:r>
      <w:r>
        <w:rPr>
          <w:b/>
          <w:shd w:val="clear" w:color="auto" w:fill="FFFFFF"/>
          <w:lang w:val="es-ES" w:eastAsia="it-IT"/>
        </w:rPr>
        <w:t xml:space="preserve">las </w:t>
      </w:r>
      <w:r w:rsidRPr="009A7A97">
        <w:rPr>
          <w:b/>
          <w:shd w:val="clear" w:color="auto" w:fill="FFFFFF"/>
          <w:lang w:val="es-ES" w:eastAsia="it-IT"/>
        </w:rPr>
        <w:t>transferencias de efectivo</w:t>
      </w:r>
      <w:r>
        <w:rPr>
          <w:shd w:val="clear" w:color="auto" w:fill="FFFFFF"/>
          <w:lang w:val="es-ES" w:eastAsia="it-IT"/>
        </w:rPr>
        <w:t xml:space="preserve"> que mejor satisfagan las necesidades de la población afectada y los objetivos establecidos para la intervención de emergencia.  </w:t>
      </w:r>
      <w:r w:rsidRPr="009A7A97">
        <w:rPr>
          <w:shd w:val="clear" w:color="auto" w:fill="FFFFFF"/>
          <w:lang w:val="es-ES" w:eastAsia="it-IT"/>
        </w:rPr>
        <w:t>Esta selección comienza por explorar las posibles opciones de respuesta. S</w:t>
      </w:r>
      <w:r>
        <w:rPr>
          <w:shd w:val="clear" w:color="auto" w:fill="FFFFFF"/>
          <w:lang w:val="es-ES" w:eastAsia="it-IT"/>
        </w:rPr>
        <w:t xml:space="preserve">i se consideran las transferencias de efectivo, antes de proceder hay que comprobar la viabilidad del uso de efectivo, teniendo en cuenta las condiciones del mercado, la capacidad organizativa y las políticas gubernamentales, entre otros asuntos clave. La decisión final sobre si utilizar las transferencias de efectivo u otras opciones de respuesta debe estar basada en un análisis comparativo que tenga en cuenta, al menos: </w:t>
      </w:r>
      <w:r w:rsidR="002C2F7F">
        <w:rPr>
          <w:shd w:val="clear" w:color="auto" w:fill="FFFFFF"/>
          <w:lang w:val="es-ES" w:eastAsia="it-IT"/>
        </w:rPr>
        <w:t xml:space="preserve">la </w:t>
      </w:r>
      <w:r w:rsidRPr="009A7A97">
        <w:rPr>
          <w:shd w:val="clear" w:color="auto" w:fill="FFFFFF"/>
          <w:lang w:val="es-ES" w:eastAsia="it-IT"/>
        </w:rPr>
        <w:t xml:space="preserve">adecuación a los objetivos de </w:t>
      </w:r>
      <w:r>
        <w:rPr>
          <w:shd w:val="clear" w:color="auto" w:fill="FFFFFF"/>
          <w:lang w:val="es-ES" w:eastAsia="it-IT"/>
        </w:rPr>
        <w:t xml:space="preserve">la </w:t>
      </w:r>
      <w:r w:rsidRPr="009A7A97">
        <w:rPr>
          <w:shd w:val="clear" w:color="auto" w:fill="FFFFFF"/>
          <w:lang w:val="es-ES" w:eastAsia="it-IT"/>
        </w:rPr>
        <w:t>intervención</w:t>
      </w:r>
      <w:r w:rsidR="002C2F7F">
        <w:rPr>
          <w:shd w:val="clear" w:color="auto" w:fill="FFFFFF"/>
          <w:lang w:val="es-ES" w:eastAsia="it-IT"/>
        </w:rPr>
        <w:t xml:space="preserve">, la capacidad de la agencia para implementar las diferentes modalidades y mecanismos de entrega, las preferencias de los beneficiarios, </w:t>
      </w:r>
      <w:bookmarkStart w:id="0" w:name="_GoBack"/>
      <w:bookmarkEnd w:id="0"/>
      <w:r w:rsidR="001A5BB9">
        <w:rPr>
          <w:shd w:val="clear" w:color="auto" w:fill="FFFFFF"/>
          <w:lang w:val="es-ES" w:eastAsia="it-IT"/>
        </w:rPr>
        <w:t>las capacidades</w:t>
      </w:r>
      <w:r w:rsidR="002C2F7F" w:rsidRPr="00F36218">
        <w:rPr>
          <w:shd w:val="clear" w:color="auto" w:fill="FFFFFF"/>
          <w:lang w:val="es-ES" w:eastAsia="it-IT"/>
        </w:rPr>
        <w:t>, los riesgos y medidas de mitigación y el coste. El proceso de selección de las modalidades y los mecanismos de entrega</w:t>
      </w:r>
      <w:r w:rsidR="002C2F7F">
        <w:rPr>
          <w:shd w:val="clear" w:color="auto" w:fill="FFFFFF"/>
          <w:lang w:val="es-ES" w:eastAsia="it-IT"/>
        </w:rPr>
        <w:t xml:space="preserve"> de las transferencias de efectivo debe implicar a diferentes departamentos, al menos finanzas y logística, y la justificación de la elección final ha de ser compartida con los principales asociados. </w:t>
      </w:r>
      <w:r w:rsidR="00F267F0" w:rsidRPr="00F267F0">
        <w:rPr>
          <w:b/>
          <w:color w:val="4F81BD" w:themeColor="accent1"/>
          <w:shd w:val="clear" w:color="auto" w:fill="FFFFFF"/>
          <w:lang w:val="es-ES" w:eastAsia="it-IT"/>
        </w:rPr>
        <w:t xml:space="preserve"> </w:t>
      </w:r>
    </w:p>
    <w:p w14:paraId="73088550" w14:textId="2F884B6C" w:rsidR="000F0CF2" w:rsidRPr="00F267F0" w:rsidRDefault="002C2F7F" w:rsidP="003179F0">
      <w:pPr>
        <w:rPr>
          <w:lang w:val="es-ES"/>
        </w:rPr>
      </w:pPr>
      <w:r w:rsidRPr="002C2F7F">
        <w:rPr>
          <w:b/>
          <w:lang w:val="es-ES"/>
        </w:rPr>
        <w:t>Tomar decision</w:t>
      </w:r>
      <w:r>
        <w:rPr>
          <w:b/>
          <w:lang w:val="es-ES"/>
        </w:rPr>
        <w:t>e</w:t>
      </w:r>
      <w:r w:rsidRPr="002C2F7F">
        <w:rPr>
          <w:b/>
          <w:lang w:val="es-ES"/>
        </w:rPr>
        <w:t xml:space="preserve">s sobre la transferencia de efectivo, </w:t>
      </w:r>
      <w:r w:rsidRPr="002C2F7F">
        <w:rPr>
          <w:lang w:val="es-ES"/>
        </w:rPr>
        <w:t xml:space="preserve">en particular sobre el valor y la frecuencia, y </w:t>
      </w:r>
      <w:r>
        <w:rPr>
          <w:lang w:val="es-ES"/>
        </w:rPr>
        <w:t xml:space="preserve">sobre </w:t>
      </w:r>
      <w:r w:rsidRPr="002C2F7F">
        <w:rPr>
          <w:lang w:val="es-ES"/>
        </w:rPr>
        <w:t>si de</w:t>
      </w:r>
      <w:r>
        <w:rPr>
          <w:lang w:val="es-ES"/>
        </w:rPr>
        <w:t>b</w:t>
      </w:r>
      <w:r w:rsidRPr="002C2F7F">
        <w:rPr>
          <w:lang w:val="es-ES"/>
        </w:rPr>
        <w:t xml:space="preserve">en o no ajustarse al tamaño del hogar y a los cambios </w:t>
      </w:r>
      <w:r w:rsidR="0004220A">
        <w:rPr>
          <w:lang w:val="es-ES"/>
        </w:rPr>
        <w:t xml:space="preserve">de </w:t>
      </w:r>
      <w:r w:rsidRPr="002C2F7F">
        <w:rPr>
          <w:lang w:val="es-ES"/>
        </w:rPr>
        <w:t>precios.</w:t>
      </w:r>
      <w:r w:rsidRPr="002C2F7F">
        <w:rPr>
          <w:b/>
          <w:color w:val="4F81BD" w:themeColor="accent1"/>
          <w:lang w:val="es-ES"/>
        </w:rPr>
        <w:t xml:space="preserve">  </w:t>
      </w:r>
      <w:r w:rsidR="00F267F0" w:rsidRPr="00F267F0">
        <w:rPr>
          <w:b/>
          <w:color w:val="4F81BD" w:themeColor="accent1"/>
          <w:lang w:val="es-ES"/>
        </w:rPr>
        <w:t xml:space="preserve"> </w:t>
      </w:r>
    </w:p>
    <w:p w14:paraId="28EF51DD" w14:textId="72F194CF" w:rsidR="00D528AB" w:rsidRPr="00F267F0" w:rsidRDefault="002C2F7F" w:rsidP="00B73C75">
      <w:pPr>
        <w:spacing w:after="360"/>
        <w:rPr>
          <w:color w:val="4F81BD" w:themeColor="accent1"/>
          <w:lang w:val="es-ES"/>
        </w:rPr>
      </w:pPr>
      <w:r w:rsidRPr="002C2F7F">
        <w:rPr>
          <w:b/>
          <w:lang w:val="es-ES"/>
        </w:rPr>
        <w:t xml:space="preserve">Tomar decisiones sobre la selección de beneficiarios, </w:t>
      </w:r>
      <w:r>
        <w:rPr>
          <w:lang w:val="es-ES"/>
        </w:rPr>
        <w:t>empezando por si hacer distribuciones generales o selectivas. Los enfoques de selección de beneficiarios a menudo incluye</w:t>
      </w:r>
      <w:r w:rsidR="006C4C09">
        <w:rPr>
          <w:lang w:val="es-ES"/>
        </w:rPr>
        <w:t>n</w:t>
      </w:r>
      <w:r>
        <w:rPr>
          <w:lang w:val="es-ES"/>
        </w:rPr>
        <w:t xml:space="preserve"> una selección geográfica inicial</w:t>
      </w:r>
      <w:r w:rsidR="006C4C09">
        <w:rPr>
          <w:lang w:val="es-ES"/>
        </w:rPr>
        <w:t xml:space="preserve">, seguida por la selección de los hogares o los individuos. Las decisiones sobre la selección de los beneficiarios suelen tomarse en una etapa inicial del análisis de respuestas, ya que influirán sobre la elección de la modalidad y el mecanismo de entrega. Para seleccionar hogares o individuos debe haberse elegido primero el criterio de selección de beneficiarios apropiado (normalmente basado en indicadores de vulnerabilidad). Es una buena práctica implicar a los miembros de la comunidad en la definición de los criterios de selección de beneficiarios. La elección del mecanismo de selección suele basarse en un equilibrio entre los costes, la precisión y la viabilidad de cada uno de ellos. </w:t>
      </w:r>
      <w:r w:rsidR="00F267F0" w:rsidRPr="00F267F0">
        <w:rPr>
          <w:b/>
          <w:color w:val="4F81BD" w:themeColor="accent1"/>
          <w:lang w:val="es-ES"/>
        </w:rPr>
        <w:t xml:space="preserve"> </w:t>
      </w:r>
    </w:p>
    <w:tbl>
      <w:tblPr>
        <w:tblStyle w:val="TableGray"/>
        <w:tblW w:w="0" w:type="auto"/>
        <w:tblLook w:val="04A0" w:firstRow="1" w:lastRow="0" w:firstColumn="1" w:lastColumn="0" w:noHBand="0" w:noVBand="1"/>
      </w:tblPr>
      <w:tblGrid>
        <w:gridCol w:w="9848"/>
      </w:tblGrid>
      <w:tr w:rsidR="001F0472" w14:paraId="138210F7" w14:textId="77777777" w:rsidTr="001F0472">
        <w:tc>
          <w:tcPr>
            <w:tcW w:w="9848" w:type="dxa"/>
          </w:tcPr>
          <w:p w14:paraId="41A03945" w14:textId="046B1867" w:rsidR="001F0472" w:rsidRPr="0053299D" w:rsidRDefault="006C4C09" w:rsidP="008B0593">
            <w:pPr>
              <w:pStyle w:val="RefTitre"/>
              <w:rPr>
                <w:lang w:val="fr-CA"/>
              </w:rPr>
            </w:pPr>
            <w:r>
              <w:rPr>
                <w:lang w:val="fr-CA"/>
              </w:rPr>
              <w:t>D</w:t>
            </w:r>
            <w:r w:rsidR="00034002">
              <w:rPr>
                <w:lang w:val="fr-CA"/>
              </w:rPr>
              <w:t>OCUME</w:t>
            </w:r>
            <w:r>
              <w:rPr>
                <w:lang w:val="fr-CA"/>
              </w:rPr>
              <w:t xml:space="preserve">NTOS DE REFERENCIA </w:t>
            </w:r>
            <w:r w:rsidR="00F267F0">
              <w:rPr>
                <w:color w:val="FF0000"/>
                <w:lang w:val="fr-CA"/>
              </w:rPr>
              <w:t xml:space="preserve"> </w:t>
            </w:r>
            <w:r w:rsidRPr="006C4C09">
              <w:rPr>
                <w:color w:val="FF0000"/>
                <w:lang w:val="fr-CA"/>
              </w:rPr>
              <w:t xml:space="preserve"> </w:t>
            </w:r>
          </w:p>
          <w:p w14:paraId="3AC1DD4A" w14:textId="6C35AFF7" w:rsidR="001F0472" w:rsidRPr="008B0593" w:rsidRDefault="001F0472" w:rsidP="008B0593">
            <w:pPr>
              <w:pStyle w:val="RefItem1"/>
            </w:pPr>
            <w:r w:rsidRPr="0053299D">
              <w:rPr>
                <w:lang w:val="fr-CA"/>
              </w:rPr>
              <w:t xml:space="preserve">Maxwell D. et al. </w:t>
            </w:r>
            <w:r w:rsidRPr="008B0593">
              <w:t>(2013) "Response Analysis and response choice in food security crises: a roadmap" Humanitarian Practice Network, ODI</w:t>
            </w:r>
            <w:r w:rsidR="008B0593">
              <w:br/>
            </w:r>
            <w:hyperlink r:id="rId7" w:history="1">
              <w:r w:rsidRPr="002A2669">
                <w:rPr>
                  <w:rStyle w:val="Hyperlink"/>
                </w:rPr>
                <w:t>(http://www.odihpn.org/hpn-resources/network-papers/response-analysis-and-response-choice-in-food-security-crises-a-roadmap)</w:t>
              </w:r>
            </w:hyperlink>
          </w:p>
          <w:p w14:paraId="3A5335D4" w14:textId="4833FE47" w:rsidR="001F0472" w:rsidRPr="008B0593" w:rsidRDefault="001F0472" w:rsidP="008B0593">
            <w:pPr>
              <w:pStyle w:val="RefItem1"/>
            </w:pPr>
            <w:r w:rsidRPr="008B0593">
              <w:t>Harvey P., Bailey S., (2011) Cash transfer programming in emergencies. Good Practice Review</w:t>
            </w:r>
            <w:r w:rsidR="008B0593">
              <w:br/>
            </w:r>
            <w:r w:rsidRPr="008B0593">
              <w:t>(</w:t>
            </w:r>
            <w:hyperlink r:id="rId8" w:history="1">
              <w:r w:rsidRPr="002A2669">
                <w:rPr>
                  <w:rStyle w:val="Hyperlink"/>
                </w:rPr>
                <w:t>http://www.odihpn.org/documents%2Fgpr11.pdf)</w:t>
              </w:r>
            </w:hyperlink>
          </w:p>
          <w:p w14:paraId="2544C69B" w14:textId="57C464E5" w:rsidR="001F0472" w:rsidRPr="008B0593" w:rsidRDefault="001F0472" w:rsidP="008B0593">
            <w:pPr>
              <w:pStyle w:val="RefItem1"/>
            </w:pPr>
            <w:r w:rsidRPr="008B0593">
              <w:t>International Red Cross and Red Crescent Movement (2007) Guidelines for cash transfer programing </w:t>
            </w:r>
            <w:r w:rsidR="008B0593">
              <w:br/>
            </w:r>
            <w:hyperlink r:id="rId9" w:history="1">
              <w:r w:rsidRPr="002A2669">
                <w:rPr>
                  <w:rStyle w:val="Hyperlink"/>
                </w:rPr>
                <w:t>(http://www.ifrc.org/Global/Publications/disasters/finance/cash-guidelines-en.pdf)</w:t>
              </w:r>
            </w:hyperlink>
          </w:p>
          <w:p w14:paraId="5A83F1D0" w14:textId="795119B9" w:rsidR="001F0472" w:rsidRPr="0053299D" w:rsidRDefault="001F0472" w:rsidP="008B0593">
            <w:pPr>
              <w:pStyle w:val="RefItem1"/>
              <w:rPr>
                <w:lang w:val="fr-CA"/>
              </w:rPr>
            </w:pPr>
            <w:r w:rsidRPr="001A5BB9">
              <w:t xml:space="preserve">ACF (2007) Implementing cash-based interventions. </w:t>
            </w:r>
            <w:r w:rsidRPr="001A5BB9">
              <w:rPr>
                <w:lang w:val="fr-CA"/>
              </w:rPr>
              <w:t>Pages 69-75.</w:t>
            </w:r>
            <w:r w:rsidR="008B0593" w:rsidRPr="001A5BB9">
              <w:rPr>
                <w:lang w:val="fr-CA"/>
              </w:rPr>
              <w:br/>
            </w:r>
            <w:hyperlink r:id="rId10" w:history="1">
              <w:r w:rsidRPr="001A5BB9">
                <w:rPr>
                  <w:rStyle w:val="Hyperlink"/>
                  <w:lang w:val="fr-CA"/>
                </w:rPr>
                <w:t>(http://www.actionagainsthunger.org/publication/2007/10/implementing-cash-based-interventions-guideline-aid-workers)</w:t>
              </w:r>
            </w:hyperlink>
          </w:p>
          <w:p w14:paraId="647C66D6" w14:textId="4CDA8866" w:rsidR="001F0472" w:rsidRDefault="001F0472" w:rsidP="008B0593">
            <w:pPr>
              <w:pStyle w:val="RefItem1"/>
            </w:pPr>
            <w:r w:rsidRPr="008B0593">
              <w:t>EMMA (Emergency Market Mapping and Analysis) </w:t>
            </w:r>
            <w:r w:rsidR="008B0593">
              <w:br/>
            </w:r>
            <w:hyperlink r:id="rId11" w:history="1">
              <w:r w:rsidRPr="002A2669">
                <w:rPr>
                  <w:rStyle w:val="Hyperlink"/>
                </w:rPr>
                <w:t>(http://www.emma-toolkit.org/)</w:t>
              </w:r>
            </w:hyperlink>
          </w:p>
        </w:tc>
      </w:tr>
    </w:tbl>
    <w:p w14:paraId="0C73EEE4" w14:textId="77777777" w:rsidR="00D16AA1" w:rsidRPr="003179F0" w:rsidRDefault="00D16AA1" w:rsidP="006642BE">
      <w:pPr>
        <w:rPr>
          <w:rFonts w:cs="Arial"/>
        </w:rPr>
      </w:pPr>
    </w:p>
    <w:sectPr w:rsidR="00D16AA1" w:rsidRPr="003179F0" w:rsidSect="008E5991">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0E17" w14:textId="77777777" w:rsidR="00661F20" w:rsidRDefault="00661F20" w:rsidP="00752615">
      <w:pPr>
        <w:spacing w:after="0"/>
      </w:pPr>
      <w:r>
        <w:separator/>
      </w:r>
    </w:p>
  </w:endnote>
  <w:endnote w:type="continuationSeparator" w:id="0">
    <w:p w14:paraId="796EC7B1" w14:textId="77777777" w:rsidR="00661F20" w:rsidRDefault="00661F20" w:rsidP="00752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72EC" w14:textId="77777777" w:rsidR="00B7622A" w:rsidRDefault="00B7622A" w:rsidP="00752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975E5" w14:textId="77777777" w:rsidR="00B7622A" w:rsidRDefault="00B7622A" w:rsidP="00752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0ECE" w14:textId="3B6321E8" w:rsidR="008B0593" w:rsidRPr="00B45C74" w:rsidRDefault="008B059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A5BB9">
      <w:rPr>
        <w:b/>
        <w:noProof/>
        <w:color w:val="808080" w:themeColor="background1" w:themeShade="80"/>
        <w:sz w:val="18"/>
        <w:szCs w:val="18"/>
      </w:rPr>
      <w:t>2</w:t>
    </w:r>
    <w:r w:rsidRPr="00B45C74">
      <w:rPr>
        <w:b/>
        <w:color w:val="808080" w:themeColor="background1" w:themeShade="80"/>
        <w:sz w:val="18"/>
        <w:szCs w:val="18"/>
      </w:rPr>
      <w:fldChar w:fldCharType="end"/>
    </w:r>
  </w:p>
  <w:p w14:paraId="7862B6E0" w14:textId="77777777" w:rsidR="00C70AA1" w:rsidRPr="00C70AA1" w:rsidRDefault="00C70AA1" w:rsidP="00C70AA1">
    <w:pPr>
      <w:pStyle w:val="Footer"/>
      <w:rPr>
        <w:lang w:val="es-ES"/>
      </w:rPr>
    </w:pPr>
    <w:r w:rsidRPr="00C70AA1">
      <w:rPr>
        <w:b/>
        <w:lang w:val="es-ES"/>
      </w:rPr>
      <w:t>Módulo 3.</w:t>
    </w:r>
    <w:r w:rsidRPr="00C70AA1">
      <w:rPr>
        <w:lang w:val="es-ES"/>
      </w:rPr>
      <w:t xml:space="preserve"> Hoja de ruta para el an</w:t>
    </w:r>
    <w:r>
      <w:rPr>
        <w:lang w:val="es-ES"/>
      </w:rPr>
      <w:t xml:space="preserve">álisis de respuestas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33FD" w14:textId="7D290B04" w:rsidR="008E5991" w:rsidRPr="00B45C74" w:rsidRDefault="008E5991"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A5BB9">
      <w:rPr>
        <w:b/>
        <w:noProof/>
        <w:color w:val="808080" w:themeColor="background1" w:themeShade="80"/>
        <w:sz w:val="18"/>
        <w:szCs w:val="18"/>
      </w:rPr>
      <w:t>1</w:t>
    </w:r>
    <w:r w:rsidRPr="00B45C74">
      <w:rPr>
        <w:b/>
        <w:color w:val="808080" w:themeColor="background1" w:themeShade="80"/>
        <w:sz w:val="18"/>
        <w:szCs w:val="18"/>
      </w:rPr>
      <w:fldChar w:fldCharType="end"/>
    </w:r>
  </w:p>
  <w:p w14:paraId="49E96340" w14:textId="51E901F5" w:rsidR="008E5991" w:rsidRPr="00C70AA1" w:rsidRDefault="008E5991" w:rsidP="00ED1B2B">
    <w:pPr>
      <w:pStyle w:val="Footer"/>
      <w:rPr>
        <w:lang w:val="es-ES"/>
      </w:rPr>
    </w:pPr>
    <w:r w:rsidRPr="00C70AA1">
      <w:rPr>
        <w:b/>
        <w:lang w:val="es-ES"/>
      </w:rPr>
      <w:t>M</w:t>
    </w:r>
    <w:r w:rsidR="00C70AA1" w:rsidRPr="00C70AA1">
      <w:rPr>
        <w:b/>
        <w:lang w:val="es-ES"/>
      </w:rPr>
      <w:t>ó</w:t>
    </w:r>
    <w:r w:rsidRPr="00C70AA1">
      <w:rPr>
        <w:b/>
        <w:lang w:val="es-ES"/>
      </w:rPr>
      <w:t>dul</w:t>
    </w:r>
    <w:r w:rsidR="00C70AA1" w:rsidRPr="00C70AA1">
      <w:rPr>
        <w:b/>
        <w:lang w:val="es-ES"/>
      </w:rPr>
      <w:t>o</w:t>
    </w:r>
    <w:r w:rsidRPr="00C70AA1">
      <w:rPr>
        <w:b/>
        <w:lang w:val="es-ES"/>
      </w:rPr>
      <w:t xml:space="preserve"> 3.</w:t>
    </w:r>
    <w:r w:rsidRPr="00C70AA1">
      <w:rPr>
        <w:lang w:val="es-ES"/>
      </w:rPr>
      <w:t xml:space="preserve"> </w:t>
    </w:r>
    <w:r w:rsidR="00C70AA1" w:rsidRPr="00C70AA1">
      <w:rPr>
        <w:lang w:val="es-ES"/>
      </w:rPr>
      <w:t>Hoja de ruta para el an</w:t>
    </w:r>
    <w:r w:rsidR="00C70AA1">
      <w:rPr>
        <w:lang w:val="es-ES"/>
      </w:rPr>
      <w:t xml:space="preserve">álisis de respuestas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60C4C" w14:textId="77777777" w:rsidR="00661F20" w:rsidRDefault="00661F20" w:rsidP="00752615">
      <w:pPr>
        <w:spacing w:after="0"/>
      </w:pPr>
      <w:r>
        <w:separator/>
      </w:r>
    </w:p>
  </w:footnote>
  <w:footnote w:type="continuationSeparator" w:id="0">
    <w:p w14:paraId="7E46D11E" w14:textId="77777777" w:rsidR="00661F20" w:rsidRDefault="00661F20" w:rsidP="00752615">
      <w:pPr>
        <w:spacing w:after="0"/>
      </w:pPr>
      <w:r>
        <w:continuationSeparator/>
      </w:r>
    </w:p>
  </w:footnote>
  <w:footnote w:id="1">
    <w:p w14:paraId="6CA36DC6" w14:textId="0467961D" w:rsidR="00C70AA1" w:rsidRPr="00C70AA1" w:rsidRDefault="00C70AA1" w:rsidP="00C70AA1">
      <w:pPr>
        <w:pStyle w:val="FootnoteText"/>
        <w:rPr>
          <w:rFonts w:cs="Arial"/>
          <w:szCs w:val="16"/>
          <w:lang w:val="es-ES"/>
        </w:rPr>
      </w:pPr>
      <w:r w:rsidRPr="00B73C75">
        <w:rPr>
          <w:rStyle w:val="FootnoteReference"/>
          <w:rFonts w:cs="Arial"/>
          <w:szCs w:val="16"/>
        </w:rPr>
        <w:footnoteRef/>
      </w:r>
      <w:r w:rsidRPr="00C70AA1">
        <w:rPr>
          <w:rFonts w:cs="Arial"/>
          <w:szCs w:val="16"/>
          <w:lang w:val="es-ES"/>
        </w:rPr>
        <w:t xml:space="preserve"> Seguridad alimentaria, medios de vida, alojamiento, </w:t>
      </w:r>
      <w:r>
        <w:rPr>
          <w:rFonts w:cs="Arial"/>
          <w:szCs w:val="16"/>
          <w:lang w:val="es-ES"/>
        </w:rPr>
        <w:t xml:space="preserve">salud, agua y saneamiento, etc. o multisectoriales.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A077" w14:textId="77777777" w:rsidR="00C70AA1" w:rsidRPr="00730879" w:rsidRDefault="00C70AA1" w:rsidP="00C70AA1">
    <w:pPr>
      <w:pStyle w:val="Header"/>
      <w:rPr>
        <w:szCs w:val="16"/>
        <w:lang w:val="es-ES"/>
      </w:rPr>
    </w:pPr>
    <w:r w:rsidRPr="00730879">
      <w:rPr>
        <w:rStyle w:val="Pantone485"/>
        <w:lang w:val="es-ES"/>
      </w:rPr>
      <w:t xml:space="preserve">Movimiento Internacional de la Cruz Roja y de la </w:t>
    </w:r>
    <w:r>
      <w:rPr>
        <w:rStyle w:val="Pantone485"/>
        <w:lang w:val="es-ES"/>
      </w:rPr>
      <w:t xml:space="preserve">Media Luna Roja </w:t>
    </w:r>
    <w:r w:rsidRPr="00730879">
      <w:rPr>
        <w:rStyle w:val="PageNumber"/>
        <w:szCs w:val="16"/>
        <w:lang w:val="es-ES"/>
      </w:rPr>
      <w:t>I</w:t>
    </w:r>
    <w:r w:rsidRPr="00730879">
      <w:rPr>
        <w:rStyle w:val="PageNumber"/>
        <w:color w:val="FF0000"/>
        <w:szCs w:val="16"/>
        <w:lang w:val="es-ES"/>
      </w:rPr>
      <w:t xml:space="preserve"> </w:t>
    </w:r>
    <w:r>
      <w:rPr>
        <w:b/>
        <w:szCs w:val="16"/>
        <w:lang w:val="es-ES"/>
      </w:rPr>
      <w:t>Caja de herramientas para PTE en emergencias</w:t>
    </w:r>
  </w:p>
  <w:p w14:paraId="1D2F5CAD" w14:textId="4D2EA13E" w:rsidR="008E5991" w:rsidRPr="00C70AA1" w:rsidRDefault="008E5991" w:rsidP="00C70AA1">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BFC0" w14:textId="1F787F14" w:rsidR="008E5991" w:rsidRDefault="004B6F65" w:rsidP="00050617">
    <w:pPr>
      <w:pStyle w:val="Header1"/>
    </w:pPr>
    <w:r>
      <w:rPr>
        <w:noProof/>
        <w:lang w:val="es-ES_tradnl" w:eastAsia="es-ES_tradnl"/>
      </w:rPr>
      <w:drawing>
        <wp:anchor distT="0" distB="0" distL="114300" distR="114300" simplePos="0" relativeHeight="251667456" behindDoc="0" locked="0" layoutInCell="1" allowOverlap="1" wp14:anchorId="3D2824CB" wp14:editId="61E67697">
          <wp:simplePos x="0" y="0"/>
          <wp:positionH relativeFrom="column">
            <wp:posOffset>398780</wp:posOffset>
          </wp:positionH>
          <wp:positionV relativeFrom="paragraph">
            <wp:posOffset>-67945</wp:posOffset>
          </wp:positionV>
          <wp:extent cx="596900" cy="6851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R ESPAÑOL.jpg"/>
                  <pic:cNvPicPr/>
                </pic:nvPicPr>
                <pic:blipFill>
                  <a:blip r:embed="rId1">
                    <a:extLst>
                      <a:ext uri="{28A0092B-C50C-407E-A947-70E740481C1C}">
                        <a14:useLocalDpi xmlns:a14="http://schemas.microsoft.com/office/drawing/2010/main" val="0"/>
                      </a:ext>
                    </a:extLst>
                  </a:blip>
                  <a:stretch>
                    <a:fillRect/>
                  </a:stretch>
                </pic:blipFill>
                <pic:spPr>
                  <a:xfrm>
                    <a:off x="0" y="0"/>
                    <a:ext cx="596900" cy="685165"/>
                  </a:xfrm>
                  <a:prstGeom prst="rect">
                    <a:avLst/>
                  </a:prstGeom>
                </pic:spPr>
              </pic:pic>
            </a:graphicData>
          </a:graphic>
          <wp14:sizeRelH relativeFrom="page">
            <wp14:pctWidth>0</wp14:pctWidth>
          </wp14:sizeRelH>
          <wp14:sizeRelV relativeFrom="page">
            <wp14:pctHeight>0</wp14:pctHeight>
          </wp14:sizeRelV>
        </wp:anchor>
      </w:drawing>
    </w:r>
  </w:p>
  <w:p w14:paraId="4C2D0B94" w14:textId="5495032C" w:rsidR="008E5991" w:rsidRDefault="004B6F65" w:rsidP="00050617">
    <w:pPr>
      <w:pStyle w:val="Header1"/>
    </w:pPr>
    <w:r>
      <w:rPr>
        <w:noProof/>
        <w:lang w:val="es-ES_tradnl" w:eastAsia="es-ES_tradnl"/>
      </w:rPr>
      <w:drawing>
        <wp:anchor distT="0" distB="0" distL="114300" distR="114300" simplePos="0" relativeHeight="251665408" behindDoc="0" locked="0" layoutInCell="1" allowOverlap="1" wp14:anchorId="23F23F9D" wp14:editId="323B206A">
          <wp:simplePos x="0" y="0"/>
          <wp:positionH relativeFrom="column">
            <wp:posOffset>2658110</wp:posOffset>
          </wp:positionH>
          <wp:positionV relativeFrom="paragraph">
            <wp:posOffset>106680</wp:posOffset>
          </wp:positionV>
          <wp:extent cx="3238500" cy="3187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RC.jpg"/>
                  <pic:cNvPicPr/>
                </pic:nvPicPr>
                <pic:blipFill>
                  <a:blip r:embed="rId2">
                    <a:extLst>
                      <a:ext uri="{28A0092B-C50C-407E-A947-70E740481C1C}">
                        <a14:useLocalDpi xmlns:a14="http://schemas.microsoft.com/office/drawing/2010/main" val="0"/>
                      </a:ext>
                    </a:extLst>
                  </a:blip>
                  <a:stretch>
                    <a:fillRect/>
                  </a:stretch>
                </pic:blipFill>
                <pic:spPr>
                  <a:xfrm>
                    <a:off x="0" y="0"/>
                    <a:ext cx="3238500" cy="318770"/>
                  </a:xfrm>
                  <a:prstGeom prst="rect">
                    <a:avLst/>
                  </a:prstGeom>
                </pic:spPr>
              </pic:pic>
            </a:graphicData>
          </a:graphic>
          <wp14:sizeRelH relativeFrom="page">
            <wp14:pctWidth>0</wp14:pctWidth>
          </wp14:sizeRelH>
          <wp14:sizeRelV relativeFrom="page">
            <wp14:pctHeight>0</wp14:pctHeight>
          </wp14:sizeRelV>
        </wp:anchor>
      </w:drawing>
    </w:r>
  </w:p>
  <w:p w14:paraId="77221D01" w14:textId="2618978F" w:rsidR="008E5991" w:rsidRDefault="008E5991" w:rsidP="00CB38F7">
    <w:pPr>
      <w:pStyle w:val="Header"/>
      <w:rPr>
        <w:color w:val="DC281E"/>
        <w:sz w:val="24"/>
        <w:szCs w:val="24"/>
      </w:rPr>
    </w:pPr>
    <w:r>
      <w:rPr>
        <w:noProof/>
        <w:lang w:val="es-ES_tradnl" w:eastAsia="es-ES_tradnl"/>
      </w:rPr>
      <w:drawing>
        <wp:anchor distT="0" distB="0" distL="114300" distR="114300" simplePos="0" relativeHeight="251662336" behindDoc="0" locked="0" layoutInCell="1" allowOverlap="1" wp14:anchorId="31343323" wp14:editId="3A9A9F68">
          <wp:simplePos x="0" y="0"/>
          <wp:positionH relativeFrom="page">
            <wp:posOffset>3366135</wp:posOffset>
          </wp:positionH>
          <wp:positionV relativeFrom="page">
            <wp:posOffset>784225</wp:posOffset>
          </wp:positionV>
          <wp:extent cx="3200400" cy="29986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3">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72BFB34F" w14:textId="77777777" w:rsidR="008E5991" w:rsidRDefault="008E5991" w:rsidP="00C16D71">
    <w:pPr>
      <w:pStyle w:val="Header"/>
      <w:spacing w:line="240" w:lineRule="auto"/>
      <w:rPr>
        <w:b/>
        <w:color w:val="DC281E"/>
        <w:sz w:val="24"/>
        <w:szCs w:val="24"/>
      </w:rPr>
    </w:pPr>
  </w:p>
  <w:p w14:paraId="3F4ED8F5" w14:textId="77777777" w:rsidR="008E5991" w:rsidRDefault="008E5991" w:rsidP="00C16D71">
    <w:pPr>
      <w:pStyle w:val="Header"/>
      <w:spacing w:line="240" w:lineRule="auto"/>
      <w:rPr>
        <w:b/>
        <w:color w:val="DC281E"/>
        <w:sz w:val="24"/>
        <w:szCs w:val="24"/>
      </w:rPr>
    </w:pPr>
  </w:p>
  <w:p w14:paraId="4EE60133" w14:textId="70ECFC0A" w:rsidR="008E5991" w:rsidRPr="004B6F65" w:rsidRDefault="004B6F65" w:rsidP="004B6F65">
    <w:pPr>
      <w:pStyle w:val="Header1"/>
      <w:rPr>
        <w:rFonts w:ascii="Arial Bold" w:hAnsi="Arial Bold"/>
        <w:color w:val="DC281E"/>
        <w:lang w:val="es-ES"/>
      </w:rPr>
    </w:pPr>
    <w:r w:rsidRPr="0072329C">
      <w:rPr>
        <w:rFonts w:ascii="Arial Bold" w:hAnsi="Arial Bold" w:cs="Arial"/>
        <w:color w:val="DC281E"/>
        <w:lang w:val="es-ES"/>
      </w:rPr>
      <w:t>Caja de herramientas para PTE en emergencias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43CF"/>
    <w:multiLevelType w:val="hybridMultilevel"/>
    <w:tmpl w:val="2A8A54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A1BEB"/>
    <w:multiLevelType w:val="hybridMultilevel"/>
    <w:tmpl w:val="5BE6E0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530CB"/>
    <w:multiLevelType w:val="hybridMultilevel"/>
    <w:tmpl w:val="4EEC01E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B4B7B"/>
    <w:multiLevelType w:val="hybridMultilevel"/>
    <w:tmpl w:val="07CECD9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B6D97"/>
    <w:multiLevelType w:val="hybridMultilevel"/>
    <w:tmpl w:val="28B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683092"/>
    <w:multiLevelType w:val="hybridMultilevel"/>
    <w:tmpl w:val="29645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14D40"/>
    <w:multiLevelType w:val="hybridMultilevel"/>
    <w:tmpl w:val="9DCAC83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3"/>
  </w:num>
  <w:num w:numId="4">
    <w:abstractNumId w:val="11"/>
  </w:num>
  <w:num w:numId="5">
    <w:abstractNumId w:val="25"/>
  </w:num>
  <w:num w:numId="6">
    <w:abstractNumId w:val="10"/>
  </w:num>
  <w:num w:numId="7">
    <w:abstractNumId w:val="14"/>
  </w:num>
  <w:num w:numId="8">
    <w:abstractNumId w:val="6"/>
  </w:num>
  <w:num w:numId="9">
    <w:abstractNumId w:val="27"/>
  </w:num>
  <w:num w:numId="10">
    <w:abstractNumId w:val="17"/>
  </w:num>
  <w:num w:numId="11">
    <w:abstractNumId w:val="18"/>
  </w:num>
  <w:num w:numId="12">
    <w:abstractNumId w:val="22"/>
  </w:num>
  <w:num w:numId="13">
    <w:abstractNumId w:val="24"/>
  </w:num>
  <w:num w:numId="14">
    <w:abstractNumId w:val="5"/>
  </w:num>
  <w:num w:numId="15">
    <w:abstractNumId w:val="23"/>
  </w:num>
  <w:num w:numId="16">
    <w:abstractNumId w:val="2"/>
  </w:num>
  <w:num w:numId="17">
    <w:abstractNumId w:val="1"/>
  </w:num>
  <w:num w:numId="18">
    <w:abstractNumId w:val="26"/>
  </w:num>
  <w:num w:numId="19">
    <w:abstractNumId w:val="13"/>
  </w:num>
  <w:num w:numId="20">
    <w:abstractNumId w:val="7"/>
  </w:num>
  <w:num w:numId="21">
    <w:abstractNumId w:val="4"/>
  </w:num>
  <w:num w:numId="22">
    <w:abstractNumId w:val="8"/>
  </w:num>
  <w:num w:numId="23">
    <w:abstractNumId w:val="12"/>
  </w:num>
  <w:num w:numId="24">
    <w:abstractNumId w:val="0"/>
  </w:num>
  <w:num w:numId="25">
    <w:abstractNumId w:val="15"/>
  </w:num>
  <w:num w:numId="26">
    <w:abstractNumId w:val="19"/>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0"/>
    <w:rsid w:val="0000574A"/>
    <w:rsid w:val="00023DF1"/>
    <w:rsid w:val="00034002"/>
    <w:rsid w:val="0004220A"/>
    <w:rsid w:val="00046C14"/>
    <w:rsid w:val="000A1118"/>
    <w:rsid w:val="000B1137"/>
    <w:rsid w:val="000D763F"/>
    <w:rsid w:val="000E0A8F"/>
    <w:rsid w:val="000E351B"/>
    <w:rsid w:val="000E5E71"/>
    <w:rsid w:val="000F0CF2"/>
    <w:rsid w:val="00100957"/>
    <w:rsid w:val="00123D1F"/>
    <w:rsid w:val="00132856"/>
    <w:rsid w:val="001A5BB9"/>
    <w:rsid w:val="001B79C9"/>
    <w:rsid w:val="001C34F7"/>
    <w:rsid w:val="001F0472"/>
    <w:rsid w:val="001F6441"/>
    <w:rsid w:val="0022429E"/>
    <w:rsid w:val="00256A0A"/>
    <w:rsid w:val="0028721B"/>
    <w:rsid w:val="002A2669"/>
    <w:rsid w:val="002C2F7F"/>
    <w:rsid w:val="002F689F"/>
    <w:rsid w:val="003179F0"/>
    <w:rsid w:val="00325F32"/>
    <w:rsid w:val="00333EA9"/>
    <w:rsid w:val="00335875"/>
    <w:rsid w:val="00347951"/>
    <w:rsid w:val="00357105"/>
    <w:rsid w:val="0038755F"/>
    <w:rsid w:val="003E48E4"/>
    <w:rsid w:val="003F3116"/>
    <w:rsid w:val="003F6211"/>
    <w:rsid w:val="003F7843"/>
    <w:rsid w:val="00423BB6"/>
    <w:rsid w:val="00487D04"/>
    <w:rsid w:val="004B6F65"/>
    <w:rsid w:val="004E5BB5"/>
    <w:rsid w:val="004F1D4F"/>
    <w:rsid w:val="004F3661"/>
    <w:rsid w:val="00527882"/>
    <w:rsid w:val="0053299D"/>
    <w:rsid w:val="00532CB0"/>
    <w:rsid w:val="005838FA"/>
    <w:rsid w:val="005A3216"/>
    <w:rsid w:val="005E59F5"/>
    <w:rsid w:val="005F2CFA"/>
    <w:rsid w:val="0062030E"/>
    <w:rsid w:val="00661F20"/>
    <w:rsid w:val="006642BE"/>
    <w:rsid w:val="006C2161"/>
    <w:rsid w:val="006C4C09"/>
    <w:rsid w:val="006C7742"/>
    <w:rsid w:val="006D3A93"/>
    <w:rsid w:val="00714746"/>
    <w:rsid w:val="00752615"/>
    <w:rsid w:val="00786964"/>
    <w:rsid w:val="007D1A58"/>
    <w:rsid w:val="007E02EA"/>
    <w:rsid w:val="008233E8"/>
    <w:rsid w:val="00853516"/>
    <w:rsid w:val="00875D8F"/>
    <w:rsid w:val="0088306F"/>
    <w:rsid w:val="008A4726"/>
    <w:rsid w:val="008B0593"/>
    <w:rsid w:val="008E1351"/>
    <w:rsid w:val="008E5991"/>
    <w:rsid w:val="008F402F"/>
    <w:rsid w:val="00906ED2"/>
    <w:rsid w:val="00914A39"/>
    <w:rsid w:val="00996780"/>
    <w:rsid w:val="00996BB9"/>
    <w:rsid w:val="009A7A97"/>
    <w:rsid w:val="009B0C51"/>
    <w:rsid w:val="009D3D80"/>
    <w:rsid w:val="00A324E8"/>
    <w:rsid w:val="00A60850"/>
    <w:rsid w:val="00A60BE5"/>
    <w:rsid w:val="00A902C1"/>
    <w:rsid w:val="00A92250"/>
    <w:rsid w:val="00AF7E37"/>
    <w:rsid w:val="00B0620E"/>
    <w:rsid w:val="00B267F4"/>
    <w:rsid w:val="00B43740"/>
    <w:rsid w:val="00B7000E"/>
    <w:rsid w:val="00B7112C"/>
    <w:rsid w:val="00B73C75"/>
    <w:rsid w:val="00B7622A"/>
    <w:rsid w:val="00C458D3"/>
    <w:rsid w:val="00C70AA1"/>
    <w:rsid w:val="00CC068F"/>
    <w:rsid w:val="00CE10E8"/>
    <w:rsid w:val="00D16AA1"/>
    <w:rsid w:val="00D436BF"/>
    <w:rsid w:val="00D528AB"/>
    <w:rsid w:val="00D62AC5"/>
    <w:rsid w:val="00D712BF"/>
    <w:rsid w:val="00DC1372"/>
    <w:rsid w:val="00DD1804"/>
    <w:rsid w:val="00DD662A"/>
    <w:rsid w:val="00DE13F0"/>
    <w:rsid w:val="00E01226"/>
    <w:rsid w:val="00E12B9C"/>
    <w:rsid w:val="00E32DE2"/>
    <w:rsid w:val="00E7031D"/>
    <w:rsid w:val="00E77E9D"/>
    <w:rsid w:val="00F03F89"/>
    <w:rsid w:val="00F13C09"/>
    <w:rsid w:val="00F267F0"/>
    <w:rsid w:val="00F27985"/>
    <w:rsid w:val="00F36218"/>
    <w:rsid w:val="00F80A2D"/>
    <w:rsid w:val="00F90F42"/>
    <w:rsid w:val="00FA16A0"/>
    <w:rsid w:val="00FA60B2"/>
    <w:rsid w:val="00FD32D1"/>
    <w:rsid w:val="00FE5C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CB85CB"/>
  <w15:docId w15:val="{5FF56669-2A5F-4665-B8FB-5E57AE09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69"/>
    <w:pPr>
      <w:spacing w:after="120"/>
      <w:jc w:val="both"/>
    </w:pPr>
    <w:rPr>
      <w:rFonts w:ascii="Arial" w:hAnsi="Arial" w:cs="Times New Roman"/>
    </w:rPr>
  </w:style>
  <w:style w:type="paragraph" w:styleId="Heading1">
    <w:name w:val="heading 1"/>
    <w:basedOn w:val="H1"/>
    <w:next w:val="Normal"/>
    <w:link w:val="Heading1Char"/>
    <w:uiPriority w:val="9"/>
    <w:rsid w:val="002A2669"/>
  </w:style>
  <w:style w:type="paragraph" w:styleId="Heading2">
    <w:name w:val="heading 2"/>
    <w:basedOn w:val="Normal"/>
    <w:next w:val="Normal"/>
    <w:link w:val="Heading2Char"/>
    <w:uiPriority w:val="9"/>
    <w:unhideWhenUsed/>
    <w:qFormat/>
    <w:rsid w:val="002A266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A2669"/>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2669"/>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A2669"/>
    <w:rPr>
      <w:rFonts w:ascii="Arial" w:eastAsiaTheme="minorHAnsi" w:hAnsi="Arial" w:cstheme="minorBidi"/>
      <w:szCs w:val="22"/>
    </w:rPr>
  </w:style>
  <w:style w:type="table" w:styleId="TableGrid">
    <w:name w:val="Table Grid"/>
    <w:basedOn w:val="TableNormal"/>
    <w:uiPriority w:val="59"/>
    <w:rsid w:val="002A2669"/>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669"/>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A2669"/>
    <w:rPr>
      <w:sz w:val="18"/>
      <w:szCs w:val="18"/>
    </w:rPr>
  </w:style>
  <w:style w:type="paragraph" w:styleId="CommentText">
    <w:name w:val="annotation text"/>
    <w:basedOn w:val="Normal"/>
    <w:link w:val="CommentTextChar"/>
    <w:uiPriority w:val="99"/>
    <w:semiHidden/>
    <w:unhideWhenUsed/>
    <w:rsid w:val="00E75DB8"/>
    <w:rPr>
      <w:sz w:val="24"/>
      <w:szCs w:val="24"/>
    </w:rPr>
  </w:style>
  <w:style w:type="character" w:customStyle="1" w:styleId="CommentTextChar">
    <w:name w:val="Comment Text Char"/>
    <w:basedOn w:val="DefaultParagraphFont"/>
    <w:link w:val="CommentText"/>
    <w:uiPriority w:val="99"/>
    <w:semiHidden/>
    <w:rsid w:val="00E75DB8"/>
    <w:rPr>
      <w:sz w:val="24"/>
      <w:szCs w:val="24"/>
      <w:lang w:val="en-GB"/>
    </w:rPr>
  </w:style>
  <w:style w:type="paragraph" w:styleId="CommentSubject">
    <w:name w:val="annotation subject"/>
    <w:basedOn w:val="Normal"/>
    <w:link w:val="CommentSubjectChar"/>
    <w:uiPriority w:val="99"/>
    <w:semiHidden/>
    <w:unhideWhenUsed/>
    <w:rsid w:val="002A2669"/>
    <w:rPr>
      <w:b/>
      <w:bCs/>
    </w:rPr>
  </w:style>
  <w:style w:type="character" w:customStyle="1" w:styleId="CommentSubjectChar">
    <w:name w:val="Comment Subject Char"/>
    <w:basedOn w:val="DefaultParagraphFont"/>
    <w:link w:val="CommentSubject"/>
    <w:uiPriority w:val="99"/>
    <w:semiHidden/>
    <w:rsid w:val="002A2669"/>
    <w:rPr>
      <w:rFonts w:ascii="Arial" w:hAnsi="Arial" w:cs="Times New Roman"/>
      <w:b/>
      <w:bCs/>
    </w:rPr>
  </w:style>
  <w:style w:type="paragraph" w:styleId="BalloonText">
    <w:name w:val="Balloon Text"/>
    <w:basedOn w:val="Normal"/>
    <w:link w:val="BalloonTextChar"/>
    <w:uiPriority w:val="99"/>
    <w:semiHidden/>
    <w:unhideWhenUsed/>
    <w:rsid w:val="002A26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69"/>
    <w:rPr>
      <w:rFonts w:ascii="Lucida Grande" w:hAnsi="Lucida Grande" w:cs="Lucida Grande"/>
      <w:sz w:val="18"/>
      <w:szCs w:val="18"/>
    </w:rPr>
  </w:style>
  <w:style w:type="paragraph" w:styleId="Footer">
    <w:name w:val="footer"/>
    <w:basedOn w:val="Normal"/>
    <w:link w:val="FooterChar"/>
    <w:uiPriority w:val="99"/>
    <w:unhideWhenUsed/>
    <w:rsid w:val="002A2669"/>
    <w:pPr>
      <w:spacing w:after="0"/>
      <w:jc w:val="left"/>
    </w:pPr>
    <w:rPr>
      <w:sz w:val="16"/>
      <w:szCs w:val="18"/>
    </w:rPr>
  </w:style>
  <w:style w:type="character" w:customStyle="1" w:styleId="FooterChar">
    <w:name w:val="Footer Char"/>
    <w:basedOn w:val="DefaultParagraphFont"/>
    <w:link w:val="Footer"/>
    <w:uiPriority w:val="99"/>
    <w:rsid w:val="002A2669"/>
    <w:rPr>
      <w:rFonts w:ascii="Arial" w:hAnsi="Arial" w:cs="Times New Roman"/>
      <w:sz w:val="16"/>
      <w:szCs w:val="18"/>
    </w:rPr>
  </w:style>
  <w:style w:type="character" w:styleId="PageNumber">
    <w:name w:val="page number"/>
    <w:basedOn w:val="DefaultParagraphFont"/>
    <w:uiPriority w:val="99"/>
    <w:unhideWhenUsed/>
    <w:rsid w:val="002A2669"/>
    <w:rPr>
      <w:b/>
    </w:rPr>
  </w:style>
  <w:style w:type="paragraph" w:styleId="Header">
    <w:name w:val="header"/>
    <w:basedOn w:val="Normal"/>
    <w:link w:val="HeaderChar"/>
    <w:uiPriority w:val="99"/>
    <w:unhideWhenUsed/>
    <w:rsid w:val="002A2669"/>
    <w:pPr>
      <w:spacing w:after="0" w:line="288" w:lineRule="auto"/>
      <w:jc w:val="left"/>
    </w:pPr>
    <w:rPr>
      <w:sz w:val="16"/>
    </w:rPr>
  </w:style>
  <w:style w:type="character" w:customStyle="1" w:styleId="HeaderChar">
    <w:name w:val="Header Char"/>
    <w:basedOn w:val="DefaultParagraphFont"/>
    <w:link w:val="Header"/>
    <w:uiPriority w:val="99"/>
    <w:rsid w:val="002A2669"/>
    <w:rPr>
      <w:rFonts w:ascii="Arial" w:hAnsi="Arial" w:cs="Times New Roman"/>
      <w:sz w:val="16"/>
    </w:rPr>
  </w:style>
  <w:style w:type="character" w:styleId="Hyperlink">
    <w:name w:val="Hyperlink"/>
    <w:basedOn w:val="DefaultParagraphFont"/>
    <w:uiPriority w:val="99"/>
    <w:unhideWhenUsed/>
    <w:rsid w:val="002A2669"/>
    <w:rPr>
      <w:color w:val="0000FF" w:themeColor="hyperlink"/>
      <w:u w:val="single"/>
    </w:rPr>
  </w:style>
  <w:style w:type="character" w:styleId="FollowedHyperlink">
    <w:name w:val="FollowedHyperlink"/>
    <w:basedOn w:val="DefaultParagraphFont"/>
    <w:uiPriority w:val="99"/>
    <w:semiHidden/>
    <w:unhideWhenUsed/>
    <w:rsid w:val="002A2669"/>
    <w:rPr>
      <w:color w:val="800080" w:themeColor="followedHyperlink"/>
      <w:u w:val="single"/>
    </w:rPr>
  </w:style>
  <w:style w:type="paragraph" w:styleId="FootnoteText">
    <w:name w:val="footnote text"/>
    <w:basedOn w:val="Normal"/>
    <w:link w:val="FootnoteTextChar"/>
    <w:uiPriority w:val="99"/>
    <w:unhideWhenUsed/>
    <w:rsid w:val="002A2669"/>
    <w:pPr>
      <w:spacing w:after="0"/>
    </w:pPr>
    <w:rPr>
      <w:sz w:val="16"/>
      <w:szCs w:val="22"/>
    </w:rPr>
  </w:style>
  <w:style w:type="character" w:customStyle="1" w:styleId="FootnoteTextChar">
    <w:name w:val="Footnote Text Char"/>
    <w:basedOn w:val="DefaultParagraphFont"/>
    <w:link w:val="FootnoteText"/>
    <w:uiPriority w:val="99"/>
    <w:rsid w:val="002A2669"/>
    <w:rPr>
      <w:rFonts w:ascii="Arial" w:hAnsi="Arial" w:cs="Times New Roman"/>
      <w:sz w:val="16"/>
      <w:szCs w:val="22"/>
    </w:rPr>
  </w:style>
  <w:style w:type="character" w:styleId="FootnoteReference">
    <w:name w:val="footnote reference"/>
    <w:basedOn w:val="DefaultParagraphFont"/>
    <w:uiPriority w:val="99"/>
    <w:unhideWhenUsed/>
    <w:rsid w:val="002A2669"/>
    <w:rPr>
      <w:vertAlign w:val="superscript"/>
    </w:rPr>
  </w:style>
  <w:style w:type="character" w:customStyle="1" w:styleId="aak">
    <w:name w:val="aak"/>
    <w:basedOn w:val="DefaultParagraphFont"/>
    <w:rsid w:val="00D16AA1"/>
  </w:style>
  <w:style w:type="character" w:customStyle="1" w:styleId="apple-converted-space">
    <w:name w:val="apple-converted-space"/>
    <w:basedOn w:val="DefaultParagraphFont"/>
    <w:rsid w:val="00D16AA1"/>
  </w:style>
  <w:style w:type="character" w:customStyle="1" w:styleId="Heading1Char">
    <w:name w:val="Heading 1 Char"/>
    <w:basedOn w:val="DefaultParagraphFont"/>
    <w:link w:val="Heading1"/>
    <w:uiPriority w:val="9"/>
    <w:rsid w:val="002A2669"/>
    <w:rPr>
      <w:rFonts w:ascii="Arial" w:hAnsi="Arial" w:cs="Times New Roman"/>
      <w:b/>
      <w:sz w:val="40"/>
      <w:szCs w:val="52"/>
    </w:rPr>
  </w:style>
  <w:style w:type="character" w:customStyle="1" w:styleId="Heading2Char">
    <w:name w:val="Heading 2 Char"/>
    <w:basedOn w:val="DefaultParagraphFont"/>
    <w:link w:val="Heading2"/>
    <w:uiPriority w:val="9"/>
    <w:rsid w:val="002A2669"/>
    <w:rPr>
      <w:rFonts w:ascii="Arial" w:hAnsi="Arial" w:cs="Times New Roman"/>
      <w:b/>
      <w:caps/>
      <w:sz w:val="24"/>
      <w:szCs w:val="26"/>
    </w:rPr>
  </w:style>
  <w:style w:type="character" w:customStyle="1" w:styleId="Heading3Char">
    <w:name w:val="Heading 3 Char"/>
    <w:basedOn w:val="DefaultParagraphFont"/>
    <w:link w:val="Heading3"/>
    <w:uiPriority w:val="9"/>
    <w:rsid w:val="002A2669"/>
    <w:rPr>
      <w:rFonts w:ascii="Arial" w:hAnsi="Arial" w:cs="Times New Roman"/>
      <w:b/>
      <w:sz w:val="22"/>
      <w:szCs w:val="24"/>
    </w:rPr>
  </w:style>
  <w:style w:type="paragraph" w:styleId="Revision">
    <w:name w:val="Revision"/>
    <w:hidden/>
    <w:uiPriority w:val="99"/>
    <w:semiHidden/>
    <w:rsid w:val="002A2669"/>
    <w:rPr>
      <w:rFonts w:ascii="Arial" w:hAnsi="Arial" w:cs="Arial"/>
      <w:sz w:val="21"/>
      <w:szCs w:val="21"/>
    </w:rPr>
  </w:style>
  <w:style w:type="paragraph" w:customStyle="1" w:styleId="BasicParagraph">
    <w:name w:val="[Basic Paragraph]"/>
    <w:basedOn w:val="Normal"/>
    <w:uiPriority w:val="99"/>
    <w:rsid w:val="002A266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A2669"/>
    <w:pPr>
      <w:spacing w:before="360" w:after="240"/>
      <w:jc w:val="left"/>
      <w:outlineLvl w:val="0"/>
    </w:pPr>
    <w:rPr>
      <w:b/>
      <w:sz w:val="40"/>
      <w:szCs w:val="52"/>
    </w:rPr>
  </w:style>
  <w:style w:type="paragraph" w:customStyle="1" w:styleId="Bullet1">
    <w:name w:val="Bullet 1"/>
    <w:basedOn w:val="Normal"/>
    <w:rsid w:val="002A2669"/>
    <w:pPr>
      <w:numPr>
        <w:numId w:val="14"/>
      </w:numPr>
      <w:spacing w:before="60"/>
    </w:pPr>
    <w:rPr>
      <w:rFonts w:eastAsia="Times New Roman"/>
      <w:color w:val="000000"/>
    </w:rPr>
  </w:style>
  <w:style w:type="paragraph" w:customStyle="1" w:styleId="RefItem1">
    <w:name w:val="Ref Item 1"/>
    <w:basedOn w:val="Normal"/>
    <w:rsid w:val="002A2669"/>
    <w:pPr>
      <w:jc w:val="left"/>
    </w:pPr>
    <w:rPr>
      <w:color w:val="000000"/>
      <w:szCs w:val="24"/>
      <w:lang w:eastAsia="it-IT"/>
    </w:rPr>
  </w:style>
  <w:style w:type="paragraph" w:customStyle="1" w:styleId="RefTitre">
    <w:name w:val="Ref Titre"/>
    <w:basedOn w:val="Normal"/>
    <w:rsid w:val="002A2669"/>
    <w:pPr>
      <w:jc w:val="left"/>
    </w:pPr>
    <w:rPr>
      <w:rFonts w:eastAsia="Times New Roman"/>
      <w:b/>
      <w:bCs/>
      <w:sz w:val="26"/>
      <w:szCs w:val="26"/>
    </w:rPr>
  </w:style>
  <w:style w:type="paragraph" w:customStyle="1" w:styleId="Header1">
    <w:name w:val="Header 1"/>
    <w:basedOn w:val="Header"/>
    <w:rsid w:val="002A2669"/>
    <w:rPr>
      <w:b/>
      <w:sz w:val="24"/>
      <w:szCs w:val="24"/>
    </w:rPr>
  </w:style>
  <w:style w:type="character" w:customStyle="1" w:styleId="Pantone485">
    <w:name w:val="Pantone 485"/>
    <w:basedOn w:val="DefaultParagraphFont"/>
    <w:uiPriority w:val="1"/>
    <w:qFormat/>
    <w:rsid w:val="002A2669"/>
    <w:rPr>
      <w:rFonts w:cs="Caecilia-Light"/>
      <w:color w:val="DC281E"/>
      <w:szCs w:val="16"/>
    </w:rPr>
  </w:style>
  <w:style w:type="character" w:customStyle="1" w:styleId="H1Char">
    <w:name w:val="H1 Char"/>
    <w:basedOn w:val="DefaultParagraphFont"/>
    <w:link w:val="H1"/>
    <w:rsid w:val="002A2669"/>
    <w:rPr>
      <w:rFonts w:ascii="Arial" w:hAnsi="Arial" w:cs="Times New Roman"/>
      <w:b/>
      <w:sz w:val="40"/>
      <w:szCs w:val="52"/>
    </w:rPr>
  </w:style>
  <w:style w:type="table" w:customStyle="1" w:styleId="TableGray">
    <w:name w:val="Table Gray"/>
    <w:basedOn w:val="TableNormal"/>
    <w:uiPriority w:val="99"/>
    <w:rsid w:val="002A2669"/>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A2669"/>
    <w:pPr>
      <w:numPr>
        <w:numId w:val="26"/>
      </w:numPr>
      <w:spacing w:before="120" w:after="120"/>
      <w:contextualSpacing w:val="0"/>
    </w:pPr>
    <w:rPr>
      <w:rFonts w:eastAsia="Cambria" w:cs="Arial"/>
    </w:rPr>
  </w:style>
  <w:style w:type="paragraph" w:customStyle="1" w:styleId="ListNumber1">
    <w:name w:val="List Number 1"/>
    <w:basedOn w:val="Normal"/>
    <w:rsid w:val="002A2669"/>
    <w:pPr>
      <w:numPr>
        <w:ilvl w:val="1"/>
        <w:numId w:val="24"/>
      </w:numPr>
      <w:contextualSpacing/>
    </w:pPr>
    <w:rPr>
      <w:rFonts w:eastAsiaTheme="minorHAnsi" w:cstheme="minorHAnsi"/>
      <w:szCs w:val="22"/>
    </w:rPr>
  </w:style>
  <w:style w:type="paragraph" w:customStyle="1" w:styleId="NormalNo">
    <w:name w:val="Normal + No"/>
    <w:basedOn w:val="Normal"/>
    <w:qFormat/>
    <w:rsid w:val="002A2669"/>
    <w:pPr>
      <w:numPr>
        <w:numId w:val="25"/>
      </w:numPr>
    </w:pPr>
    <w:rPr>
      <w:rFonts w:eastAsia="MS Mincho"/>
      <w:b/>
      <w:sz w:val="22"/>
    </w:rPr>
  </w:style>
  <w:style w:type="paragraph" w:customStyle="1" w:styleId="Bullet3">
    <w:name w:val="Bullet 3"/>
    <w:basedOn w:val="ListParagraph"/>
    <w:qFormat/>
    <w:rsid w:val="002A2669"/>
    <w:pPr>
      <w:numPr>
        <w:numId w:val="27"/>
      </w:numPr>
      <w:spacing w:before="120" w:after="120"/>
      <w:ind w:right="425"/>
    </w:pPr>
    <w:rPr>
      <w:rFonts w:cs="Arial"/>
      <w:i/>
      <w:iCs/>
    </w:rPr>
  </w:style>
  <w:style w:type="paragraph" w:customStyle="1" w:styleId="Indent">
    <w:name w:val="Indent"/>
    <w:basedOn w:val="Normal"/>
    <w:qFormat/>
    <w:rsid w:val="002A2669"/>
    <w:pPr>
      <w:ind w:left="567"/>
    </w:pPr>
    <w:rPr>
      <w:rFonts w:cs="Arial"/>
      <w:b/>
    </w:rPr>
  </w:style>
  <w:style w:type="paragraph" w:customStyle="1" w:styleId="TitreTableau">
    <w:name w:val="Titre Tableau"/>
    <w:basedOn w:val="Normal"/>
    <w:qFormat/>
    <w:rsid w:val="002A2669"/>
    <w:pPr>
      <w:spacing w:before="120"/>
      <w:jc w:val="center"/>
    </w:pPr>
    <w:rPr>
      <w:rFonts w:cs="Arial"/>
      <w:b/>
      <w:bCs/>
      <w:color w:val="FFFFFF" w:themeColor="background1"/>
      <w:lang w:val="en-CA"/>
    </w:rPr>
  </w:style>
  <w:style w:type="paragraph" w:customStyle="1" w:styleId="BulletTableau">
    <w:name w:val="Bullet Tableau"/>
    <w:basedOn w:val="Bullet2"/>
    <w:qFormat/>
    <w:rsid w:val="002A2669"/>
    <w:pPr>
      <w:keepNext/>
      <w:keepLines/>
      <w:framePr w:hSpace="141" w:wrap="around" w:vAnchor="text" w:hAnchor="margin" w:y="402"/>
      <w:numPr>
        <w:numId w:val="28"/>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6046">
      <w:bodyDiv w:val="1"/>
      <w:marLeft w:val="0"/>
      <w:marRight w:val="0"/>
      <w:marTop w:val="0"/>
      <w:marBottom w:val="0"/>
      <w:divBdr>
        <w:top w:val="none" w:sz="0" w:space="0" w:color="auto"/>
        <w:left w:val="none" w:sz="0" w:space="0" w:color="auto"/>
        <w:bottom w:val="none" w:sz="0" w:space="0" w:color="auto"/>
        <w:right w:val="none" w:sz="0" w:space="0" w:color="auto"/>
      </w:divBdr>
    </w:div>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577128891">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hpn.org/documents%2Fgpr1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dihpn.org/hpn-resources/network-papers/response-analysis-and-response-choice-in-food-security-crises-a-roadmap"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ma-toolkit.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ctionagainsthunger.org/publication/2007/10/implementing-cash-based-interventions-guideline-aid-workers" TargetMode="External"/><Relationship Id="rId4" Type="http://schemas.openxmlformats.org/officeDocument/2006/relationships/webSettings" Target="webSettings.xml"/><Relationship Id="rId9" Type="http://schemas.openxmlformats.org/officeDocument/2006/relationships/hyperlink" Target="http://www.ifrc.org/Global/Publications/disasters/finance/cash-guidelines-e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TotalTime>
  <Pages>1</Pages>
  <Words>1088</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Ines DALMAU i GUTSENS</cp:lastModifiedBy>
  <cp:revision>8</cp:revision>
  <cp:lastPrinted>2015-09-25T19:19:00Z</cp:lastPrinted>
  <dcterms:created xsi:type="dcterms:W3CDTF">2015-12-13T22:01:00Z</dcterms:created>
  <dcterms:modified xsi:type="dcterms:W3CDTF">2016-02-11T19:17:00Z</dcterms:modified>
</cp:coreProperties>
</file>