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2.jpg" ContentType="image/jpe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2197" w14:textId="54F6512A" w:rsidR="00AF798D" w:rsidRDefault="009D00B6" w:rsidP="00AF798D">
      <w:pPr>
        <w:pStyle w:val="H1"/>
        <w:rPr>
          <w:lang w:val="es-ES_tradnl"/>
        </w:rPr>
      </w:pPr>
      <w:r w:rsidRPr="00984401">
        <w:rPr>
          <w:lang w:val="es-ES_tradnl"/>
        </w:rPr>
        <w:t>Hoja de ruta para la selección y contratación de proveedores de servicios</w:t>
      </w:r>
    </w:p>
    <w:p w14:paraId="3C811103" w14:textId="77777777" w:rsidR="009D00B6" w:rsidRDefault="009D00B6" w:rsidP="009D00B6">
      <w:pPr>
        <w:pStyle w:val="H1"/>
        <w:rPr>
          <w:lang w:val="es-ES_tradnl"/>
        </w:rPr>
      </w:pPr>
    </w:p>
    <w:tbl>
      <w:tblPr>
        <w:tblStyle w:val="TableGrid"/>
        <w:tblW w:w="1019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2059"/>
        <w:gridCol w:w="1795"/>
        <w:gridCol w:w="1969"/>
        <w:gridCol w:w="2417"/>
      </w:tblGrid>
      <w:tr w:rsidR="009D00B6" w:rsidRPr="00BA4ED3" w14:paraId="61DD14E2" w14:textId="77777777" w:rsidTr="00855841">
        <w:tc>
          <w:tcPr>
            <w:tcW w:w="10194" w:type="dxa"/>
            <w:gridSpan w:val="5"/>
            <w:shd w:val="clear" w:color="auto" w:fill="00B0F0"/>
          </w:tcPr>
          <w:p w14:paraId="3E7677C2" w14:textId="77777777" w:rsidR="009D00B6" w:rsidRPr="00BA4ED3" w:rsidRDefault="009D00B6" w:rsidP="00855841">
            <w:pPr>
              <w:jc w:val="center"/>
              <w:rPr>
                <w:rFonts w:cstheme="minorHAnsi"/>
                <w:b/>
                <w:color w:val="FFFFFF" w:themeColor="background1"/>
              </w:rPr>
            </w:pPr>
            <w:r w:rsidRPr="00BA4ED3">
              <w:rPr>
                <w:rFonts w:cstheme="minorHAnsi"/>
                <w:b/>
                <w:color w:val="FFFFFF" w:themeColor="background1"/>
              </w:rPr>
              <w:t>DISEÑO E IMPLEMENTACIÓN</w:t>
            </w:r>
          </w:p>
        </w:tc>
      </w:tr>
      <w:tr w:rsidR="009D00B6" w:rsidRPr="00BA4ED3" w14:paraId="6544775E" w14:textId="77777777" w:rsidTr="00855841">
        <w:trPr>
          <w:trHeight w:val="70"/>
        </w:trPr>
        <w:tc>
          <w:tcPr>
            <w:tcW w:w="10194" w:type="dxa"/>
            <w:gridSpan w:val="5"/>
            <w:shd w:val="clear" w:color="auto" w:fill="FFFFFF" w:themeFill="background1"/>
          </w:tcPr>
          <w:p w14:paraId="7976FFE9" w14:textId="77777777" w:rsidR="009D00B6" w:rsidRPr="00DB5E28" w:rsidRDefault="009D00B6" w:rsidP="00855841">
            <w:pPr>
              <w:rPr>
                <w:rFonts w:cstheme="minorHAnsi"/>
                <w:b/>
                <w:bCs/>
                <w:sz w:val="18"/>
                <w:szCs w:val="21"/>
                <w:lang w:val="es-ES"/>
              </w:rPr>
            </w:pPr>
            <w:r>
              <w:rPr>
                <w:rFonts w:cstheme="minorHAnsi"/>
                <w:b/>
                <w:bCs/>
                <w:noProof/>
                <w:sz w:val="18"/>
                <w:szCs w:val="21"/>
                <w:lang w:val="es-ES_tradnl" w:eastAsia="es-ES_tradnl"/>
              </w:rPr>
              <mc:AlternateContent>
                <mc:Choice Requires="wps">
                  <w:drawing>
                    <wp:anchor distT="0" distB="0" distL="114300" distR="114300" simplePos="0" relativeHeight="251660288" behindDoc="0" locked="0" layoutInCell="1" allowOverlap="1" wp14:anchorId="1DA1E76B" wp14:editId="6737B55B">
                      <wp:simplePos x="0" y="0"/>
                      <wp:positionH relativeFrom="column">
                        <wp:posOffset>2951480</wp:posOffset>
                      </wp:positionH>
                      <wp:positionV relativeFrom="paragraph">
                        <wp:posOffset>-56514</wp:posOffset>
                      </wp:positionV>
                      <wp:extent cx="163195" cy="315595"/>
                      <wp:effectExtent l="0" t="0" r="27305" b="27305"/>
                      <wp:wrapNone/>
                      <wp:docPr id="3" name="Pentagon 3"/>
                      <wp:cNvGraphicFramePr/>
                      <a:graphic xmlns:a="http://schemas.openxmlformats.org/drawingml/2006/main">
                        <a:graphicData uri="http://schemas.microsoft.com/office/word/2010/wordprocessingShape">
                          <wps:wsp>
                            <wps:cNvSpPr/>
                            <wps:spPr>
                              <a:xfrm rot="16200000" flipH="1" flipV="1">
                                <a:off x="0" y="0"/>
                                <a:ext cx="163195" cy="315595"/>
                              </a:xfrm>
                              <a:prstGeom prst="homePlat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03B7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232.4pt;margin-top:-4.45pt;width:12.85pt;height:24.8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" adj="10800" fillcolor="red" strokecolor="red" strokeweight="2pt"/>
                  </w:pict>
                </mc:Fallback>
              </mc:AlternateContent>
            </w:r>
            <w:r>
              <w:rPr>
                <w:rFonts w:cstheme="minorHAnsi"/>
                <w:b/>
                <w:bCs/>
                <w:noProof/>
                <w:sz w:val="18"/>
                <w:szCs w:val="21"/>
                <w:lang w:val="es-ES_tradnl" w:eastAsia="es-ES_tradnl"/>
              </w:rPr>
              <mc:AlternateContent>
                <mc:Choice Requires="wps">
                  <w:drawing>
                    <wp:anchor distT="0" distB="0" distL="114300" distR="114300" simplePos="0" relativeHeight="251659264" behindDoc="0" locked="0" layoutInCell="1" allowOverlap="1" wp14:anchorId="5F355AD1" wp14:editId="1CEA004F">
                      <wp:simplePos x="0" y="0"/>
                      <wp:positionH relativeFrom="column">
                        <wp:posOffset>-70588</wp:posOffset>
                      </wp:positionH>
                      <wp:positionV relativeFrom="paragraph">
                        <wp:posOffset>27082</wp:posOffset>
                      </wp:positionV>
                      <wp:extent cx="6462584" cy="0"/>
                      <wp:effectExtent l="0" t="19050" r="14605" b="19050"/>
                      <wp:wrapNone/>
                      <wp:docPr id="4" name="Straight Connector 4"/>
                      <wp:cNvGraphicFramePr/>
                      <a:graphic xmlns:a="http://schemas.openxmlformats.org/drawingml/2006/main">
                        <a:graphicData uri="http://schemas.microsoft.com/office/word/2010/wordprocessingShape">
                          <wps:wsp>
                            <wps:cNvCnPr/>
                            <wps:spPr>
                              <a:xfrm>
                                <a:off x="0" y="0"/>
                                <a:ext cx="6462584"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A537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15pt" to="50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" strokecolor="red" strokeweight="3pt"/>
                  </w:pict>
                </mc:Fallback>
              </mc:AlternateContent>
            </w:r>
          </w:p>
        </w:tc>
      </w:tr>
      <w:tr w:rsidR="009D00B6" w:rsidRPr="009D00B6" w14:paraId="613AB50A" w14:textId="77777777" w:rsidTr="00855841">
        <w:tc>
          <w:tcPr>
            <w:tcW w:w="1980" w:type="dxa"/>
            <w:shd w:val="clear" w:color="auto" w:fill="BFBFBF" w:themeFill="background1" w:themeFillShade="BF"/>
          </w:tcPr>
          <w:p w14:paraId="0EA43661" w14:textId="77777777" w:rsidR="009D00B6" w:rsidRPr="00DB5E28" w:rsidRDefault="009D00B6" w:rsidP="00855841">
            <w:pPr>
              <w:rPr>
                <w:rFonts w:cstheme="minorHAnsi"/>
                <w:b/>
                <w:sz w:val="18"/>
              </w:rPr>
            </w:pPr>
          </w:p>
          <w:p w14:paraId="4CC6E9ED" w14:textId="77777777" w:rsidR="009D00B6" w:rsidRPr="00BA4ED3" w:rsidRDefault="009D00B6" w:rsidP="009D00B6">
            <w:pPr>
              <w:pStyle w:val="ListParagraph"/>
              <w:numPr>
                <w:ilvl w:val="0"/>
                <w:numId w:val="22"/>
              </w:numPr>
              <w:spacing w:after="0"/>
              <w:jc w:val="left"/>
              <w:rPr>
                <w:rFonts w:cstheme="minorHAnsi"/>
                <w:b/>
                <w:sz w:val="18"/>
              </w:rPr>
            </w:pPr>
            <w:r w:rsidRPr="00BA4ED3">
              <w:rPr>
                <w:rFonts w:cstheme="minorHAnsi"/>
                <w:b/>
                <w:bCs/>
                <w:sz w:val="18"/>
                <w:szCs w:val="21"/>
                <w:lang w:val="es-ES"/>
              </w:rPr>
              <w:t>Diseño del programa</w:t>
            </w:r>
          </w:p>
        </w:tc>
        <w:tc>
          <w:tcPr>
            <w:tcW w:w="2070" w:type="dxa"/>
            <w:shd w:val="clear" w:color="auto" w:fill="BFBFBF" w:themeFill="background1" w:themeFillShade="BF"/>
          </w:tcPr>
          <w:p w14:paraId="0608F5E7" w14:textId="77777777" w:rsidR="009D00B6" w:rsidRPr="00DB5E28" w:rsidRDefault="009D00B6" w:rsidP="00855841">
            <w:pPr>
              <w:rPr>
                <w:rFonts w:cstheme="minorHAnsi"/>
                <w:b/>
                <w:sz w:val="18"/>
                <w:lang w:val="es-ES"/>
              </w:rPr>
            </w:pPr>
          </w:p>
          <w:p w14:paraId="20CE595D" w14:textId="77777777" w:rsidR="009D00B6" w:rsidRPr="00BA4ED3" w:rsidRDefault="009D00B6" w:rsidP="009D00B6">
            <w:pPr>
              <w:pStyle w:val="ListParagraph"/>
              <w:numPr>
                <w:ilvl w:val="0"/>
                <w:numId w:val="22"/>
              </w:numPr>
              <w:spacing w:after="0"/>
              <w:jc w:val="left"/>
              <w:rPr>
                <w:rFonts w:cstheme="minorHAnsi"/>
                <w:b/>
                <w:sz w:val="18"/>
                <w:lang w:val="es-ES"/>
              </w:rPr>
            </w:pPr>
            <w:r w:rsidRPr="00BA4ED3">
              <w:rPr>
                <w:rFonts w:cstheme="minorHAnsi"/>
                <w:b/>
                <w:bCs/>
                <w:sz w:val="18"/>
                <w:szCs w:val="21"/>
                <w:lang w:val="es-ES"/>
              </w:rPr>
              <w:t>Comunicación y rendición de cuentas a los beneficiarios</w:t>
            </w:r>
          </w:p>
        </w:tc>
        <w:tc>
          <w:tcPr>
            <w:tcW w:w="1800" w:type="dxa"/>
            <w:shd w:val="clear" w:color="auto" w:fill="BFBFBF" w:themeFill="background1" w:themeFillShade="BF"/>
          </w:tcPr>
          <w:p w14:paraId="27471256" w14:textId="77777777" w:rsidR="009D00B6" w:rsidRPr="00DB5E28" w:rsidRDefault="009D00B6" w:rsidP="00855841">
            <w:pPr>
              <w:rPr>
                <w:rFonts w:cstheme="minorHAnsi"/>
                <w:b/>
                <w:sz w:val="18"/>
                <w:lang w:val="es-ES"/>
              </w:rPr>
            </w:pPr>
          </w:p>
          <w:p w14:paraId="6C974701" w14:textId="77777777" w:rsidR="009D00B6" w:rsidRPr="00BA4ED3" w:rsidRDefault="009D00B6" w:rsidP="009D00B6">
            <w:pPr>
              <w:pStyle w:val="ListParagraph"/>
              <w:numPr>
                <w:ilvl w:val="0"/>
                <w:numId w:val="22"/>
              </w:numPr>
              <w:spacing w:after="0"/>
              <w:jc w:val="left"/>
              <w:rPr>
                <w:rFonts w:cstheme="minorHAnsi"/>
                <w:b/>
                <w:sz w:val="18"/>
                <w:lang w:val="es-ES"/>
              </w:rPr>
            </w:pPr>
            <w:r w:rsidRPr="00BA4ED3">
              <w:rPr>
                <w:rFonts w:cstheme="minorHAnsi"/>
                <w:b/>
                <w:bCs/>
                <w:sz w:val="18"/>
                <w:lang w:val="es-ES"/>
              </w:rPr>
              <w:t>Contratación de proveedores de servicios</w:t>
            </w:r>
          </w:p>
        </w:tc>
        <w:tc>
          <w:tcPr>
            <w:tcW w:w="1980" w:type="dxa"/>
            <w:shd w:val="clear" w:color="auto" w:fill="BFBFBF" w:themeFill="background1" w:themeFillShade="BF"/>
          </w:tcPr>
          <w:p w14:paraId="028BE26F" w14:textId="77777777" w:rsidR="009D00B6" w:rsidRPr="00DB5E28" w:rsidRDefault="009D00B6" w:rsidP="00855841">
            <w:pPr>
              <w:rPr>
                <w:rFonts w:cstheme="minorHAnsi"/>
                <w:b/>
                <w:sz w:val="18"/>
                <w:lang w:val="es-ES"/>
              </w:rPr>
            </w:pPr>
          </w:p>
          <w:p w14:paraId="4B7A738C" w14:textId="77777777" w:rsidR="009D00B6" w:rsidRPr="00BA4ED3" w:rsidRDefault="009D00B6" w:rsidP="009D00B6">
            <w:pPr>
              <w:pStyle w:val="ListParagraph"/>
              <w:numPr>
                <w:ilvl w:val="0"/>
                <w:numId w:val="22"/>
              </w:numPr>
              <w:spacing w:after="0"/>
              <w:jc w:val="left"/>
              <w:rPr>
                <w:rFonts w:cstheme="minorHAnsi"/>
                <w:b/>
                <w:sz w:val="18"/>
                <w:lang w:val="es-ES"/>
              </w:rPr>
            </w:pPr>
            <w:r w:rsidRPr="00BA4ED3">
              <w:rPr>
                <w:rFonts w:cstheme="minorHAnsi"/>
                <w:b/>
                <w:sz w:val="18"/>
                <w:lang w:val="es-ES"/>
              </w:rPr>
              <w:t>Registro e identificación</w:t>
            </w:r>
          </w:p>
        </w:tc>
        <w:tc>
          <w:tcPr>
            <w:tcW w:w="2364" w:type="dxa"/>
            <w:shd w:val="clear" w:color="auto" w:fill="BFBFBF" w:themeFill="background1" w:themeFillShade="BF"/>
          </w:tcPr>
          <w:p w14:paraId="33AF96AE" w14:textId="77777777" w:rsidR="009D00B6" w:rsidRPr="00DB5E28" w:rsidRDefault="009D00B6" w:rsidP="00855841">
            <w:pPr>
              <w:rPr>
                <w:rFonts w:cstheme="minorHAnsi"/>
                <w:b/>
                <w:sz w:val="18"/>
                <w:lang w:val="es-ES"/>
              </w:rPr>
            </w:pPr>
          </w:p>
          <w:p w14:paraId="7234735D" w14:textId="77777777" w:rsidR="009D00B6" w:rsidRPr="00BA4ED3" w:rsidRDefault="009D00B6" w:rsidP="009D00B6">
            <w:pPr>
              <w:pStyle w:val="ListParagraph"/>
              <w:numPr>
                <w:ilvl w:val="0"/>
                <w:numId w:val="22"/>
              </w:numPr>
              <w:spacing w:after="0"/>
              <w:jc w:val="left"/>
              <w:rPr>
                <w:rFonts w:cstheme="minorHAnsi"/>
                <w:b/>
                <w:sz w:val="18"/>
                <w:lang w:val="es-ES"/>
              </w:rPr>
            </w:pPr>
            <w:r w:rsidRPr="00BA4ED3">
              <w:rPr>
                <w:rFonts w:cstheme="minorHAnsi"/>
                <w:b/>
                <w:bCs/>
                <w:sz w:val="18"/>
                <w:szCs w:val="21"/>
                <w:lang w:val="es-ES"/>
              </w:rPr>
              <w:t>Distribución y conversión a efecti</w:t>
            </w:r>
            <w:r>
              <w:rPr>
                <w:rFonts w:cstheme="minorHAnsi"/>
                <w:b/>
                <w:bCs/>
                <w:sz w:val="18"/>
                <w:szCs w:val="21"/>
                <w:lang w:val="es-ES"/>
              </w:rPr>
              <w:t>vo</w:t>
            </w:r>
          </w:p>
        </w:tc>
      </w:tr>
      <w:tr w:rsidR="009D00B6" w:rsidRPr="009D00B6" w14:paraId="4E02F743" w14:textId="77777777" w:rsidTr="00B260D5">
        <w:tc>
          <w:tcPr>
            <w:tcW w:w="1980" w:type="dxa"/>
            <w:tcBorders>
              <w:right w:val="single" w:sz="4" w:space="0" w:color="auto"/>
            </w:tcBorders>
            <w:shd w:val="clear" w:color="auto" w:fill="00B0F0"/>
          </w:tcPr>
          <w:p w14:paraId="24401D05" w14:textId="77777777" w:rsidR="009D00B6" w:rsidRPr="00B260D5" w:rsidRDefault="009D00B6" w:rsidP="00B260D5">
            <w:pPr>
              <w:shd w:val="clear" w:color="auto" w:fill="FFFFFF" w:themeFill="background1"/>
              <w:rPr>
                <w:rFonts w:cstheme="minorHAnsi"/>
                <w:bCs/>
                <w:sz w:val="16"/>
                <w:szCs w:val="21"/>
                <w:lang w:val="es-ES"/>
              </w:rPr>
            </w:pPr>
            <w:r w:rsidRPr="00404F5D">
              <w:rPr>
                <w:rFonts w:cstheme="minorHAnsi"/>
                <w:bCs/>
                <w:color w:val="FFFFFF" w:themeColor="background1"/>
                <w:sz w:val="16"/>
                <w:szCs w:val="21"/>
                <w:lang w:val="es-ES"/>
              </w:rPr>
              <w:t>.</w:t>
            </w:r>
            <w:r w:rsidRPr="00B260D5">
              <w:rPr>
                <w:rFonts w:cstheme="minorHAnsi"/>
                <w:bCs/>
                <w:sz w:val="16"/>
                <w:szCs w:val="21"/>
                <w:lang w:val="es-ES"/>
              </w:rPr>
              <w:t xml:space="preserve">1 Desarrollo del plan operativo de PTE </w:t>
            </w:r>
          </w:p>
          <w:p w14:paraId="4AA6213B" w14:textId="77777777" w:rsidR="009D00B6" w:rsidRPr="00B260D5" w:rsidRDefault="009D00B6" w:rsidP="00B260D5">
            <w:pPr>
              <w:shd w:val="clear" w:color="auto" w:fill="FFFFFF" w:themeFill="background1"/>
              <w:rPr>
                <w:rFonts w:cstheme="minorHAnsi"/>
                <w:bCs/>
                <w:sz w:val="16"/>
                <w:szCs w:val="21"/>
                <w:lang w:val="es-ES"/>
              </w:rPr>
            </w:pPr>
            <w:r w:rsidRPr="00B260D5">
              <w:rPr>
                <w:rFonts w:cstheme="minorHAnsi"/>
                <w:bCs/>
                <w:sz w:val="16"/>
                <w:szCs w:val="21"/>
                <w:lang w:val="es-ES"/>
              </w:rPr>
              <w:t>.2 Coordinación interna</w:t>
            </w:r>
          </w:p>
          <w:p w14:paraId="6255BB29" w14:textId="77777777" w:rsidR="009D00B6" w:rsidRPr="00B260D5" w:rsidRDefault="009D00B6" w:rsidP="00B260D5">
            <w:pPr>
              <w:shd w:val="clear" w:color="auto" w:fill="FFFFFF" w:themeFill="background1"/>
              <w:rPr>
                <w:rFonts w:cstheme="minorHAnsi"/>
                <w:bCs/>
                <w:sz w:val="16"/>
                <w:szCs w:val="21"/>
                <w:lang w:val="es-ES"/>
              </w:rPr>
            </w:pPr>
            <w:r w:rsidRPr="00B260D5">
              <w:rPr>
                <w:rFonts w:cstheme="minorHAnsi"/>
                <w:bCs/>
                <w:sz w:val="16"/>
                <w:szCs w:val="21"/>
                <w:lang w:val="es-ES"/>
              </w:rPr>
              <w:t xml:space="preserve">.3 Coordinación con otros actores  </w:t>
            </w:r>
          </w:p>
          <w:p w14:paraId="1B7162A6" w14:textId="77777777" w:rsidR="009D00B6" w:rsidRDefault="009D00B6" w:rsidP="00B260D5">
            <w:pPr>
              <w:shd w:val="clear" w:color="auto" w:fill="FFFFFF" w:themeFill="background1"/>
              <w:rPr>
                <w:rFonts w:cstheme="minorHAnsi"/>
                <w:bCs/>
                <w:sz w:val="16"/>
                <w:szCs w:val="21"/>
                <w:lang w:val="es-ES"/>
              </w:rPr>
            </w:pPr>
          </w:p>
          <w:p w14:paraId="04E29F05" w14:textId="77777777" w:rsidR="00B260D5" w:rsidRDefault="00B260D5" w:rsidP="00B260D5">
            <w:pPr>
              <w:shd w:val="clear" w:color="auto" w:fill="FFFFFF" w:themeFill="background1"/>
              <w:rPr>
                <w:rFonts w:cstheme="minorHAnsi"/>
                <w:bCs/>
                <w:sz w:val="16"/>
                <w:szCs w:val="21"/>
                <w:lang w:val="es-ES"/>
              </w:rPr>
            </w:pPr>
          </w:p>
          <w:p w14:paraId="1913A37E" w14:textId="565E87F8" w:rsidR="00B260D5" w:rsidRDefault="00B260D5" w:rsidP="00B260D5">
            <w:pPr>
              <w:shd w:val="clear" w:color="auto" w:fill="FFFFFF" w:themeFill="background1"/>
              <w:rPr>
                <w:rFonts w:cstheme="minorHAnsi"/>
                <w:bCs/>
                <w:sz w:val="16"/>
                <w:szCs w:val="21"/>
                <w:lang w:val="es-ES"/>
              </w:rPr>
            </w:pPr>
          </w:p>
          <w:p w14:paraId="0393112F" w14:textId="4FD0245F" w:rsidR="00B260D5" w:rsidRDefault="00B260D5" w:rsidP="00B260D5">
            <w:pPr>
              <w:shd w:val="clear" w:color="auto" w:fill="FFFFFF" w:themeFill="background1"/>
              <w:rPr>
                <w:rFonts w:cstheme="minorHAnsi"/>
                <w:bCs/>
                <w:sz w:val="16"/>
                <w:szCs w:val="21"/>
                <w:lang w:val="es-ES"/>
              </w:rPr>
            </w:pPr>
          </w:p>
          <w:p w14:paraId="7F10428D" w14:textId="1C507D01" w:rsidR="00B260D5" w:rsidRDefault="00B260D5" w:rsidP="00B260D5">
            <w:pPr>
              <w:shd w:val="clear" w:color="auto" w:fill="FFFFFF" w:themeFill="background1"/>
              <w:rPr>
                <w:rFonts w:cstheme="minorHAnsi"/>
                <w:bCs/>
                <w:sz w:val="16"/>
                <w:szCs w:val="21"/>
                <w:lang w:val="es-ES"/>
              </w:rPr>
            </w:pPr>
          </w:p>
          <w:p w14:paraId="56D83EA4" w14:textId="65F026F8" w:rsidR="00B260D5" w:rsidRDefault="00B260D5" w:rsidP="00B260D5">
            <w:pPr>
              <w:shd w:val="clear" w:color="auto" w:fill="FFFFFF" w:themeFill="background1"/>
              <w:rPr>
                <w:rFonts w:cstheme="minorHAnsi"/>
                <w:bCs/>
                <w:sz w:val="16"/>
                <w:szCs w:val="21"/>
                <w:lang w:val="es-ES"/>
              </w:rPr>
            </w:pPr>
          </w:p>
          <w:p w14:paraId="4913E56A" w14:textId="2816D3CF" w:rsidR="00B260D5" w:rsidRDefault="00B260D5" w:rsidP="00B260D5">
            <w:pPr>
              <w:shd w:val="clear" w:color="auto" w:fill="FFFFFF" w:themeFill="background1"/>
              <w:rPr>
                <w:rFonts w:cstheme="minorHAnsi"/>
                <w:bCs/>
                <w:sz w:val="16"/>
                <w:szCs w:val="21"/>
                <w:lang w:val="es-ES"/>
              </w:rPr>
            </w:pPr>
          </w:p>
          <w:p w14:paraId="0EC870D6" w14:textId="77777777" w:rsidR="00B260D5" w:rsidRDefault="00B260D5" w:rsidP="00B260D5">
            <w:pPr>
              <w:shd w:val="clear" w:color="auto" w:fill="FFFFFF" w:themeFill="background1"/>
              <w:rPr>
                <w:rFonts w:cstheme="minorHAnsi"/>
                <w:bCs/>
                <w:sz w:val="16"/>
                <w:szCs w:val="21"/>
                <w:lang w:val="es-ES"/>
              </w:rPr>
            </w:pPr>
          </w:p>
          <w:p w14:paraId="0DF9EEDC" w14:textId="30DC9382" w:rsidR="00B260D5" w:rsidRPr="00B260D5" w:rsidRDefault="00B260D5" w:rsidP="00855841">
            <w:pPr>
              <w:rPr>
                <w:rFonts w:cstheme="minorHAnsi"/>
                <w:bCs/>
                <w:sz w:val="16"/>
                <w:szCs w:val="21"/>
                <w:lang w:val="es-ES"/>
              </w:rPr>
            </w:pPr>
          </w:p>
        </w:tc>
        <w:tc>
          <w:tcPr>
            <w:tcW w:w="2070" w:type="dxa"/>
            <w:tcBorders>
              <w:left w:val="single" w:sz="4" w:space="0" w:color="auto"/>
              <w:right w:val="single" w:sz="4" w:space="0" w:color="auto"/>
            </w:tcBorders>
          </w:tcPr>
          <w:p w14:paraId="484D3507" w14:textId="77777777" w:rsidR="009D00B6" w:rsidRPr="00BA4ED3" w:rsidRDefault="009D00B6" w:rsidP="00855841">
            <w:pPr>
              <w:rPr>
                <w:rFonts w:cstheme="minorHAnsi"/>
                <w:bCs/>
                <w:sz w:val="16"/>
                <w:szCs w:val="21"/>
                <w:lang w:val="es-ES"/>
              </w:rPr>
            </w:pPr>
            <w:r w:rsidRPr="00BA4ED3">
              <w:rPr>
                <w:rFonts w:cstheme="minorHAnsi"/>
                <w:bCs/>
                <w:sz w:val="16"/>
                <w:szCs w:val="21"/>
                <w:lang w:val="es-ES"/>
              </w:rPr>
              <w:t xml:space="preserve">.1 Desarrollo de un plan de comunicación y rendición de cuentas a los beneficiarios  </w:t>
            </w:r>
          </w:p>
          <w:p w14:paraId="54F835D8" w14:textId="77777777" w:rsidR="009D00B6" w:rsidRPr="00BA4ED3" w:rsidRDefault="009D00B6" w:rsidP="00855841">
            <w:pPr>
              <w:rPr>
                <w:rFonts w:cstheme="minorHAnsi"/>
                <w:bCs/>
                <w:sz w:val="16"/>
                <w:szCs w:val="21"/>
                <w:lang w:val="es-ES"/>
              </w:rPr>
            </w:pPr>
            <w:r w:rsidRPr="00BA4ED3">
              <w:rPr>
                <w:rFonts w:cstheme="minorHAnsi"/>
                <w:bCs/>
                <w:sz w:val="16"/>
                <w:szCs w:val="21"/>
                <w:lang w:val="es-ES"/>
              </w:rPr>
              <w:t xml:space="preserve">.2 Fortalecimiento de la capacidad del personal  </w:t>
            </w:r>
          </w:p>
          <w:p w14:paraId="51367350" w14:textId="77777777" w:rsidR="009D00B6" w:rsidRPr="00BA4ED3" w:rsidRDefault="009D00B6" w:rsidP="00855841">
            <w:pPr>
              <w:rPr>
                <w:rFonts w:cstheme="minorHAnsi"/>
                <w:bCs/>
                <w:sz w:val="16"/>
                <w:szCs w:val="21"/>
                <w:lang w:val="es-ES"/>
              </w:rPr>
            </w:pPr>
            <w:r w:rsidRPr="00BA4ED3">
              <w:rPr>
                <w:rFonts w:cstheme="minorHAnsi"/>
                <w:bCs/>
                <w:sz w:val="16"/>
                <w:szCs w:val="21"/>
                <w:lang w:val="es-ES"/>
              </w:rPr>
              <w:t xml:space="preserve">.3 Selección de los canales y las herramientas de comunicación  </w:t>
            </w:r>
          </w:p>
          <w:p w14:paraId="30F2A7B8" w14:textId="77777777" w:rsidR="009D00B6" w:rsidRPr="00BA4ED3" w:rsidRDefault="009D00B6" w:rsidP="00855841">
            <w:pPr>
              <w:rPr>
                <w:rFonts w:cstheme="minorHAnsi"/>
                <w:bCs/>
                <w:sz w:val="16"/>
                <w:szCs w:val="21"/>
                <w:lang w:val="es-ES"/>
              </w:rPr>
            </w:pPr>
            <w:r w:rsidRPr="00BA4ED3">
              <w:rPr>
                <w:rFonts w:cstheme="minorHAnsi"/>
                <w:bCs/>
                <w:sz w:val="16"/>
                <w:szCs w:val="21"/>
                <w:lang w:val="es-ES"/>
              </w:rPr>
              <w:t>.4 Desarrollo de mensajes para la audiencia diana</w:t>
            </w:r>
          </w:p>
          <w:p w14:paraId="681907A5" w14:textId="77777777" w:rsidR="009D00B6" w:rsidRPr="00BA4ED3" w:rsidRDefault="009D00B6" w:rsidP="00855841">
            <w:pPr>
              <w:rPr>
                <w:rFonts w:cstheme="minorHAnsi"/>
                <w:bCs/>
                <w:sz w:val="16"/>
                <w:szCs w:val="21"/>
                <w:lang w:val="es-ES"/>
              </w:rPr>
            </w:pPr>
            <w:r w:rsidRPr="00BA4ED3">
              <w:rPr>
                <w:rFonts w:cstheme="minorHAnsi"/>
                <w:bCs/>
                <w:sz w:val="16"/>
                <w:szCs w:val="21"/>
                <w:lang w:val="es-ES"/>
              </w:rPr>
              <w:t xml:space="preserve">.5 Desarrollo de un mecanismo de retroalimentación </w:t>
            </w:r>
            <w:r>
              <w:rPr>
                <w:rFonts w:cstheme="minorHAnsi"/>
                <w:bCs/>
                <w:sz w:val="16"/>
                <w:szCs w:val="21"/>
                <w:lang w:val="es-ES"/>
              </w:rPr>
              <w:t xml:space="preserve">y respuesta a quejas </w:t>
            </w:r>
          </w:p>
          <w:p w14:paraId="234741ED" w14:textId="77777777" w:rsidR="009D00B6" w:rsidRPr="00BA4ED3" w:rsidRDefault="009D00B6" w:rsidP="00855841">
            <w:pPr>
              <w:rPr>
                <w:rFonts w:cstheme="minorHAnsi"/>
                <w:bCs/>
                <w:sz w:val="16"/>
                <w:szCs w:val="21"/>
                <w:lang w:val="es-ES"/>
              </w:rPr>
            </w:pPr>
            <w:r w:rsidRPr="00BA4ED3">
              <w:rPr>
                <w:rFonts w:cstheme="minorHAnsi"/>
                <w:bCs/>
                <w:sz w:val="16"/>
                <w:szCs w:val="21"/>
                <w:lang w:val="es-ES"/>
              </w:rPr>
              <w:t>.6 Revisión y aprendizaje</w:t>
            </w:r>
          </w:p>
        </w:tc>
        <w:tc>
          <w:tcPr>
            <w:tcW w:w="1800" w:type="dxa"/>
            <w:tcBorders>
              <w:left w:val="single" w:sz="4" w:space="0" w:color="auto"/>
              <w:right w:val="single" w:sz="4" w:space="0" w:color="auto"/>
            </w:tcBorders>
            <w:shd w:val="clear" w:color="auto" w:fill="00B0F0"/>
          </w:tcPr>
          <w:p w14:paraId="7FB8D3AC" w14:textId="77777777" w:rsidR="009D00B6" w:rsidRPr="00B260D5" w:rsidRDefault="009D00B6" w:rsidP="00855841">
            <w:pPr>
              <w:rPr>
                <w:rFonts w:cstheme="minorHAnsi"/>
                <w:bCs/>
                <w:color w:val="FFFFFF" w:themeColor="background1"/>
                <w:sz w:val="16"/>
                <w:szCs w:val="21"/>
                <w:lang w:val="es-ES"/>
              </w:rPr>
            </w:pPr>
            <w:r>
              <w:rPr>
                <w:rFonts w:cstheme="minorHAnsi"/>
                <w:bCs/>
                <w:sz w:val="16"/>
                <w:szCs w:val="21"/>
                <w:lang w:val="es-ES"/>
              </w:rPr>
              <w:t>.</w:t>
            </w:r>
            <w:r w:rsidRPr="00B260D5">
              <w:rPr>
                <w:rFonts w:cstheme="minorHAnsi"/>
                <w:bCs/>
                <w:color w:val="FFFFFF" w:themeColor="background1"/>
                <w:sz w:val="16"/>
                <w:szCs w:val="21"/>
                <w:lang w:val="es-ES"/>
              </w:rPr>
              <w:t>1 Búsqueda de posibles proveedores de servicios</w:t>
            </w:r>
          </w:p>
          <w:p w14:paraId="709D5EA0" w14:textId="77777777" w:rsidR="009D00B6" w:rsidRPr="00B260D5" w:rsidRDefault="009D00B6" w:rsidP="00855841">
            <w:pPr>
              <w:rPr>
                <w:rFonts w:cstheme="minorHAnsi"/>
                <w:bCs/>
                <w:color w:val="FFFFFF" w:themeColor="background1"/>
                <w:sz w:val="16"/>
                <w:szCs w:val="21"/>
                <w:lang w:val="es-ES"/>
              </w:rPr>
            </w:pPr>
            <w:r w:rsidRPr="00B260D5">
              <w:rPr>
                <w:rFonts w:cstheme="minorHAnsi"/>
                <w:bCs/>
                <w:color w:val="FFFFFF" w:themeColor="background1"/>
                <w:sz w:val="16"/>
                <w:szCs w:val="21"/>
                <w:lang w:val="es-ES"/>
              </w:rPr>
              <w:t>.2 Proceso de licitación y selección del proveedor de servicios</w:t>
            </w:r>
          </w:p>
          <w:p w14:paraId="604404C1" w14:textId="77777777" w:rsidR="009D00B6" w:rsidRPr="00B260D5" w:rsidRDefault="009D00B6" w:rsidP="00855841">
            <w:pPr>
              <w:rPr>
                <w:rFonts w:cstheme="minorHAnsi"/>
                <w:bCs/>
                <w:color w:val="FFFFFF" w:themeColor="background1"/>
                <w:sz w:val="16"/>
                <w:szCs w:val="21"/>
                <w:lang w:val="es-ES"/>
              </w:rPr>
            </w:pPr>
            <w:r w:rsidRPr="00B260D5">
              <w:rPr>
                <w:rFonts w:cstheme="minorHAnsi"/>
                <w:bCs/>
                <w:color w:val="FFFFFF" w:themeColor="background1"/>
                <w:sz w:val="16"/>
                <w:szCs w:val="21"/>
                <w:lang w:val="es-ES"/>
              </w:rPr>
              <w:t>.3 Contrato y definición del modo de trabajo</w:t>
            </w:r>
          </w:p>
          <w:p w14:paraId="2C7737DB" w14:textId="77777777" w:rsidR="009D00B6" w:rsidRPr="00B260D5" w:rsidRDefault="009D00B6" w:rsidP="00855841">
            <w:pPr>
              <w:rPr>
                <w:rFonts w:cstheme="minorHAnsi"/>
                <w:bCs/>
                <w:color w:val="FFFFFF" w:themeColor="background1"/>
                <w:sz w:val="16"/>
                <w:szCs w:val="21"/>
                <w:lang w:val="es-ES"/>
              </w:rPr>
            </w:pPr>
            <w:r w:rsidRPr="00B260D5">
              <w:rPr>
                <w:rFonts w:cstheme="minorHAnsi"/>
                <w:bCs/>
                <w:color w:val="FFFFFF" w:themeColor="background1"/>
                <w:sz w:val="16"/>
                <w:szCs w:val="21"/>
                <w:lang w:val="es-ES"/>
              </w:rPr>
              <w:t xml:space="preserve">.4 Gestión y protección de datos de los beneficiarios </w:t>
            </w:r>
          </w:p>
          <w:p w14:paraId="74A69AEE" w14:textId="77777777" w:rsidR="009D00B6" w:rsidRPr="00BA4ED3" w:rsidRDefault="009D00B6" w:rsidP="00855841">
            <w:pPr>
              <w:rPr>
                <w:rFonts w:cstheme="minorHAnsi"/>
                <w:bCs/>
                <w:sz w:val="16"/>
                <w:szCs w:val="21"/>
                <w:lang w:val="es-ES"/>
              </w:rPr>
            </w:pPr>
          </w:p>
        </w:tc>
        <w:tc>
          <w:tcPr>
            <w:tcW w:w="1980" w:type="dxa"/>
            <w:tcBorders>
              <w:left w:val="single" w:sz="4" w:space="0" w:color="auto"/>
              <w:right w:val="single" w:sz="4" w:space="0" w:color="auto"/>
            </w:tcBorders>
          </w:tcPr>
          <w:p w14:paraId="36929C84" w14:textId="77777777" w:rsidR="009D00B6" w:rsidRPr="00DB5E28" w:rsidRDefault="009D00B6" w:rsidP="00855841">
            <w:pPr>
              <w:rPr>
                <w:rFonts w:cstheme="minorHAnsi"/>
                <w:bCs/>
                <w:sz w:val="16"/>
                <w:szCs w:val="21"/>
                <w:lang w:val="es-ES"/>
              </w:rPr>
            </w:pPr>
            <w:r>
              <w:rPr>
                <w:rFonts w:cstheme="minorHAnsi"/>
                <w:bCs/>
                <w:sz w:val="16"/>
                <w:szCs w:val="21"/>
                <w:lang w:val="es-ES"/>
              </w:rPr>
              <w:t xml:space="preserve">.1 </w:t>
            </w:r>
            <w:r w:rsidRPr="00DB5E28">
              <w:rPr>
                <w:rFonts w:cstheme="minorHAnsi"/>
                <w:bCs/>
                <w:sz w:val="16"/>
                <w:szCs w:val="21"/>
                <w:lang w:val="es-ES"/>
              </w:rPr>
              <w:t>Planificación y preparación del registro</w:t>
            </w:r>
          </w:p>
          <w:p w14:paraId="318B37C4" w14:textId="77777777" w:rsidR="009D00B6" w:rsidRPr="00BA4ED3" w:rsidRDefault="009D00B6" w:rsidP="00855841">
            <w:pPr>
              <w:rPr>
                <w:rFonts w:cstheme="minorHAnsi"/>
                <w:bCs/>
                <w:sz w:val="16"/>
                <w:szCs w:val="21"/>
                <w:lang w:val="es-ES"/>
              </w:rPr>
            </w:pPr>
            <w:r w:rsidRPr="00DB5E28">
              <w:rPr>
                <w:rFonts w:cstheme="minorHAnsi"/>
                <w:bCs/>
                <w:sz w:val="16"/>
                <w:szCs w:val="21"/>
                <w:lang w:val="es-ES"/>
              </w:rPr>
              <w:t xml:space="preserve">.2 Identificación y autentificación  </w:t>
            </w:r>
          </w:p>
        </w:tc>
        <w:tc>
          <w:tcPr>
            <w:tcW w:w="2364" w:type="dxa"/>
            <w:tcBorders>
              <w:left w:val="single" w:sz="4" w:space="0" w:color="auto"/>
              <w:right w:val="single" w:sz="4" w:space="0" w:color="auto"/>
            </w:tcBorders>
          </w:tcPr>
          <w:p w14:paraId="44E71C71" w14:textId="77777777" w:rsidR="009D00B6" w:rsidRPr="00DB5E28" w:rsidRDefault="009D00B6" w:rsidP="00855841">
            <w:pPr>
              <w:rPr>
                <w:rFonts w:cstheme="minorHAnsi"/>
                <w:bCs/>
                <w:sz w:val="16"/>
                <w:szCs w:val="21"/>
                <w:lang w:val="es-ES"/>
              </w:rPr>
            </w:pPr>
            <w:r>
              <w:rPr>
                <w:rFonts w:cstheme="minorHAnsi"/>
                <w:bCs/>
                <w:sz w:val="16"/>
                <w:szCs w:val="21"/>
                <w:lang w:val="es-ES"/>
              </w:rPr>
              <w:t xml:space="preserve">.1 </w:t>
            </w:r>
            <w:r w:rsidRPr="00DB5E28">
              <w:rPr>
                <w:rFonts w:cstheme="minorHAnsi"/>
                <w:bCs/>
                <w:sz w:val="16"/>
                <w:szCs w:val="21"/>
                <w:lang w:val="es-ES"/>
              </w:rPr>
              <w:t>Formación y comunicación</w:t>
            </w:r>
          </w:p>
          <w:p w14:paraId="713AE467" w14:textId="77777777" w:rsidR="009D00B6" w:rsidRPr="00DB5E28" w:rsidRDefault="009D00B6" w:rsidP="00855841">
            <w:pPr>
              <w:rPr>
                <w:rFonts w:cstheme="minorHAnsi"/>
                <w:bCs/>
                <w:sz w:val="16"/>
                <w:szCs w:val="21"/>
                <w:lang w:val="es-ES"/>
              </w:rPr>
            </w:pPr>
            <w:r w:rsidRPr="00DB5E28">
              <w:rPr>
                <w:rFonts w:cstheme="minorHAnsi"/>
                <w:bCs/>
                <w:sz w:val="16"/>
                <w:szCs w:val="21"/>
                <w:lang w:val="es-ES"/>
              </w:rPr>
              <w:t xml:space="preserve">.2 Planificación e implementación de las distribuciones  </w:t>
            </w:r>
          </w:p>
          <w:p w14:paraId="7B593CF3" w14:textId="77777777" w:rsidR="009D00B6" w:rsidRPr="00DB5E28" w:rsidRDefault="009D00B6" w:rsidP="00855841">
            <w:pPr>
              <w:autoSpaceDE w:val="0"/>
              <w:autoSpaceDN w:val="0"/>
              <w:adjustRightInd w:val="0"/>
              <w:rPr>
                <w:rFonts w:cstheme="minorHAnsi"/>
                <w:bCs/>
                <w:sz w:val="16"/>
                <w:szCs w:val="21"/>
                <w:lang w:val="es-ES"/>
              </w:rPr>
            </w:pPr>
            <w:r w:rsidRPr="00DB5E28">
              <w:rPr>
                <w:rFonts w:cstheme="minorHAnsi"/>
                <w:bCs/>
                <w:sz w:val="16"/>
                <w:szCs w:val="21"/>
                <w:lang w:val="es-ES"/>
              </w:rPr>
              <w:t>.3 Planificación de la conversión a efectivo</w:t>
            </w:r>
          </w:p>
          <w:p w14:paraId="29842818" w14:textId="77777777" w:rsidR="009D00B6" w:rsidRPr="00BA4ED3" w:rsidRDefault="009D00B6" w:rsidP="00855841">
            <w:pPr>
              <w:rPr>
                <w:rFonts w:cstheme="minorHAnsi"/>
                <w:bCs/>
                <w:sz w:val="16"/>
                <w:szCs w:val="21"/>
                <w:lang w:val="es-ES"/>
              </w:rPr>
            </w:pPr>
            <w:r>
              <w:rPr>
                <w:rFonts w:cstheme="minorHAnsi"/>
                <w:bCs/>
                <w:sz w:val="16"/>
                <w:szCs w:val="21"/>
                <w:lang w:val="es-ES"/>
              </w:rPr>
              <w:t xml:space="preserve">.4 </w:t>
            </w:r>
            <w:r w:rsidRPr="00DB5E28">
              <w:rPr>
                <w:rFonts w:cstheme="minorHAnsi"/>
                <w:bCs/>
                <w:sz w:val="16"/>
                <w:szCs w:val="21"/>
                <w:lang w:val="es-ES"/>
              </w:rPr>
              <w:t>Implementación de la conversión a efectivo</w:t>
            </w:r>
          </w:p>
        </w:tc>
      </w:tr>
    </w:tbl>
    <w:p w14:paraId="62D4974F" w14:textId="77777777" w:rsidR="009D00B6" w:rsidRDefault="009D00B6" w:rsidP="009D00B6">
      <w:pPr>
        <w:pStyle w:val="H1"/>
        <w:rPr>
          <w:lang w:val="es-ES_tradnl"/>
        </w:rPr>
      </w:pPr>
    </w:p>
    <w:p w14:paraId="10BDA6F7" w14:textId="77777777" w:rsidR="009D00B6" w:rsidRPr="00984401" w:rsidRDefault="009D00B6" w:rsidP="009D00B6">
      <w:pPr>
        <w:pStyle w:val="H1"/>
        <w:rPr>
          <w:lang w:val="es-ES_tradnl"/>
        </w:rPr>
      </w:pPr>
    </w:p>
    <w:p w14:paraId="56BB0F78" w14:textId="77777777" w:rsidR="009D00B6" w:rsidRPr="00984401" w:rsidRDefault="009D00B6" w:rsidP="009D00B6">
      <w:pPr>
        <w:pStyle w:val="Heading2"/>
        <w:rPr>
          <w:lang w:val="es-ES_tradnl"/>
        </w:rPr>
      </w:pPr>
      <w:r w:rsidRPr="00984401">
        <w:rPr>
          <w:lang w:val="es-ES_tradnl"/>
        </w:rPr>
        <w:t xml:space="preserve">INTRODUCCIÓN </w:t>
      </w:r>
    </w:p>
    <w:p w14:paraId="614D6235" w14:textId="77777777" w:rsidR="009D00B6" w:rsidRPr="00984401" w:rsidRDefault="009D00B6" w:rsidP="009D00B6">
      <w:pPr>
        <w:rPr>
          <w:lang w:val="es-ES_tradnl"/>
        </w:rPr>
      </w:pPr>
      <w:r w:rsidRPr="00984401">
        <w:rPr>
          <w:lang w:val="es-ES_tradnl"/>
        </w:rPr>
        <w:t>Esta hoja de ruta guía a través del proceso de selección y contratación de socios apropiados. La alianza establecida con asociados en la implementación y con los proveedores de servicios que tienen la responsabilidad de la distribución de dinero en efectivo a los beneficiarios es muy importante para el éxito de los PTE.</w:t>
      </w:r>
    </w:p>
    <w:p w14:paraId="70BD6F81" w14:textId="77777777" w:rsidR="009D00B6" w:rsidRPr="00984401" w:rsidRDefault="009D00B6" w:rsidP="009D00B6">
      <w:pPr>
        <w:rPr>
          <w:lang w:val="es-ES_tradnl"/>
        </w:rPr>
      </w:pPr>
      <w:r w:rsidRPr="00984401">
        <w:rPr>
          <w:lang w:val="es-ES_tradnl"/>
        </w:rPr>
        <w:t xml:space="preserve">La hoja de ruta también ofrece sugerencias sobre qué herramientas de </w:t>
      </w:r>
      <w:r w:rsidRPr="00984401">
        <w:rPr>
          <w:rStyle w:val="PageNumber"/>
          <w:bCs/>
          <w:szCs w:val="16"/>
          <w:lang w:val="es-ES_tradnl"/>
        </w:rPr>
        <w:t>Ia</w:t>
      </w:r>
      <w:r w:rsidRPr="00984401">
        <w:rPr>
          <w:rStyle w:val="PageNumber"/>
          <w:color w:val="FF0000"/>
          <w:szCs w:val="16"/>
          <w:lang w:val="es-ES_tradnl"/>
        </w:rPr>
        <w:t xml:space="preserve"> </w:t>
      </w:r>
      <w:r w:rsidRPr="00984401">
        <w:rPr>
          <w:szCs w:val="16"/>
          <w:lang w:val="es-ES_tradnl"/>
        </w:rPr>
        <w:t>Caja de Herramientas para PTE en emergencias</w:t>
      </w:r>
      <w:r w:rsidRPr="00984401">
        <w:rPr>
          <w:lang w:val="es-ES_tradnl"/>
        </w:rPr>
        <w:t xml:space="preserve"> son más útiles para esta etapa y sub-etapas. Las herramientas tendrán que ser adaptadas a las necesid</w:t>
      </w:r>
      <w:bookmarkStart w:id="0" w:name="_GoBack"/>
      <w:bookmarkEnd w:id="0"/>
      <w:r w:rsidRPr="00984401">
        <w:rPr>
          <w:lang w:val="es-ES_tradnl"/>
        </w:rPr>
        <w:t xml:space="preserve">ades y al contexto. </w:t>
      </w:r>
    </w:p>
    <w:p w14:paraId="2E6BA96A" w14:textId="77777777" w:rsidR="009D00B6" w:rsidRPr="00984401" w:rsidRDefault="009D00B6" w:rsidP="009D00B6">
      <w:pPr>
        <w:rPr>
          <w:lang w:val="es-ES_tradnl"/>
        </w:rPr>
      </w:pPr>
      <w:r w:rsidRPr="00984401">
        <w:rPr>
          <w:lang w:val="es-ES_tradnl"/>
        </w:rPr>
        <w:lastRenderedPageBreak/>
        <w:t>Siempre se debe tratar de cumplir con los estándares mínimos que figuran en esta etapa, ya que esto contribuirá a la calidad de su intervención con PTE.</w:t>
      </w:r>
    </w:p>
    <w:p w14:paraId="734F2398" w14:textId="77777777" w:rsidR="009D00B6" w:rsidRPr="00984401" w:rsidRDefault="009D00B6" w:rsidP="009D00B6">
      <w:pPr>
        <w:rPr>
          <w:lang w:val="es-ES_tradnl"/>
        </w:rPr>
      </w:pPr>
      <w:r w:rsidRPr="00984401">
        <w:rPr>
          <w:lang w:val="es-ES_tradnl"/>
        </w:rPr>
        <w:t xml:space="preserve">Es probable que se tenga que avanzar y retroceder entre las diferentes sub-etapas a la hora de guiar la toma de decisiones, ya que las informaciones y los procesos se completan y alimentan con cada una de las sub-etapas. </w:t>
      </w:r>
    </w:p>
    <w:p w14:paraId="3E156120" w14:textId="77777777" w:rsidR="009D00B6" w:rsidRPr="00984401" w:rsidRDefault="009D00B6" w:rsidP="009D00B6">
      <w:pPr>
        <w:rPr>
          <w:lang w:val="es-ES_tradnl"/>
        </w:rPr>
      </w:pPr>
      <w:r w:rsidRPr="00984401">
        <w:rPr>
          <w:lang w:val="es-ES_tradnl"/>
        </w:rPr>
        <w:t>Cuando se necesita una orientación más detallada sobre la selección y contratación de los socios adecuados, se pueden consultar los documentos de referencia sugeridos al final de esta hoja de ruta.</w:t>
      </w:r>
    </w:p>
    <w:p w14:paraId="553BD979" w14:textId="77777777" w:rsidR="009D00B6" w:rsidRPr="00984401" w:rsidRDefault="009D00B6" w:rsidP="009D00B6">
      <w:pPr>
        <w:rPr>
          <w:lang w:val="es-ES_tradnl"/>
        </w:rPr>
      </w:pPr>
    </w:p>
    <w:p w14:paraId="7412D06B" w14:textId="77777777" w:rsidR="009D00B6" w:rsidRPr="00984401" w:rsidRDefault="009D00B6" w:rsidP="009D00B6">
      <w:pPr>
        <w:pStyle w:val="Heading2"/>
        <w:rPr>
          <w:lang w:val="es-ES_tradnl"/>
        </w:rPr>
      </w:pPr>
      <w:r w:rsidRPr="00984401">
        <w:rPr>
          <w:lang w:val="es-ES_tradnl"/>
        </w:rPr>
        <w:t xml:space="preserve">ESTÁNDARES MÍNIMOS </w:t>
      </w:r>
    </w:p>
    <w:p w14:paraId="10D2946E" w14:textId="77777777" w:rsidR="009D00B6" w:rsidRPr="00984401" w:rsidRDefault="009D00B6" w:rsidP="009D00B6">
      <w:pPr>
        <w:pStyle w:val="Bullet1"/>
        <w:jc w:val="left"/>
        <w:rPr>
          <w:lang w:val="es-ES_tradnl"/>
        </w:rPr>
      </w:pPr>
      <w:r w:rsidRPr="00984401">
        <w:rPr>
          <w:lang w:val="es-ES_tradnl"/>
        </w:rPr>
        <w:t>Finanzas y logística deben participar en la selección y contratación de los posibles proveedores de servicios</w:t>
      </w:r>
    </w:p>
    <w:p w14:paraId="799507AA" w14:textId="77777777" w:rsidR="009D00B6" w:rsidRPr="00984401" w:rsidRDefault="009D00B6" w:rsidP="009D00B6">
      <w:pPr>
        <w:pStyle w:val="Bullet1"/>
        <w:jc w:val="left"/>
        <w:rPr>
          <w:lang w:val="es-ES_tradnl"/>
        </w:rPr>
      </w:pPr>
      <w:r w:rsidRPr="00984401">
        <w:rPr>
          <w:lang w:val="es-ES_tradnl"/>
        </w:rPr>
        <w:t>Los criterios de selección deben ser incluidos en los Términos de Referencia (TdR) en el proceso de licitación</w:t>
      </w:r>
    </w:p>
    <w:p w14:paraId="6553FE70" w14:textId="77777777" w:rsidR="009D00B6" w:rsidRPr="00984401" w:rsidRDefault="009D00B6" w:rsidP="009D00B6">
      <w:pPr>
        <w:pStyle w:val="Bullet1"/>
        <w:jc w:val="left"/>
        <w:rPr>
          <w:lang w:val="es-ES_tradnl"/>
        </w:rPr>
      </w:pPr>
      <w:r w:rsidRPr="00984401">
        <w:rPr>
          <w:lang w:val="es-ES_tradnl"/>
        </w:rPr>
        <w:t>Hay que asegurarse de que los contratos con los proveedores de servicios cumplan con los términos y condiciones generales de contratación</w:t>
      </w:r>
    </w:p>
    <w:p w14:paraId="62550E4A" w14:textId="77777777" w:rsidR="009D00B6" w:rsidRPr="00984401" w:rsidRDefault="009D00B6" w:rsidP="009D00B6">
      <w:pPr>
        <w:pStyle w:val="Heading2"/>
        <w:rPr>
          <w:lang w:val="es-ES_tradnl"/>
        </w:rPr>
      </w:pPr>
      <w:r w:rsidRPr="00984401">
        <w:rPr>
          <w:lang w:val="es-ES_tradnl"/>
        </w:rPr>
        <w:t>SUB-ETAPAS Y HERRAMIENTAS</w:t>
      </w:r>
    </w:p>
    <w:p w14:paraId="74121388" w14:textId="77777777" w:rsidR="009D00B6" w:rsidRPr="00984401" w:rsidRDefault="009D00B6" w:rsidP="009D00B6">
      <w:pPr>
        <w:rPr>
          <w:b/>
          <w:sz w:val="22"/>
          <w:szCs w:val="24"/>
          <w:lang w:val="es-ES_tradnl"/>
        </w:rPr>
      </w:pPr>
      <w:r w:rsidRPr="00984401">
        <w:rPr>
          <w:b/>
          <w:sz w:val="22"/>
          <w:szCs w:val="24"/>
          <w:lang w:val="es-ES_tradnl"/>
        </w:rPr>
        <w:t>Identificación y pre-selección de posibles proveedores de servicios</w:t>
      </w:r>
    </w:p>
    <w:p w14:paraId="748442C3" w14:textId="77777777" w:rsidR="009D00B6" w:rsidRPr="00984401" w:rsidRDefault="009D00B6" w:rsidP="009D00B6">
      <w:pPr>
        <w:rPr>
          <w:lang w:val="es-ES_tradnl"/>
        </w:rPr>
      </w:pPr>
      <w:r w:rsidRPr="00984401">
        <w:rPr>
          <w:lang w:val="es-ES_tradnl"/>
        </w:rPr>
        <w:t>Se debe considerar cuidadosamente la capacidad de los posibles proveedores de servicios para hacer frente a las transferencias de efectivo en situaciones de emergencia y los riesgos de trabajar con ellos. Puede haber sólo unos pocos proveedores de servicios viables entre los que elegir. Considere lo siguiente para ayudar a reducir su elenco de posibles proveedores:</w:t>
      </w:r>
    </w:p>
    <w:p w14:paraId="11022482"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cómo satisfacen las necesidades de la organización y de los beneficiarios previstos,</w:t>
      </w:r>
    </w:p>
    <w:p w14:paraId="1A3F57D6"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su cobertura geográfica,</w:t>
      </w:r>
    </w:p>
    <w:p w14:paraId="0B196099"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las comisiones que cobran, y</w:t>
      </w:r>
    </w:p>
    <w:p w14:paraId="679B755E"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la calidad del servicio que ofrecen.</w:t>
      </w:r>
    </w:p>
    <w:p w14:paraId="51F2824C" w14:textId="77777777" w:rsidR="009D00B6" w:rsidRPr="00984401" w:rsidRDefault="009D00B6" w:rsidP="009D00B6">
      <w:pPr>
        <w:rPr>
          <w:lang w:val="es-ES_tradnl"/>
        </w:rPr>
      </w:pPr>
      <w:r w:rsidRPr="00984401">
        <w:rPr>
          <w:lang w:val="es-ES_tradnl"/>
        </w:rPr>
        <w:t xml:space="preserve">Las herramientas de la sub-etapa pueden ayudarle a entender qué </w:t>
      </w:r>
      <w:r>
        <w:rPr>
          <w:lang w:val="es-ES_tradnl"/>
        </w:rPr>
        <w:t xml:space="preserve">debe </w:t>
      </w:r>
      <w:r w:rsidRPr="00984401">
        <w:rPr>
          <w:lang w:val="es-ES_tradnl"/>
        </w:rPr>
        <w:t>solicitar a prov</w:t>
      </w:r>
      <w:r>
        <w:rPr>
          <w:lang w:val="es-ES_tradnl"/>
        </w:rPr>
        <w:t>eedores de servicios</w:t>
      </w:r>
      <w:r w:rsidRPr="00984401">
        <w:rPr>
          <w:lang w:val="es-ES_tradnl"/>
        </w:rPr>
        <w:t xml:space="preserve">, para que puedan ser incluidos en el proceso de selección. </w:t>
      </w:r>
    </w:p>
    <w:p w14:paraId="5F7D6DB5" w14:textId="77777777" w:rsidR="009D00B6" w:rsidRPr="00984401" w:rsidRDefault="009D00B6" w:rsidP="009D00B6">
      <w:pPr>
        <w:rPr>
          <w:b/>
          <w:sz w:val="22"/>
          <w:szCs w:val="24"/>
          <w:lang w:val="es-ES_tradnl"/>
        </w:rPr>
      </w:pPr>
      <w:r w:rsidRPr="00984401">
        <w:rPr>
          <w:b/>
          <w:sz w:val="22"/>
          <w:szCs w:val="24"/>
          <w:lang w:val="es-ES_tradnl"/>
        </w:rPr>
        <w:t>Proceso de licitación y selección de proveedores de servicios</w:t>
      </w:r>
    </w:p>
    <w:p w14:paraId="69E69942" w14:textId="77777777" w:rsidR="009D00B6" w:rsidRPr="00984401" w:rsidRDefault="009D00B6" w:rsidP="009D00B6">
      <w:pPr>
        <w:rPr>
          <w:lang w:val="es-ES_tradnl"/>
        </w:rPr>
      </w:pPr>
      <w:r w:rsidRPr="00984401">
        <w:rPr>
          <w:lang w:val="es-ES_tradnl"/>
        </w:rPr>
        <w:t>Los próximos pasos dependerán de los protocolos de compra de la organización. Normalmente, la adquisición implica un proceso formal de licitación re</w:t>
      </w:r>
      <w:r>
        <w:rPr>
          <w:lang w:val="es-ES_tradnl"/>
        </w:rPr>
        <w:t>alizado por el departamento de l</w:t>
      </w:r>
      <w:r w:rsidRPr="00984401">
        <w:rPr>
          <w:lang w:val="es-ES_tradnl"/>
        </w:rPr>
        <w:t xml:space="preserve">ogística. Como los posibles proveedores de servicios habrán sido identificados, pre-seleccionados y estudiados en detalle, muy probablemente, sólo se llevará a cabo un proceso de licitación restringida a aquellos que pasaron la pre-selección inicial. Si sólo hay una opción viable, es probable que no se realice licitación. </w:t>
      </w:r>
    </w:p>
    <w:p w14:paraId="4E927761" w14:textId="77777777" w:rsidR="009D00B6" w:rsidRPr="00984401" w:rsidRDefault="009D00B6" w:rsidP="009D00B6">
      <w:pPr>
        <w:rPr>
          <w:lang w:val="es-ES_tradnl"/>
        </w:rPr>
      </w:pPr>
      <w:r w:rsidRPr="00984401">
        <w:rPr>
          <w:lang w:val="es-ES_tradnl"/>
        </w:rPr>
        <w:t>Los Términos de Referencia (TdR) elaborados para el proceso de licitación deben incluir el propósito del servicio solicitado; las tareas o servicios que se deben llevar a cabo y los entregables, los estándares de calidad y el apoyo proporcionado por la organización contratante. El contenido de la propuesta técnica y los criterios de evaluación deben ser descritos en los anexos. En las herramientas de las sub-etapas, se encuentra una plantilla de TdR.</w:t>
      </w:r>
    </w:p>
    <w:p w14:paraId="63FAAE7C" w14:textId="77777777" w:rsidR="009D00B6" w:rsidRPr="00984401" w:rsidRDefault="009D00B6" w:rsidP="009D00B6">
      <w:pPr>
        <w:rPr>
          <w:lang w:val="es-ES_tradnl"/>
        </w:rPr>
      </w:pPr>
      <w:r w:rsidRPr="00984401">
        <w:rPr>
          <w:lang w:val="es-ES_tradnl"/>
        </w:rPr>
        <w:t xml:space="preserve">La evaluación de las propuestas debe basarse en los criterios compartidos con los participantes del concurso en los términos de referencia, e involucrar a finanzas y al personal de </w:t>
      </w:r>
      <w:r>
        <w:rPr>
          <w:lang w:val="es-ES_tradnl"/>
        </w:rPr>
        <w:t xml:space="preserve">técnicas de la </w:t>
      </w:r>
      <w:r w:rsidRPr="00984401">
        <w:rPr>
          <w:lang w:val="es-ES_tradnl"/>
        </w:rPr>
        <w:t>I</w:t>
      </w:r>
      <w:r>
        <w:rPr>
          <w:lang w:val="es-ES_tradnl"/>
        </w:rPr>
        <w:t>nformación (infórmatica)</w:t>
      </w:r>
      <w:r w:rsidRPr="00984401">
        <w:rPr>
          <w:lang w:val="es-ES_tradnl"/>
        </w:rPr>
        <w:t xml:space="preserve"> en el proceso para que tengan en cuenta todos los criterios:</w:t>
      </w:r>
    </w:p>
    <w:p w14:paraId="2304BA9E"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costes, </w:t>
      </w:r>
    </w:p>
    <w:p w14:paraId="077804A3"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velocidad, </w:t>
      </w:r>
    </w:p>
    <w:p w14:paraId="22568E66"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la flexibilidad del proveedor de servicios para satisfacer las necesidades del proyecto,</w:t>
      </w:r>
    </w:p>
    <w:p w14:paraId="6DA1A6D5"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la facilidad de comunicación y coordinación con ellos</w:t>
      </w:r>
      <w:r>
        <w:rPr>
          <w:lang w:val="es-ES_tradnl"/>
        </w:rPr>
        <w:t>,</w:t>
      </w:r>
    </w:p>
    <w:p w14:paraId="6D8A3A07"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la capacidad para proporcionar apoyo técnico y</w:t>
      </w:r>
    </w:p>
    <w:p w14:paraId="6AE11A19"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cualquier problema o peligro identificado en la fase de investigación. </w:t>
      </w:r>
    </w:p>
    <w:p w14:paraId="58B31F27" w14:textId="77777777" w:rsidR="009D00B6" w:rsidRPr="00984401" w:rsidRDefault="009D00B6" w:rsidP="009D00B6">
      <w:pPr>
        <w:pStyle w:val="Heading3"/>
        <w:rPr>
          <w:lang w:val="es-ES_tradnl"/>
        </w:rPr>
      </w:pPr>
      <w:r w:rsidRPr="00984401">
        <w:rPr>
          <w:lang w:val="es-ES_tradnl"/>
        </w:rPr>
        <w:lastRenderedPageBreak/>
        <w:t>Contrato y definición de las formas de trabajo</w:t>
      </w:r>
    </w:p>
    <w:p w14:paraId="6ABEEE90" w14:textId="77777777" w:rsidR="009D00B6" w:rsidRPr="00984401" w:rsidRDefault="009D00B6" w:rsidP="009D00B6">
      <w:pPr>
        <w:rPr>
          <w:lang w:val="es-ES_tradnl"/>
        </w:rPr>
      </w:pPr>
      <w:r w:rsidRPr="00984401">
        <w:rPr>
          <w:lang w:val="es-ES_tradnl"/>
        </w:rPr>
        <w:t>Hay diferentes formas de asociarse legalmente con un proveedor de servicios. Lo más probable es que tendrá una plantilla de contrato, que puede ser adaptado con unos pocos ajustes menores. Dependiendo de la relación con el proveedor de servicios y la naturaleza del programa, es posible que prefiera utilizar una simple carta de acuerdo. En la mayoría de los casos, sin embargo, el proveedor de servicios, sobre todo si se trata de un banco o una empresa de telefonía móvil, tendrá una plantilla de contrato de servicio estándar. En este caso, asegúrese de que las cuestiones organizativas y programáticas pertinentes se están abordando. En las herramientas de las sub-etapas se encuentra un modelo de contrato de servicios, así como las listas de los términos y condiciones generales de todos los contratos de servicios y los requisitos mínimos de contrato para un proveedor de servicio de transferencia electrónica.</w:t>
      </w:r>
    </w:p>
    <w:p w14:paraId="39D2EA85" w14:textId="77777777" w:rsidR="009D00B6" w:rsidRPr="00984401" w:rsidRDefault="009D00B6" w:rsidP="009D00B6">
      <w:pPr>
        <w:pStyle w:val="Heading3"/>
        <w:rPr>
          <w:lang w:val="es-ES_tradnl"/>
        </w:rPr>
      </w:pPr>
      <w:r w:rsidRPr="00984401">
        <w:rPr>
          <w:lang w:val="es-ES_tradnl"/>
        </w:rPr>
        <w:t>Gestión y protección de datos del beneficiario</w:t>
      </w:r>
    </w:p>
    <w:p w14:paraId="6B7BD2D8" w14:textId="77777777" w:rsidR="009D00B6" w:rsidRPr="00984401" w:rsidRDefault="009D00B6" w:rsidP="009D00B6">
      <w:pPr>
        <w:pStyle w:val="Bullet2"/>
        <w:numPr>
          <w:ilvl w:val="0"/>
          <w:numId w:val="0"/>
        </w:numPr>
        <w:rPr>
          <w:rFonts w:eastAsiaTheme="minorEastAsia" w:cs="Times New Roman"/>
          <w:szCs w:val="20"/>
          <w:lang w:val="es-ES_tradnl"/>
        </w:rPr>
      </w:pPr>
      <w:r w:rsidRPr="00984401">
        <w:rPr>
          <w:rFonts w:eastAsiaTheme="minorEastAsia" w:cs="Times New Roman"/>
          <w:szCs w:val="20"/>
          <w:lang w:val="es-ES_tradnl"/>
        </w:rPr>
        <w:t>La gestión y protección de los datos del beneficiario es particularmente importante en las transferencias de dinero que implican un proveedor de servicios financieros. Se deben poner en marcha múltiples niveles de control alrededor de la recopilación, el uso, la divulgación y el almacenamiento de la información personal de los beneficiarios con el fin de abordar los riesgos relacionados con la privacidad, así como el fraude y los riesgos relacionados con el abuso. Los medios elegidos para la gestión y seguridad de los datos se verán influido por factores como:</w:t>
      </w:r>
    </w:p>
    <w:p w14:paraId="0854A334" w14:textId="77777777" w:rsidR="009D00B6" w:rsidRPr="00984401" w:rsidRDefault="009D00B6" w:rsidP="009D00B6">
      <w:pPr>
        <w:pStyle w:val="Bullet2"/>
        <w:numPr>
          <w:ilvl w:val="0"/>
          <w:numId w:val="0"/>
        </w:numPr>
        <w:ind w:left="720"/>
        <w:rPr>
          <w:rFonts w:eastAsiaTheme="minorEastAsia" w:cs="Times New Roman"/>
          <w:szCs w:val="20"/>
          <w:lang w:val="es-ES_tradnl"/>
        </w:rPr>
      </w:pPr>
    </w:p>
    <w:p w14:paraId="3205C9BF"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la legislación local, </w:t>
      </w:r>
    </w:p>
    <w:p w14:paraId="231985A5"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el tamaño del programa, </w:t>
      </w:r>
    </w:p>
    <w:p w14:paraId="2528DBF1"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los conocimientos técnicos y los recursos disponibles, y </w:t>
      </w:r>
    </w:p>
    <w:p w14:paraId="2B8A6D97" w14:textId="77777777" w:rsidR="009D00B6" w:rsidRPr="00984401" w:rsidRDefault="009D00B6" w:rsidP="009D00B6">
      <w:pPr>
        <w:pStyle w:val="Bullet2"/>
        <w:tabs>
          <w:tab w:val="left" w:pos="7230"/>
        </w:tabs>
        <w:spacing w:before="240" w:after="240"/>
        <w:contextualSpacing/>
        <w:rPr>
          <w:lang w:val="es-ES_tradnl"/>
        </w:rPr>
      </w:pPr>
      <w:r w:rsidRPr="00984401">
        <w:rPr>
          <w:lang w:val="es-ES_tradnl"/>
        </w:rPr>
        <w:t xml:space="preserve">los requisitos de los proveedores de servicios. </w:t>
      </w:r>
    </w:p>
    <w:p w14:paraId="789B06CE" w14:textId="77777777" w:rsidR="009D00B6" w:rsidRPr="00984401" w:rsidRDefault="009D00B6" w:rsidP="009D00B6">
      <w:pPr>
        <w:spacing w:after="360"/>
        <w:rPr>
          <w:lang w:val="es-ES_tradnl"/>
        </w:rPr>
      </w:pPr>
      <w:r w:rsidRPr="00984401">
        <w:rPr>
          <w:lang w:val="es-ES_tradnl"/>
        </w:rPr>
        <w:t xml:space="preserve">En las herramientas de las sub-etapas, se encuentran una serie de principios para la protección de datos y sugerencias sobre clausulas modelo de protección de datos. </w:t>
      </w:r>
    </w:p>
    <w:tbl>
      <w:tblPr>
        <w:tblStyle w:val="TableGray"/>
        <w:tblW w:w="0" w:type="auto"/>
        <w:tblLook w:val="04A0" w:firstRow="1" w:lastRow="0" w:firstColumn="1" w:lastColumn="0" w:noHBand="0" w:noVBand="1"/>
      </w:tblPr>
      <w:tblGrid>
        <w:gridCol w:w="9632"/>
      </w:tblGrid>
      <w:tr w:rsidR="009D00B6" w:rsidRPr="00984401" w14:paraId="4C89FF2F" w14:textId="77777777" w:rsidTr="00855841">
        <w:tc>
          <w:tcPr>
            <w:tcW w:w="9848" w:type="dxa"/>
          </w:tcPr>
          <w:p w14:paraId="6E60FB94" w14:textId="77777777" w:rsidR="009D00B6" w:rsidRPr="009D00B6" w:rsidRDefault="009D00B6" w:rsidP="00855841">
            <w:pPr>
              <w:pStyle w:val="RefTitre"/>
              <w:rPr>
                <w:lang w:val="en-GB"/>
              </w:rPr>
            </w:pPr>
            <w:r w:rsidRPr="009D00B6">
              <w:rPr>
                <w:lang w:val="en-GB"/>
              </w:rPr>
              <w:t xml:space="preserve">DOCUMENTOS DE REFERENCIA </w:t>
            </w:r>
          </w:p>
          <w:p w14:paraId="19A04897" w14:textId="77777777" w:rsidR="009D00B6" w:rsidRPr="009D00B6" w:rsidRDefault="009D00B6" w:rsidP="00855841">
            <w:pPr>
              <w:pStyle w:val="RefItem1"/>
              <w:rPr>
                <w:lang w:val="en-GB"/>
              </w:rPr>
            </w:pPr>
            <w:r w:rsidRPr="009D00B6">
              <w:rPr>
                <w:lang w:val="en-GB"/>
              </w:rPr>
              <w:t xml:space="preserve">USAID and NetHope Payment Innovations. e-Payment Toolkit. </w:t>
            </w:r>
            <w:hyperlink r:id="rId7" w:history="1">
              <w:r w:rsidRPr="009D00B6">
                <w:rPr>
                  <w:rStyle w:val="Hyperlink"/>
                  <w:lang w:val="en-GB"/>
                </w:rPr>
                <w:t>http://solutionscenter.nethope.org/programs/c2e-toolkit</w:t>
              </w:r>
            </w:hyperlink>
          </w:p>
          <w:p w14:paraId="350D8B05" w14:textId="77777777" w:rsidR="009D00B6" w:rsidRPr="009D00B6" w:rsidRDefault="009D00B6" w:rsidP="00855841">
            <w:pPr>
              <w:pStyle w:val="RefItem1"/>
              <w:rPr>
                <w:color w:val="0000FF"/>
                <w:u w:val="single"/>
                <w:lang w:val="en-GB"/>
              </w:rPr>
            </w:pPr>
            <w:r w:rsidRPr="009D00B6">
              <w:rPr>
                <w:lang w:val="en-GB"/>
              </w:rPr>
              <w:t xml:space="preserve">Working With Banks: A field guide to negotiating with banks in cash transfer programming (2011) CaLP </w:t>
            </w:r>
            <w:hyperlink r:id="rId8" w:history="1">
              <w:r w:rsidRPr="009D00B6">
                <w:rPr>
                  <w:rStyle w:val="Hyperlink"/>
                  <w:lang w:val="en-GB"/>
                </w:rPr>
                <w:t>http://www.cashlearning.org/resources/library/34-working-with-banks-a-field-guide-to-negotiating-with-banks-in-cash-transfer-programming-screen-version</w:t>
              </w:r>
            </w:hyperlink>
          </w:p>
          <w:p w14:paraId="639B0133" w14:textId="77777777" w:rsidR="009D00B6" w:rsidRPr="009D00B6" w:rsidRDefault="009D00B6" w:rsidP="00855841">
            <w:pPr>
              <w:pStyle w:val="RefItem1"/>
              <w:rPr>
                <w:rFonts w:eastAsiaTheme="minorHAnsi"/>
                <w:lang w:val="en-GB"/>
              </w:rPr>
            </w:pPr>
            <w:r w:rsidRPr="009D00B6">
              <w:rPr>
                <w:lang w:val="en-GB"/>
              </w:rPr>
              <w:t xml:space="preserve">E-transfers in emergencies: implementation support guidelines" 2013 CaLP </w:t>
            </w:r>
            <w:hyperlink r:id="rId9" w:history="1">
              <w:r w:rsidRPr="009D00B6">
                <w:rPr>
                  <w:rStyle w:val="Hyperlink"/>
                  <w:rFonts w:eastAsia="Times New Roman"/>
                  <w:sz w:val="22"/>
                  <w:szCs w:val="22"/>
                  <w:lang w:val="en-GB"/>
                </w:rPr>
                <w:t>http://www.cashlearning.org/resources/library/390-e-transfers-in-emergencies-implementation-support-guideline</w:t>
              </w:r>
            </w:hyperlink>
          </w:p>
        </w:tc>
      </w:tr>
    </w:tbl>
    <w:p w14:paraId="650F7900" w14:textId="77777777" w:rsidR="009D00B6" w:rsidRPr="009D00B6" w:rsidRDefault="009D00B6" w:rsidP="009D00B6">
      <w:pPr>
        <w:widowControl w:val="0"/>
        <w:autoSpaceDE w:val="0"/>
        <w:autoSpaceDN w:val="0"/>
        <w:adjustRightInd w:val="0"/>
        <w:rPr>
          <w:rFonts w:eastAsia="Times New Roman"/>
          <w:sz w:val="22"/>
          <w:szCs w:val="22"/>
          <w:lang w:val="en-GB"/>
        </w:rPr>
      </w:pPr>
    </w:p>
    <w:p w14:paraId="46EF555E" w14:textId="77777777" w:rsidR="00AF798D" w:rsidRPr="009D00B6" w:rsidRDefault="00AF798D" w:rsidP="00AF798D">
      <w:pPr>
        <w:rPr>
          <w:lang w:val="en-GB"/>
        </w:rPr>
      </w:pPr>
    </w:p>
    <w:p w14:paraId="35D38F95" w14:textId="56560FF6" w:rsidR="00DD22BC" w:rsidRPr="009D00B6" w:rsidRDefault="00DD22BC" w:rsidP="00AF798D">
      <w:pPr>
        <w:rPr>
          <w:lang w:val="en-GB"/>
        </w:rPr>
      </w:pPr>
    </w:p>
    <w:sectPr w:rsidR="00DD22BC" w:rsidRPr="009D00B6" w:rsidSect="00777F8F">
      <w:headerReference w:type="default" r:id="rId10"/>
      <w:footerReference w:type="default" r:id="rId11"/>
      <w:headerReference w:type="first" r:id="rId12"/>
      <w:footerReference w:type="first" r:id="rId13"/>
      <w:pgSz w:w="11900" w:h="16840"/>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3B39B" w14:textId="77777777" w:rsidR="003F7A35" w:rsidRDefault="003F7A35" w:rsidP="00856359">
      <w:r>
        <w:separator/>
      </w:r>
    </w:p>
  </w:endnote>
  <w:endnote w:type="continuationSeparator" w:id="0">
    <w:p w14:paraId="5DD5F946" w14:textId="77777777" w:rsidR="003F7A35" w:rsidRDefault="003F7A35" w:rsidP="0085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20236" w14:textId="13F9C6B0" w:rsidR="00777F8F" w:rsidRPr="00B45C74" w:rsidRDefault="00777F8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260D5">
      <w:rPr>
        <w:b/>
        <w:noProof/>
        <w:color w:val="808080" w:themeColor="background1" w:themeShade="80"/>
        <w:sz w:val="18"/>
        <w:szCs w:val="18"/>
      </w:rPr>
      <w:t>3</w:t>
    </w:r>
    <w:r w:rsidRPr="00B45C74">
      <w:rPr>
        <w:b/>
        <w:color w:val="808080" w:themeColor="background1" w:themeShade="80"/>
        <w:sz w:val="18"/>
        <w:szCs w:val="18"/>
      </w:rPr>
      <w:fldChar w:fldCharType="end"/>
    </w:r>
  </w:p>
  <w:p w14:paraId="3BCB817F" w14:textId="243552B3" w:rsidR="00777F8F" w:rsidRPr="00AF798D" w:rsidRDefault="00777F8F" w:rsidP="00ED1B2B">
    <w:pPr>
      <w:pStyle w:val="Footer"/>
      <w:rPr>
        <w:lang w:val="es-ES"/>
      </w:rPr>
    </w:pPr>
    <w:r w:rsidRPr="00C60125">
      <w:rPr>
        <w:b/>
        <w:lang w:val="es-ES"/>
      </w:rPr>
      <w:t>M</w:t>
    </w:r>
    <w:r w:rsidR="00C60125" w:rsidRPr="00C60125">
      <w:rPr>
        <w:b/>
        <w:lang w:val="es-ES"/>
      </w:rPr>
      <w:t>ódulo</w:t>
    </w:r>
    <w:r w:rsidRPr="00C60125">
      <w:rPr>
        <w:b/>
        <w:lang w:val="es-ES"/>
      </w:rPr>
      <w:t xml:space="preserve"> 5.</w:t>
    </w:r>
    <w:r w:rsidRPr="00C60125">
      <w:rPr>
        <w:lang w:val="es-ES"/>
      </w:rPr>
      <w:t xml:space="preserve"> </w:t>
    </w:r>
    <w:r w:rsidR="00C60125">
      <w:rPr>
        <w:lang w:val="es-ES"/>
      </w:rPr>
      <w:t>Etapa</w:t>
    </w:r>
    <w:r w:rsidRPr="00C60125">
      <w:rPr>
        <w:lang w:val="es-ES"/>
      </w:rPr>
      <w:t xml:space="preserve"> 2.</w:t>
    </w:r>
    <w:r w:rsidRPr="00AF798D">
      <w:rPr>
        <w:lang w:val="es-ES"/>
      </w:rPr>
      <w:t xml:space="preserve"> </w:t>
    </w:r>
    <w:r w:rsidR="009D00B6" w:rsidRPr="009D00B6">
      <w:rPr>
        <w:lang w:val="es-ES"/>
      </w:rPr>
      <w:t>Hoja de ruta para la selección y contratación de proveedores de servicios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A7D8" w14:textId="50EDA182" w:rsidR="00777F8F" w:rsidRPr="00B45C74" w:rsidRDefault="00777F8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260D5">
      <w:rPr>
        <w:b/>
        <w:noProof/>
        <w:color w:val="808080" w:themeColor="background1" w:themeShade="80"/>
        <w:sz w:val="18"/>
        <w:szCs w:val="18"/>
      </w:rPr>
      <w:t>1</w:t>
    </w:r>
    <w:r w:rsidRPr="00B45C74">
      <w:rPr>
        <w:b/>
        <w:color w:val="808080" w:themeColor="background1" w:themeShade="80"/>
        <w:sz w:val="18"/>
        <w:szCs w:val="18"/>
      </w:rPr>
      <w:fldChar w:fldCharType="end"/>
    </w:r>
  </w:p>
  <w:p w14:paraId="3A18064D" w14:textId="5C07C5E8" w:rsidR="00777F8F" w:rsidRPr="00777F8F" w:rsidRDefault="00B260D5" w:rsidP="00ED1B2B">
    <w:pPr>
      <w:pStyle w:val="Footer"/>
    </w:pPr>
    <w:r>
      <w:rPr>
        <w:b/>
      </w:rPr>
      <w:t>Módulo</w:t>
    </w:r>
    <w:r w:rsidR="00777F8F" w:rsidRPr="00107E15">
      <w:rPr>
        <w:b/>
      </w:rPr>
      <w:t xml:space="preserve"> </w:t>
    </w:r>
    <w:r>
      <w:rPr>
        <w:b/>
      </w:rPr>
      <w:t>4</w:t>
    </w:r>
    <w:r w:rsidR="00777F8F" w:rsidRPr="00107E15">
      <w:rPr>
        <w:b/>
      </w:rPr>
      <w:t>.</w:t>
    </w:r>
    <w:r>
      <w:t xml:space="preserve"> Etapa 3</w:t>
    </w:r>
    <w:r w:rsidR="00777F8F" w:rsidRPr="00107E15">
      <w:t>.</w:t>
    </w:r>
    <w:r w:rsidR="00777F8F">
      <w:t xml:space="preserve"> </w:t>
    </w:r>
    <w:r w:rsidR="003F7A35">
      <w:fldChar w:fldCharType="begin"/>
    </w:r>
    <w:r w:rsidR="003F7A35">
      <w:instrText xml:space="preserve"> STYLEREF  H1 \t  \* MERGEFORMAT </w:instrText>
    </w:r>
    <w:r w:rsidR="003F7A35">
      <w:fldChar w:fldCharType="separate"/>
    </w:r>
    <w:r w:rsidRPr="00B260D5">
      <w:rPr>
        <w:b/>
        <w:bCs/>
        <w:noProof/>
      </w:rPr>
      <w:t>Hoja de ruta para la selección y contratación</w:t>
    </w:r>
    <w:r>
      <w:rPr>
        <w:noProof/>
      </w:rPr>
      <w:t xml:space="preserve"> de proveedores de servicios</w:t>
    </w:r>
    <w:r w:rsidR="003F7A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79AC" w14:textId="77777777" w:rsidR="003F7A35" w:rsidRDefault="003F7A35" w:rsidP="00856359">
      <w:r>
        <w:separator/>
      </w:r>
    </w:p>
  </w:footnote>
  <w:footnote w:type="continuationSeparator" w:id="0">
    <w:p w14:paraId="6798926A" w14:textId="77777777" w:rsidR="003F7A35" w:rsidRDefault="003F7A35" w:rsidP="0085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4933" w14:textId="77777777" w:rsidR="00C60125" w:rsidRPr="006C1494" w:rsidRDefault="00C60125" w:rsidP="00C60125">
    <w:pPr>
      <w:pStyle w:val="Header"/>
      <w:rPr>
        <w:szCs w:val="16"/>
        <w:lang w:val="es-ES"/>
      </w:rPr>
    </w:pPr>
    <w:r w:rsidRPr="006C1494">
      <w:rPr>
        <w:rStyle w:val="Pantone485"/>
        <w:lang w:val="es-ES"/>
      </w:rPr>
      <w:t xml:space="preserve">Movimiento International de la Cruz Roja y de la Media Luna Roja I </w:t>
    </w:r>
    <w:r w:rsidRPr="00C60125">
      <w:rPr>
        <w:rStyle w:val="Pantone485"/>
        <w:color w:val="auto"/>
        <w:lang w:val="es-ES"/>
      </w:rPr>
      <w:t>Caja de herramientas para PTE en emergencias</w:t>
    </w:r>
  </w:p>
  <w:p w14:paraId="1538438F" w14:textId="7A9FC19B" w:rsidR="00777F8F" w:rsidRPr="00C60125" w:rsidRDefault="00777F8F" w:rsidP="00C60125">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386A" w14:textId="5CEFEC30" w:rsidR="00777F8F" w:rsidRDefault="00900492" w:rsidP="00050617">
    <w:pPr>
      <w:pStyle w:val="Header1"/>
    </w:pPr>
    <w:r w:rsidRPr="00900492">
      <w:rPr>
        <w:noProof/>
        <w:lang w:val="es-ES_tradnl" w:eastAsia="es-ES_tradnl"/>
      </w:rPr>
      <w:drawing>
        <wp:anchor distT="0" distB="0" distL="114300" distR="114300" simplePos="0" relativeHeight="251664896" behindDoc="0" locked="0" layoutInCell="1" allowOverlap="1" wp14:anchorId="0C84BE49" wp14:editId="6FF48BD1">
          <wp:simplePos x="0" y="0"/>
          <wp:positionH relativeFrom="column">
            <wp:posOffset>394335</wp:posOffset>
          </wp:positionH>
          <wp:positionV relativeFrom="paragraph">
            <wp:posOffset>129702</wp:posOffset>
          </wp:positionV>
          <wp:extent cx="596900" cy="685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R ESPAÑOL.jpg"/>
                  <pic:cNvPicPr/>
                </pic:nvPicPr>
                <pic:blipFill>
                  <a:blip r:embed="rId1">
                    <a:extLst>
                      <a:ext uri="{28A0092B-C50C-407E-A947-70E740481C1C}">
                        <a14:useLocalDpi xmlns:a14="http://schemas.microsoft.com/office/drawing/2010/main" val="0"/>
                      </a:ext>
                    </a:extLst>
                  </a:blip>
                  <a:stretch>
                    <a:fillRect/>
                  </a:stretch>
                </pic:blipFill>
                <pic:spPr>
                  <a:xfrm>
                    <a:off x="0" y="0"/>
                    <a:ext cx="596900" cy="685165"/>
                  </a:xfrm>
                  <a:prstGeom prst="rect">
                    <a:avLst/>
                  </a:prstGeom>
                </pic:spPr>
              </pic:pic>
            </a:graphicData>
          </a:graphic>
          <wp14:sizeRelH relativeFrom="page">
            <wp14:pctWidth>0</wp14:pctWidth>
          </wp14:sizeRelH>
          <wp14:sizeRelV relativeFrom="page">
            <wp14:pctHeight>0</wp14:pctHeight>
          </wp14:sizeRelV>
        </wp:anchor>
      </w:drawing>
    </w:r>
  </w:p>
  <w:p w14:paraId="14171540" w14:textId="49AF161B" w:rsidR="00777F8F" w:rsidRDefault="00777F8F" w:rsidP="00050617">
    <w:pPr>
      <w:pStyle w:val="Header1"/>
    </w:pPr>
  </w:p>
  <w:p w14:paraId="5496EA73" w14:textId="47069CFD" w:rsidR="00777F8F" w:rsidRDefault="00900492" w:rsidP="00CB38F7">
    <w:pPr>
      <w:pStyle w:val="Header"/>
      <w:rPr>
        <w:color w:val="DC281E"/>
        <w:sz w:val="24"/>
        <w:szCs w:val="24"/>
      </w:rPr>
    </w:pPr>
    <w:r w:rsidRPr="00900492">
      <w:rPr>
        <w:noProof/>
        <w:lang w:val="es-ES_tradnl" w:eastAsia="es-ES_tradnl"/>
      </w:rPr>
      <w:drawing>
        <wp:anchor distT="0" distB="0" distL="114300" distR="114300" simplePos="0" relativeHeight="251675136" behindDoc="0" locked="0" layoutInCell="1" allowOverlap="1" wp14:anchorId="0E126F70" wp14:editId="6C48C59A">
          <wp:simplePos x="0" y="0"/>
          <wp:positionH relativeFrom="column">
            <wp:posOffset>2623185</wp:posOffset>
          </wp:positionH>
          <wp:positionV relativeFrom="paragraph">
            <wp:posOffset>57312</wp:posOffset>
          </wp:positionV>
          <wp:extent cx="330200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RC.jpg"/>
                  <pic:cNvPicPr/>
                </pic:nvPicPr>
                <pic:blipFill>
                  <a:blip r:embed="rId2">
                    <a:extLst>
                      <a:ext uri="{28A0092B-C50C-407E-A947-70E740481C1C}">
                        <a14:useLocalDpi xmlns:a14="http://schemas.microsoft.com/office/drawing/2010/main" val="0"/>
                      </a:ext>
                    </a:extLst>
                  </a:blip>
                  <a:stretch>
                    <a:fillRect/>
                  </a:stretch>
                </pic:blipFill>
                <pic:spPr>
                  <a:xfrm>
                    <a:off x="0" y="0"/>
                    <a:ext cx="3302000" cy="324485"/>
                  </a:xfrm>
                  <a:prstGeom prst="rect">
                    <a:avLst/>
                  </a:prstGeom>
                </pic:spPr>
              </pic:pic>
            </a:graphicData>
          </a:graphic>
          <wp14:sizeRelH relativeFrom="page">
            <wp14:pctWidth>0</wp14:pctWidth>
          </wp14:sizeRelH>
          <wp14:sizeRelV relativeFrom="page">
            <wp14:pctHeight>0</wp14:pctHeight>
          </wp14:sizeRelV>
        </wp:anchor>
      </w:drawing>
    </w:r>
  </w:p>
  <w:p w14:paraId="3CAD3271" w14:textId="4E986279" w:rsidR="00777F8F" w:rsidRDefault="00777F8F" w:rsidP="00C16D71">
    <w:pPr>
      <w:pStyle w:val="Header"/>
      <w:spacing w:line="240" w:lineRule="auto"/>
      <w:rPr>
        <w:b/>
        <w:color w:val="DC281E"/>
        <w:sz w:val="24"/>
        <w:szCs w:val="24"/>
      </w:rPr>
    </w:pPr>
  </w:p>
  <w:p w14:paraId="5B74EBC5" w14:textId="4B671286" w:rsidR="00777F8F" w:rsidRDefault="00777F8F" w:rsidP="00C16D71">
    <w:pPr>
      <w:pStyle w:val="Header"/>
      <w:spacing w:line="240" w:lineRule="auto"/>
      <w:rPr>
        <w:b/>
        <w:color w:val="DC281E"/>
        <w:sz w:val="24"/>
        <w:szCs w:val="24"/>
      </w:rPr>
    </w:pPr>
  </w:p>
  <w:p w14:paraId="2F85D2CA" w14:textId="08406886" w:rsidR="00777F8F" w:rsidRPr="00DD22BC" w:rsidRDefault="00DD22BC" w:rsidP="00DD22BC">
    <w:pPr>
      <w:pStyle w:val="Header1"/>
      <w:rPr>
        <w:rFonts w:ascii="Arial Bold" w:hAnsi="Arial Bold"/>
        <w:color w:val="DC281E"/>
        <w:lang w:val="es-ES"/>
      </w:rPr>
    </w:pPr>
    <w:r w:rsidRPr="006C1494">
      <w:rPr>
        <w:rStyle w:val="Pantone485"/>
        <w:lang w:val="es-ES"/>
      </w:rPr>
      <w:t>Caja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270E"/>
    <w:multiLevelType w:val="hybridMultilevel"/>
    <w:tmpl w:val="2E68CC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35C3F96"/>
    <w:multiLevelType w:val="hybridMultilevel"/>
    <w:tmpl w:val="6342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52778"/>
    <w:multiLevelType w:val="hybridMultilevel"/>
    <w:tmpl w:val="E3885B7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305754"/>
    <w:multiLevelType w:val="hybridMultilevel"/>
    <w:tmpl w:val="77F213C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639749F"/>
    <w:multiLevelType w:val="hybridMultilevel"/>
    <w:tmpl w:val="86D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A1B0B"/>
    <w:multiLevelType w:val="hybridMultilevel"/>
    <w:tmpl w:val="6BDAFA3A"/>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5357B"/>
    <w:multiLevelType w:val="hybridMultilevel"/>
    <w:tmpl w:val="C110226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E153E"/>
    <w:multiLevelType w:val="hybridMultilevel"/>
    <w:tmpl w:val="4B36D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2C0592B"/>
    <w:multiLevelType w:val="hybridMultilevel"/>
    <w:tmpl w:val="1CAAFBA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0302F"/>
    <w:multiLevelType w:val="hybridMultilevel"/>
    <w:tmpl w:val="D6AAD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EDE34A0"/>
    <w:multiLevelType w:val="hybridMultilevel"/>
    <w:tmpl w:val="36BE8BD8"/>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D2C1B"/>
    <w:multiLevelType w:val="hybridMultilevel"/>
    <w:tmpl w:val="739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F60DA"/>
    <w:multiLevelType w:val="hybridMultilevel"/>
    <w:tmpl w:val="B342900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E4C26"/>
    <w:multiLevelType w:val="hybridMultilevel"/>
    <w:tmpl w:val="2DD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0"/>
  </w:num>
  <w:num w:numId="4">
    <w:abstractNumId w:val="6"/>
  </w:num>
  <w:num w:numId="5">
    <w:abstractNumId w:val="9"/>
  </w:num>
  <w:num w:numId="6">
    <w:abstractNumId w:val="1"/>
  </w:num>
  <w:num w:numId="7">
    <w:abstractNumId w:val="22"/>
  </w:num>
  <w:num w:numId="8">
    <w:abstractNumId w:val="19"/>
  </w:num>
  <w:num w:numId="9">
    <w:abstractNumId w:val="10"/>
  </w:num>
  <w:num w:numId="10">
    <w:abstractNumId w:val="23"/>
  </w:num>
  <w:num w:numId="11">
    <w:abstractNumId w:val="0"/>
  </w:num>
  <w:num w:numId="12">
    <w:abstractNumId w:val="14"/>
  </w:num>
  <w:num w:numId="13">
    <w:abstractNumId w:val="2"/>
  </w:num>
  <w:num w:numId="14">
    <w:abstractNumId w:val="17"/>
  </w:num>
  <w:num w:numId="15">
    <w:abstractNumId w:val="21"/>
  </w:num>
  <w:num w:numId="16">
    <w:abstractNumId w:val="18"/>
  </w:num>
  <w:num w:numId="17">
    <w:abstractNumId w:val="17"/>
  </w:num>
  <w:num w:numId="18">
    <w:abstractNumId w:val="7"/>
  </w:num>
  <w:num w:numId="19">
    <w:abstractNumId w:val="4"/>
  </w:num>
  <w:num w:numId="20">
    <w:abstractNumId w:val="11"/>
  </w:num>
  <w:num w:numId="21">
    <w:abstractNumId w:val="12"/>
  </w:num>
  <w:num w:numId="22">
    <w:abstractNumId w:val="13"/>
  </w:num>
  <w:num w:numId="23">
    <w:abstractNumId w:val="3"/>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E9"/>
    <w:rsid w:val="00047584"/>
    <w:rsid w:val="00065EE8"/>
    <w:rsid w:val="00080E80"/>
    <w:rsid w:val="00096260"/>
    <w:rsid w:val="000A3581"/>
    <w:rsid w:val="000A52DE"/>
    <w:rsid w:val="000B44B2"/>
    <w:rsid w:val="000C4838"/>
    <w:rsid w:val="000D28A3"/>
    <w:rsid w:val="000F4495"/>
    <w:rsid w:val="00120D3D"/>
    <w:rsid w:val="001220FA"/>
    <w:rsid w:val="001528FF"/>
    <w:rsid w:val="00163084"/>
    <w:rsid w:val="00172C85"/>
    <w:rsid w:val="001A0C3E"/>
    <w:rsid w:val="001D47AC"/>
    <w:rsid w:val="00224E5D"/>
    <w:rsid w:val="00225E6F"/>
    <w:rsid w:val="00231451"/>
    <w:rsid w:val="00240388"/>
    <w:rsid w:val="0027332E"/>
    <w:rsid w:val="00302997"/>
    <w:rsid w:val="00337FD9"/>
    <w:rsid w:val="00342368"/>
    <w:rsid w:val="00344B00"/>
    <w:rsid w:val="00380258"/>
    <w:rsid w:val="003948CD"/>
    <w:rsid w:val="00396E85"/>
    <w:rsid w:val="003E18BA"/>
    <w:rsid w:val="003F7A35"/>
    <w:rsid w:val="004365D4"/>
    <w:rsid w:val="00450B02"/>
    <w:rsid w:val="0047617F"/>
    <w:rsid w:val="004854C5"/>
    <w:rsid w:val="004C2085"/>
    <w:rsid w:val="004C52E9"/>
    <w:rsid w:val="004E32BA"/>
    <w:rsid w:val="004E51B4"/>
    <w:rsid w:val="005022E2"/>
    <w:rsid w:val="0050497D"/>
    <w:rsid w:val="00516128"/>
    <w:rsid w:val="005556BC"/>
    <w:rsid w:val="005B622B"/>
    <w:rsid w:val="006A4BE4"/>
    <w:rsid w:val="007252A3"/>
    <w:rsid w:val="00777F8F"/>
    <w:rsid w:val="00797E08"/>
    <w:rsid w:val="007A6CA4"/>
    <w:rsid w:val="008166B3"/>
    <w:rsid w:val="00817D9D"/>
    <w:rsid w:val="00821DEB"/>
    <w:rsid w:val="008430C2"/>
    <w:rsid w:val="00852B7E"/>
    <w:rsid w:val="00856359"/>
    <w:rsid w:val="00874C68"/>
    <w:rsid w:val="00875277"/>
    <w:rsid w:val="00877580"/>
    <w:rsid w:val="008C25AC"/>
    <w:rsid w:val="008E6C72"/>
    <w:rsid w:val="00900492"/>
    <w:rsid w:val="00905303"/>
    <w:rsid w:val="00911F5B"/>
    <w:rsid w:val="00940F51"/>
    <w:rsid w:val="00981F30"/>
    <w:rsid w:val="0099744D"/>
    <w:rsid w:val="009A30DE"/>
    <w:rsid w:val="009D00B6"/>
    <w:rsid w:val="009F066C"/>
    <w:rsid w:val="009F0D7B"/>
    <w:rsid w:val="00A06E88"/>
    <w:rsid w:val="00A524CB"/>
    <w:rsid w:val="00A708C0"/>
    <w:rsid w:val="00A81216"/>
    <w:rsid w:val="00A90EFE"/>
    <w:rsid w:val="00AB121E"/>
    <w:rsid w:val="00AC6B12"/>
    <w:rsid w:val="00AF50AF"/>
    <w:rsid w:val="00AF6C8D"/>
    <w:rsid w:val="00AF798D"/>
    <w:rsid w:val="00B20E72"/>
    <w:rsid w:val="00B25C68"/>
    <w:rsid w:val="00B260D5"/>
    <w:rsid w:val="00B5241C"/>
    <w:rsid w:val="00B52CEB"/>
    <w:rsid w:val="00C152DD"/>
    <w:rsid w:val="00C60125"/>
    <w:rsid w:val="00C63FE5"/>
    <w:rsid w:val="00C9482C"/>
    <w:rsid w:val="00CB0622"/>
    <w:rsid w:val="00CB359C"/>
    <w:rsid w:val="00D140BC"/>
    <w:rsid w:val="00D20B0F"/>
    <w:rsid w:val="00D350EB"/>
    <w:rsid w:val="00D52366"/>
    <w:rsid w:val="00D77A5A"/>
    <w:rsid w:val="00DA6833"/>
    <w:rsid w:val="00DB443D"/>
    <w:rsid w:val="00DB4488"/>
    <w:rsid w:val="00DB624D"/>
    <w:rsid w:val="00DD045B"/>
    <w:rsid w:val="00DD22BC"/>
    <w:rsid w:val="00DE614B"/>
    <w:rsid w:val="00DE62EA"/>
    <w:rsid w:val="00DF5890"/>
    <w:rsid w:val="00E03537"/>
    <w:rsid w:val="00E0766A"/>
    <w:rsid w:val="00E96EDD"/>
    <w:rsid w:val="00EB3851"/>
    <w:rsid w:val="00EC4890"/>
    <w:rsid w:val="00EC6148"/>
    <w:rsid w:val="00EE1DEE"/>
    <w:rsid w:val="00FA289C"/>
    <w:rsid w:val="00FE1BDD"/>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30D4A"/>
  <w15:docId w15:val="{53025164-17CE-4747-8229-1871A49C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6260"/>
    <w:pPr>
      <w:spacing w:after="120"/>
      <w:jc w:val="both"/>
    </w:pPr>
    <w:rPr>
      <w:rFonts w:ascii="Arial" w:hAnsi="Arial" w:cs="Times New Roman"/>
    </w:rPr>
  </w:style>
  <w:style w:type="paragraph" w:styleId="Heading1">
    <w:name w:val="heading 1"/>
    <w:basedOn w:val="H1"/>
    <w:next w:val="Normal"/>
    <w:link w:val="Heading1Char"/>
    <w:uiPriority w:val="9"/>
    <w:rsid w:val="00096260"/>
  </w:style>
  <w:style w:type="paragraph" w:styleId="Heading2">
    <w:name w:val="heading 2"/>
    <w:basedOn w:val="Normal"/>
    <w:next w:val="Normal"/>
    <w:link w:val="Heading2Char"/>
    <w:uiPriority w:val="9"/>
    <w:unhideWhenUsed/>
    <w:qFormat/>
    <w:rsid w:val="0009626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96260"/>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6260"/>
    <w:pPr>
      <w:spacing w:after="240"/>
      <w:ind w:left="720"/>
      <w:contextualSpacing/>
    </w:pPr>
    <w:rPr>
      <w:rFonts w:eastAsiaTheme="minorHAnsi" w:cstheme="minorBidi"/>
      <w:szCs w:val="22"/>
    </w:rPr>
  </w:style>
  <w:style w:type="table" w:styleId="TableGrid">
    <w:name w:val="Table Grid"/>
    <w:basedOn w:val="TableNormal"/>
    <w:uiPriority w:val="59"/>
    <w:rsid w:val="00096260"/>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2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2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6260"/>
    <w:rPr>
      <w:sz w:val="18"/>
      <w:szCs w:val="18"/>
    </w:rPr>
  </w:style>
  <w:style w:type="paragraph" w:styleId="CommentText">
    <w:name w:val="annotation text"/>
    <w:basedOn w:val="Normal"/>
    <w:link w:val="CommentTextChar"/>
    <w:uiPriority w:val="99"/>
    <w:semiHidden/>
    <w:unhideWhenUsed/>
    <w:rsid w:val="00A81216"/>
  </w:style>
  <w:style w:type="character" w:customStyle="1" w:styleId="CommentTextChar">
    <w:name w:val="Comment Text Char"/>
    <w:basedOn w:val="DefaultParagraphFont"/>
    <w:link w:val="CommentText"/>
    <w:uiPriority w:val="99"/>
    <w:semiHidden/>
    <w:rsid w:val="00A81216"/>
    <w:rPr>
      <w:lang w:val="en-GB"/>
    </w:rPr>
  </w:style>
  <w:style w:type="paragraph" w:styleId="CommentSubject">
    <w:name w:val="annotation subject"/>
    <w:basedOn w:val="Normal"/>
    <w:link w:val="CommentSubjectChar"/>
    <w:uiPriority w:val="99"/>
    <w:semiHidden/>
    <w:unhideWhenUsed/>
    <w:rsid w:val="00096260"/>
    <w:rPr>
      <w:b/>
      <w:bCs/>
    </w:rPr>
  </w:style>
  <w:style w:type="character" w:customStyle="1" w:styleId="CommentSubjectChar">
    <w:name w:val="Comment Subject Char"/>
    <w:basedOn w:val="DefaultParagraphFont"/>
    <w:link w:val="CommentSubject"/>
    <w:uiPriority w:val="99"/>
    <w:semiHidden/>
    <w:rsid w:val="00096260"/>
    <w:rPr>
      <w:rFonts w:ascii="Arial" w:hAnsi="Arial" w:cs="Times New Roman"/>
      <w:b/>
      <w:bCs/>
    </w:rPr>
  </w:style>
  <w:style w:type="paragraph" w:customStyle="1" w:styleId="Default">
    <w:name w:val="Default"/>
    <w:rsid w:val="00096260"/>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096260"/>
    <w:pPr>
      <w:spacing w:after="0"/>
    </w:pPr>
    <w:rPr>
      <w:sz w:val="16"/>
      <w:szCs w:val="22"/>
    </w:rPr>
  </w:style>
  <w:style w:type="character" w:customStyle="1" w:styleId="FootnoteTextChar">
    <w:name w:val="Footnote Text Char"/>
    <w:basedOn w:val="DefaultParagraphFont"/>
    <w:link w:val="FootnoteText"/>
    <w:uiPriority w:val="99"/>
    <w:rsid w:val="00096260"/>
    <w:rPr>
      <w:rFonts w:ascii="Arial" w:hAnsi="Arial" w:cs="Times New Roman"/>
      <w:sz w:val="16"/>
      <w:szCs w:val="22"/>
    </w:rPr>
  </w:style>
  <w:style w:type="character" w:styleId="FootnoteReference">
    <w:name w:val="footnote reference"/>
    <w:basedOn w:val="DefaultParagraphFont"/>
    <w:uiPriority w:val="99"/>
    <w:unhideWhenUsed/>
    <w:rsid w:val="00096260"/>
    <w:rPr>
      <w:vertAlign w:val="superscript"/>
    </w:rPr>
  </w:style>
  <w:style w:type="character" w:customStyle="1" w:styleId="ListParagraphChar">
    <w:name w:val="List Paragraph Char"/>
    <w:basedOn w:val="DefaultParagraphFont"/>
    <w:link w:val="ListParagraph"/>
    <w:uiPriority w:val="34"/>
    <w:rsid w:val="00096260"/>
    <w:rPr>
      <w:rFonts w:ascii="Arial" w:eastAsiaTheme="minorHAnsi" w:hAnsi="Arial" w:cstheme="minorBidi"/>
      <w:szCs w:val="22"/>
    </w:rPr>
  </w:style>
  <w:style w:type="paragraph" w:styleId="Header">
    <w:name w:val="header"/>
    <w:basedOn w:val="Normal"/>
    <w:link w:val="HeaderChar"/>
    <w:uiPriority w:val="99"/>
    <w:unhideWhenUsed/>
    <w:rsid w:val="00096260"/>
    <w:pPr>
      <w:spacing w:after="0" w:line="288" w:lineRule="auto"/>
      <w:jc w:val="left"/>
    </w:pPr>
    <w:rPr>
      <w:sz w:val="16"/>
    </w:rPr>
  </w:style>
  <w:style w:type="character" w:customStyle="1" w:styleId="HeaderChar">
    <w:name w:val="Header Char"/>
    <w:basedOn w:val="DefaultParagraphFont"/>
    <w:link w:val="Header"/>
    <w:uiPriority w:val="99"/>
    <w:rsid w:val="00096260"/>
    <w:rPr>
      <w:rFonts w:ascii="Arial" w:hAnsi="Arial" w:cs="Times New Roman"/>
      <w:sz w:val="16"/>
    </w:rPr>
  </w:style>
  <w:style w:type="paragraph" w:styleId="Footer">
    <w:name w:val="footer"/>
    <w:basedOn w:val="Normal"/>
    <w:link w:val="FooterChar"/>
    <w:uiPriority w:val="99"/>
    <w:unhideWhenUsed/>
    <w:rsid w:val="00096260"/>
    <w:pPr>
      <w:spacing w:after="0"/>
      <w:jc w:val="left"/>
    </w:pPr>
    <w:rPr>
      <w:sz w:val="16"/>
      <w:szCs w:val="18"/>
    </w:rPr>
  </w:style>
  <w:style w:type="character" w:customStyle="1" w:styleId="FooterChar">
    <w:name w:val="Footer Char"/>
    <w:basedOn w:val="DefaultParagraphFont"/>
    <w:link w:val="Footer"/>
    <w:uiPriority w:val="99"/>
    <w:rsid w:val="00096260"/>
    <w:rPr>
      <w:rFonts w:ascii="Arial" w:hAnsi="Arial" w:cs="Times New Roman"/>
      <w:sz w:val="16"/>
      <w:szCs w:val="18"/>
    </w:rPr>
  </w:style>
  <w:style w:type="character" w:customStyle="1" w:styleId="Heading1Char">
    <w:name w:val="Heading 1 Char"/>
    <w:basedOn w:val="DefaultParagraphFont"/>
    <w:link w:val="Heading1"/>
    <w:uiPriority w:val="9"/>
    <w:rsid w:val="00096260"/>
    <w:rPr>
      <w:rFonts w:ascii="Arial" w:hAnsi="Arial" w:cs="Times New Roman"/>
      <w:b/>
      <w:sz w:val="40"/>
      <w:szCs w:val="52"/>
    </w:rPr>
  </w:style>
  <w:style w:type="character" w:customStyle="1" w:styleId="Heading2Char">
    <w:name w:val="Heading 2 Char"/>
    <w:basedOn w:val="DefaultParagraphFont"/>
    <w:link w:val="Heading2"/>
    <w:uiPriority w:val="9"/>
    <w:rsid w:val="00096260"/>
    <w:rPr>
      <w:rFonts w:ascii="Arial" w:hAnsi="Arial" w:cs="Times New Roman"/>
      <w:b/>
      <w:caps/>
      <w:sz w:val="24"/>
      <w:szCs w:val="26"/>
    </w:rPr>
  </w:style>
  <w:style w:type="character" w:customStyle="1" w:styleId="Heading3Char">
    <w:name w:val="Heading 3 Char"/>
    <w:basedOn w:val="DefaultParagraphFont"/>
    <w:link w:val="Heading3"/>
    <w:uiPriority w:val="9"/>
    <w:rsid w:val="00096260"/>
    <w:rPr>
      <w:rFonts w:ascii="Arial" w:hAnsi="Arial" w:cs="Times New Roman"/>
      <w:b/>
      <w:sz w:val="22"/>
      <w:szCs w:val="24"/>
    </w:rPr>
  </w:style>
  <w:style w:type="character" w:styleId="PageNumber">
    <w:name w:val="page number"/>
    <w:basedOn w:val="DefaultParagraphFont"/>
    <w:uiPriority w:val="99"/>
    <w:unhideWhenUsed/>
    <w:rsid w:val="00096260"/>
    <w:rPr>
      <w:b/>
    </w:rPr>
  </w:style>
  <w:style w:type="character" w:styleId="Hyperlink">
    <w:name w:val="Hyperlink"/>
    <w:basedOn w:val="DefaultParagraphFont"/>
    <w:uiPriority w:val="99"/>
    <w:unhideWhenUsed/>
    <w:rsid w:val="00096260"/>
    <w:rPr>
      <w:color w:val="0000FF" w:themeColor="hyperlink"/>
      <w:u w:val="single"/>
    </w:rPr>
  </w:style>
  <w:style w:type="character" w:styleId="FollowedHyperlink">
    <w:name w:val="FollowedHyperlink"/>
    <w:basedOn w:val="DefaultParagraphFont"/>
    <w:uiPriority w:val="99"/>
    <w:semiHidden/>
    <w:unhideWhenUsed/>
    <w:rsid w:val="00096260"/>
    <w:rPr>
      <w:color w:val="800080" w:themeColor="followedHyperlink"/>
      <w:u w:val="single"/>
    </w:rPr>
  </w:style>
  <w:style w:type="paragraph" w:styleId="Revision">
    <w:name w:val="Revision"/>
    <w:hidden/>
    <w:uiPriority w:val="99"/>
    <w:semiHidden/>
    <w:rsid w:val="00096260"/>
    <w:rPr>
      <w:rFonts w:ascii="Arial" w:hAnsi="Arial" w:cs="Arial"/>
      <w:sz w:val="21"/>
      <w:szCs w:val="21"/>
    </w:rPr>
  </w:style>
  <w:style w:type="paragraph" w:customStyle="1" w:styleId="BasicParagraph">
    <w:name w:val="[Basic Paragraph]"/>
    <w:basedOn w:val="Normal"/>
    <w:uiPriority w:val="99"/>
    <w:rsid w:val="0009626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96260"/>
    <w:pPr>
      <w:spacing w:before="360" w:after="240"/>
      <w:jc w:val="left"/>
      <w:outlineLvl w:val="0"/>
    </w:pPr>
    <w:rPr>
      <w:b/>
      <w:sz w:val="40"/>
      <w:szCs w:val="52"/>
    </w:rPr>
  </w:style>
  <w:style w:type="paragraph" w:customStyle="1" w:styleId="Bullet1">
    <w:name w:val="Bullet 1"/>
    <w:basedOn w:val="Normal"/>
    <w:rsid w:val="00096260"/>
    <w:pPr>
      <w:numPr>
        <w:numId w:val="13"/>
      </w:numPr>
      <w:spacing w:before="60"/>
    </w:pPr>
    <w:rPr>
      <w:rFonts w:eastAsia="Times New Roman"/>
      <w:color w:val="000000"/>
    </w:rPr>
  </w:style>
  <w:style w:type="paragraph" w:customStyle="1" w:styleId="RefItem1">
    <w:name w:val="Ref Item 1"/>
    <w:basedOn w:val="Normal"/>
    <w:rsid w:val="00096260"/>
    <w:pPr>
      <w:jc w:val="left"/>
    </w:pPr>
    <w:rPr>
      <w:color w:val="000000"/>
      <w:szCs w:val="24"/>
      <w:lang w:eastAsia="it-IT"/>
    </w:rPr>
  </w:style>
  <w:style w:type="paragraph" w:customStyle="1" w:styleId="RefTitre">
    <w:name w:val="Ref Titre"/>
    <w:basedOn w:val="Normal"/>
    <w:rsid w:val="00096260"/>
    <w:pPr>
      <w:jc w:val="left"/>
    </w:pPr>
    <w:rPr>
      <w:rFonts w:eastAsia="Times New Roman"/>
      <w:b/>
      <w:bCs/>
      <w:sz w:val="26"/>
      <w:szCs w:val="26"/>
    </w:rPr>
  </w:style>
  <w:style w:type="paragraph" w:customStyle="1" w:styleId="Header1">
    <w:name w:val="Header 1"/>
    <w:basedOn w:val="Header"/>
    <w:rsid w:val="00096260"/>
    <w:rPr>
      <w:b/>
      <w:sz w:val="24"/>
      <w:szCs w:val="24"/>
    </w:rPr>
  </w:style>
  <w:style w:type="character" w:customStyle="1" w:styleId="Pantone485">
    <w:name w:val="Pantone 485"/>
    <w:basedOn w:val="DefaultParagraphFont"/>
    <w:uiPriority w:val="1"/>
    <w:qFormat/>
    <w:rsid w:val="00096260"/>
    <w:rPr>
      <w:rFonts w:cs="Caecilia-Light"/>
      <w:color w:val="DC281E"/>
      <w:szCs w:val="16"/>
    </w:rPr>
  </w:style>
  <w:style w:type="character" w:customStyle="1" w:styleId="H1Char">
    <w:name w:val="H1 Char"/>
    <w:basedOn w:val="DefaultParagraphFont"/>
    <w:link w:val="H1"/>
    <w:rsid w:val="00096260"/>
    <w:rPr>
      <w:rFonts w:ascii="Arial" w:hAnsi="Arial" w:cs="Times New Roman"/>
      <w:b/>
      <w:sz w:val="40"/>
      <w:szCs w:val="52"/>
    </w:rPr>
  </w:style>
  <w:style w:type="table" w:customStyle="1" w:styleId="TableGray">
    <w:name w:val="Table Gray"/>
    <w:basedOn w:val="TableNormal"/>
    <w:uiPriority w:val="99"/>
    <w:rsid w:val="00096260"/>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96260"/>
    <w:pPr>
      <w:numPr>
        <w:numId w:val="14"/>
      </w:numPr>
      <w:spacing w:before="120" w:after="120"/>
      <w:contextualSpacing w:val="0"/>
    </w:pPr>
    <w:rPr>
      <w:rFonts w:eastAsia="Cambria" w:cs="Arial"/>
    </w:rPr>
  </w:style>
  <w:style w:type="paragraph" w:customStyle="1" w:styleId="ListNumber1">
    <w:name w:val="List Number 1"/>
    <w:basedOn w:val="Normal"/>
    <w:rsid w:val="00096260"/>
    <w:pPr>
      <w:numPr>
        <w:ilvl w:val="1"/>
        <w:numId w:val="11"/>
      </w:numPr>
      <w:contextualSpacing/>
    </w:pPr>
    <w:rPr>
      <w:rFonts w:eastAsiaTheme="minorHAnsi" w:cstheme="minorHAnsi"/>
      <w:szCs w:val="22"/>
    </w:rPr>
  </w:style>
  <w:style w:type="paragraph" w:customStyle="1" w:styleId="NormalNo">
    <w:name w:val="Normal + No"/>
    <w:basedOn w:val="Normal"/>
    <w:qFormat/>
    <w:rsid w:val="00096260"/>
    <w:pPr>
      <w:numPr>
        <w:numId w:val="12"/>
      </w:numPr>
    </w:pPr>
    <w:rPr>
      <w:rFonts w:eastAsia="MS Mincho"/>
      <w:b/>
      <w:sz w:val="22"/>
    </w:rPr>
  </w:style>
  <w:style w:type="paragraph" w:customStyle="1" w:styleId="Bullet3">
    <w:name w:val="Bullet 3"/>
    <w:basedOn w:val="ListParagraph"/>
    <w:qFormat/>
    <w:rsid w:val="00096260"/>
    <w:pPr>
      <w:numPr>
        <w:numId w:val="15"/>
      </w:numPr>
      <w:spacing w:before="120" w:after="120"/>
      <w:ind w:right="425"/>
    </w:pPr>
    <w:rPr>
      <w:rFonts w:cs="Arial"/>
      <w:i/>
      <w:iCs/>
    </w:rPr>
  </w:style>
  <w:style w:type="paragraph" w:customStyle="1" w:styleId="Indent">
    <w:name w:val="Indent"/>
    <w:basedOn w:val="Normal"/>
    <w:qFormat/>
    <w:rsid w:val="00096260"/>
    <w:pPr>
      <w:ind w:left="567"/>
    </w:pPr>
    <w:rPr>
      <w:rFonts w:cs="Arial"/>
      <w:b/>
    </w:rPr>
  </w:style>
  <w:style w:type="paragraph" w:customStyle="1" w:styleId="TitreTableau">
    <w:name w:val="Titre Tableau"/>
    <w:basedOn w:val="Normal"/>
    <w:qFormat/>
    <w:rsid w:val="00096260"/>
    <w:pPr>
      <w:spacing w:before="120"/>
      <w:jc w:val="center"/>
    </w:pPr>
    <w:rPr>
      <w:rFonts w:cs="Arial"/>
      <w:b/>
      <w:bCs/>
      <w:color w:val="FFFFFF" w:themeColor="background1"/>
      <w:lang w:val="en-CA"/>
    </w:rPr>
  </w:style>
  <w:style w:type="paragraph" w:customStyle="1" w:styleId="BulletTableau">
    <w:name w:val="Bullet Tableau"/>
    <w:basedOn w:val="Bullet2"/>
    <w:qFormat/>
    <w:rsid w:val="00096260"/>
    <w:pPr>
      <w:keepNext/>
      <w:keepLines/>
      <w:framePr w:hSpace="141" w:wrap="around" w:vAnchor="text" w:hAnchor="margin" w:y="402"/>
      <w:numPr>
        <w:numId w:val="1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7192">
      <w:bodyDiv w:val="1"/>
      <w:marLeft w:val="0"/>
      <w:marRight w:val="0"/>
      <w:marTop w:val="0"/>
      <w:marBottom w:val="0"/>
      <w:divBdr>
        <w:top w:val="none" w:sz="0" w:space="0" w:color="auto"/>
        <w:left w:val="none" w:sz="0" w:space="0" w:color="auto"/>
        <w:bottom w:val="none" w:sz="0" w:space="0" w:color="auto"/>
        <w:right w:val="none" w:sz="0" w:space="0" w:color="auto"/>
      </w:divBdr>
    </w:div>
    <w:div w:id="1513715553">
      <w:bodyDiv w:val="1"/>
      <w:marLeft w:val="0"/>
      <w:marRight w:val="0"/>
      <w:marTop w:val="0"/>
      <w:marBottom w:val="0"/>
      <w:divBdr>
        <w:top w:val="none" w:sz="0" w:space="0" w:color="auto"/>
        <w:left w:val="none" w:sz="0" w:space="0" w:color="auto"/>
        <w:bottom w:val="none" w:sz="0" w:space="0" w:color="auto"/>
        <w:right w:val="none" w:sz="0" w:space="0" w:color="auto"/>
      </w:divBdr>
    </w:div>
    <w:div w:id="1699969872">
      <w:bodyDiv w:val="1"/>
      <w:marLeft w:val="0"/>
      <w:marRight w:val="0"/>
      <w:marTop w:val="0"/>
      <w:marBottom w:val="0"/>
      <w:divBdr>
        <w:top w:val="none" w:sz="0" w:space="0" w:color="auto"/>
        <w:left w:val="none" w:sz="0" w:space="0" w:color="auto"/>
        <w:bottom w:val="none" w:sz="0" w:space="0" w:color="auto"/>
        <w:right w:val="none" w:sz="0" w:space="0" w:color="auto"/>
      </w:divBdr>
    </w:div>
    <w:div w:id="1741907645">
      <w:bodyDiv w:val="1"/>
      <w:marLeft w:val="0"/>
      <w:marRight w:val="0"/>
      <w:marTop w:val="0"/>
      <w:marBottom w:val="0"/>
      <w:divBdr>
        <w:top w:val="none" w:sz="0" w:space="0" w:color="auto"/>
        <w:left w:val="none" w:sz="0" w:space="0" w:color="auto"/>
        <w:bottom w:val="none" w:sz="0" w:space="0" w:color="auto"/>
        <w:right w:val="none" w:sz="0" w:space="0" w:color="auto"/>
      </w:divBdr>
    </w:div>
    <w:div w:id="1775904278">
      <w:bodyDiv w:val="1"/>
      <w:marLeft w:val="0"/>
      <w:marRight w:val="0"/>
      <w:marTop w:val="0"/>
      <w:marBottom w:val="0"/>
      <w:divBdr>
        <w:top w:val="none" w:sz="0" w:space="0" w:color="auto"/>
        <w:left w:val="none" w:sz="0" w:space="0" w:color="auto"/>
        <w:bottom w:val="none" w:sz="0" w:space="0" w:color="auto"/>
        <w:right w:val="none" w:sz="0" w:space="0" w:color="auto"/>
      </w:divBdr>
    </w:div>
    <w:div w:id="1790930764">
      <w:bodyDiv w:val="1"/>
      <w:marLeft w:val="0"/>
      <w:marRight w:val="0"/>
      <w:marTop w:val="0"/>
      <w:marBottom w:val="0"/>
      <w:divBdr>
        <w:top w:val="none" w:sz="0" w:space="0" w:color="auto"/>
        <w:left w:val="none" w:sz="0" w:space="0" w:color="auto"/>
        <w:bottom w:val="none" w:sz="0" w:space="0" w:color="auto"/>
        <w:right w:val="none" w:sz="0" w:space="0" w:color="auto"/>
      </w:divBdr>
    </w:div>
    <w:div w:id="1836843053">
      <w:bodyDiv w:val="1"/>
      <w:marLeft w:val="0"/>
      <w:marRight w:val="0"/>
      <w:marTop w:val="0"/>
      <w:marBottom w:val="0"/>
      <w:divBdr>
        <w:top w:val="none" w:sz="0" w:space="0" w:color="auto"/>
        <w:left w:val="none" w:sz="0" w:space="0" w:color="auto"/>
        <w:bottom w:val="none" w:sz="0" w:space="0" w:color="auto"/>
        <w:right w:val="none" w:sz="0" w:space="0" w:color="auto"/>
      </w:divBdr>
    </w:div>
    <w:div w:id="1940747437">
      <w:bodyDiv w:val="1"/>
      <w:marLeft w:val="0"/>
      <w:marRight w:val="0"/>
      <w:marTop w:val="0"/>
      <w:marBottom w:val="0"/>
      <w:divBdr>
        <w:top w:val="none" w:sz="0" w:space="0" w:color="auto"/>
        <w:left w:val="none" w:sz="0" w:space="0" w:color="auto"/>
        <w:bottom w:val="none" w:sz="0" w:space="0" w:color="auto"/>
        <w:right w:val="none" w:sz="0" w:space="0" w:color="auto"/>
      </w:divBdr>
    </w:div>
    <w:div w:id="2071808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34-working-with-banks-a-field-guide-to-negotiating-with-banks-in-cash-transfer-programming-screen-ver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lutionscenter.nethope.org/programs/c2e-toolk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shlearning.org/resources/library/390-e-transfers-in-emergencies-implementation-support-guideli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TotalTime>
  <Pages>3</Pages>
  <Words>1230</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2</cp:revision>
  <cp:lastPrinted>2015-10-13T16:04:00Z</cp:lastPrinted>
  <dcterms:created xsi:type="dcterms:W3CDTF">2016-02-22T14:50:00Z</dcterms:created>
  <dcterms:modified xsi:type="dcterms:W3CDTF">2016-02-22T14:50:00Z</dcterms:modified>
</cp:coreProperties>
</file>