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B99FA" w14:textId="148159BD" w:rsidR="00752615" w:rsidRPr="003179F0" w:rsidRDefault="0062030E" w:rsidP="008E5991">
      <w:pPr>
        <w:pStyle w:val="H1"/>
        <w:rPr>
          <w:rFonts w:cs="Arial"/>
        </w:rPr>
      </w:pPr>
      <w:r w:rsidRPr="003179F0">
        <w:rPr>
          <w:rFonts w:cs="Arial"/>
        </w:rPr>
        <w:t xml:space="preserve">Roadmap for </w:t>
      </w:r>
      <w:r w:rsidR="00752615" w:rsidRPr="003179F0">
        <w:rPr>
          <w:rFonts w:cs="Arial"/>
        </w:rPr>
        <w:t>response analysis</w:t>
      </w:r>
    </w:p>
    <w:p w14:paraId="2F9E544A" w14:textId="77777777" w:rsidR="003179F0" w:rsidRPr="003179F0" w:rsidRDefault="003179F0" w:rsidP="008E5991">
      <w:pPr>
        <w:pStyle w:val="H1"/>
        <w:rPr>
          <w:rFonts w:cs="Arial"/>
        </w:rPr>
      </w:pPr>
    </w:p>
    <w:p w14:paraId="0FCC425B" w14:textId="22AF224D" w:rsidR="007D1A58" w:rsidRPr="003179F0" w:rsidRDefault="007D1A58" w:rsidP="008E5991">
      <w:pPr>
        <w:pStyle w:val="Heading2"/>
        <w:rPr>
          <w:rFonts w:cs="Arial"/>
        </w:rPr>
      </w:pPr>
      <w:r w:rsidRPr="003179F0">
        <w:rPr>
          <w:rFonts w:cs="Arial"/>
        </w:rPr>
        <w:t>INTRODUCTION</w:t>
      </w:r>
    </w:p>
    <w:p w14:paraId="2A1A57F4" w14:textId="3893AD76" w:rsidR="006D3A93" w:rsidRPr="003179F0" w:rsidRDefault="00752615" w:rsidP="003179F0">
      <w:pPr>
        <w:rPr>
          <w:rFonts w:cs="Arial"/>
        </w:rPr>
      </w:pPr>
      <w:r w:rsidRPr="003179F0">
        <w:rPr>
          <w:rFonts w:cs="Arial"/>
          <w:shd w:val="clear" w:color="auto" w:fill="FFFFFF"/>
          <w:lang w:eastAsia="it-IT"/>
        </w:rPr>
        <w:t>This road</w:t>
      </w:r>
      <w:r w:rsidR="009B0C51" w:rsidRPr="003179F0">
        <w:rPr>
          <w:rFonts w:cs="Arial"/>
          <w:shd w:val="clear" w:color="auto" w:fill="FFFFFF"/>
          <w:lang w:eastAsia="it-IT"/>
        </w:rPr>
        <w:t xml:space="preserve"> </w:t>
      </w:r>
      <w:r w:rsidRPr="003179F0">
        <w:rPr>
          <w:rFonts w:cs="Arial"/>
          <w:shd w:val="clear" w:color="auto" w:fill="FFFFFF"/>
          <w:lang w:eastAsia="it-IT"/>
        </w:rPr>
        <w:t>map will provide you with brief guidance on how to go through the</w:t>
      </w:r>
      <w:r w:rsidR="004F3661" w:rsidRPr="003179F0">
        <w:rPr>
          <w:rFonts w:cs="Arial"/>
          <w:shd w:val="clear" w:color="auto" w:fill="FFFFFF"/>
          <w:lang w:eastAsia="it-IT"/>
        </w:rPr>
        <w:t xml:space="preserve"> response analysis</w:t>
      </w:r>
      <w:r w:rsidRPr="003179F0">
        <w:rPr>
          <w:rFonts w:cs="Arial"/>
          <w:shd w:val="clear" w:color="auto" w:fill="FFFFFF"/>
          <w:lang w:eastAsia="it-IT"/>
        </w:rPr>
        <w:t xml:space="preserve"> </w:t>
      </w:r>
      <w:r w:rsidR="00527882" w:rsidRPr="003179F0">
        <w:rPr>
          <w:rFonts w:cs="Arial"/>
          <w:shd w:val="clear" w:color="auto" w:fill="FFFFFF"/>
          <w:lang w:eastAsia="it-IT"/>
        </w:rPr>
        <w:t xml:space="preserve">module. Response analysis is </w:t>
      </w:r>
      <w:r w:rsidR="00F90F42" w:rsidRPr="003179F0">
        <w:rPr>
          <w:rFonts w:cs="Arial"/>
          <w:shd w:val="clear" w:color="auto" w:fill="FFFFFF"/>
          <w:lang w:eastAsia="it-IT"/>
        </w:rPr>
        <w:t xml:space="preserve">usually </w:t>
      </w:r>
      <w:r w:rsidR="00527882" w:rsidRPr="003179F0">
        <w:rPr>
          <w:rFonts w:cs="Arial"/>
          <w:shd w:val="clear" w:color="auto" w:fill="FFFFFF"/>
          <w:lang w:eastAsia="it-IT"/>
        </w:rPr>
        <w:t xml:space="preserve">carried out </w:t>
      </w:r>
      <w:r w:rsidR="006D3A93" w:rsidRPr="003179F0">
        <w:rPr>
          <w:rFonts w:cs="Arial"/>
          <w:shd w:val="clear" w:color="auto" w:fill="FFFFFF"/>
          <w:lang w:eastAsia="it-IT"/>
        </w:rPr>
        <w:t xml:space="preserve">after an initial assessment, in which the affected population’s </w:t>
      </w:r>
      <w:r w:rsidR="006D3A93" w:rsidRPr="003179F0">
        <w:rPr>
          <w:rFonts w:cs="Arial"/>
        </w:rPr>
        <w:t>needs</w:t>
      </w:r>
      <w:r w:rsidR="006D3A93" w:rsidRPr="003179F0">
        <w:rPr>
          <w:rStyle w:val="FootnoteReference"/>
          <w:rFonts w:cs="Arial"/>
          <w:szCs w:val="22"/>
        </w:rPr>
        <w:footnoteReference w:id="1"/>
      </w:r>
      <w:r w:rsidR="006D3A93" w:rsidRPr="003179F0">
        <w:rPr>
          <w:rFonts w:cs="Arial"/>
        </w:rPr>
        <w:t xml:space="preserve"> are identified</w:t>
      </w:r>
      <w:r w:rsidR="00E01226" w:rsidRPr="003179F0">
        <w:rPr>
          <w:rFonts w:cs="Arial"/>
        </w:rPr>
        <w:t>. The r</w:t>
      </w:r>
      <w:r w:rsidR="006D3A93" w:rsidRPr="003179F0">
        <w:rPr>
          <w:rFonts w:cs="Arial"/>
        </w:rPr>
        <w:t xml:space="preserve">esponse analysis </w:t>
      </w:r>
      <w:r w:rsidR="00E01226" w:rsidRPr="003179F0">
        <w:rPr>
          <w:rFonts w:cs="Arial"/>
        </w:rPr>
        <w:t>process will help you</w:t>
      </w:r>
      <w:r w:rsidR="00527882" w:rsidRPr="003179F0">
        <w:rPr>
          <w:rFonts w:cs="Arial"/>
          <w:shd w:val="clear" w:color="auto" w:fill="FFFFFF"/>
          <w:lang w:eastAsia="it-IT"/>
        </w:rPr>
        <w:t xml:space="preserve"> </w:t>
      </w:r>
      <w:r w:rsidR="00527882" w:rsidRPr="003179F0">
        <w:rPr>
          <w:rFonts w:cs="Arial"/>
        </w:rPr>
        <w:t xml:space="preserve">determine the </w:t>
      </w:r>
      <w:r w:rsidR="00E01226" w:rsidRPr="003179F0">
        <w:rPr>
          <w:rFonts w:cs="Arial"/>
        </w:rPr>
        <w:t xml:space="preserve">response options that are </w:t>
      </w:r>
      <w:r w:rsidR="00527882" w:rsidRPr="003179F0">
        <w:rPr>
          <w:rFonts w:cs="Arial"/>
        </w:rPr>
        <w:t xml:space="preserve">most appropriate and feasible, </w:t>
      </w:r>
      <w:r w:rsidR="00E01226" w:rsidRPr="003179F0">
        <w:rPr>
          <w:rFonts w:cs="Arial"/>
        </w:rPr>
        <w:t xml:space="preserve">given the </w:t>
      </w:r>
      <w:r w:rsidR="00E01226" w:rsidRPr="003179F0">
        <w:rPr>
          <w:rFonts w:cs="Arial"/>
          <w:color w:val="0D0D0D" w:themeColor="text1" w:themeTint="F2"/>
        </w:rPr>
        <w:t>objectives</w:t>
      </w:r>
      <w:r w:rsidR="00E01226" w:rsidRPr="003179F0">
        <w:rPr>
          <w:rFonts w:cs="Arial"/>
        </w:rPr>
        <w:t xml:space="preserve"> set </w:t>
      </w:r>
      <w:r w:rsidR="00B7112C" w:rsidRPr="003179F0">
        <w:rPr>
          <w:rFonts w:cs="Arial"/>
        </w:rPr>
        <w:t xml:space="preserve">to address </w:t>
      </w:r>
      <w:r w:rsidR="00E01226" w:rsidRPr="003179F0">
        <w:rPr>
          <w:rFonts w:cs="Arial"/>
        </w:rPr>
        <w:t xml:space="preserve">emergency </w:t>
      </w:r>
      <w:r w:rsidR="00B7112C" w:rsidRPr="003179F0">
        <w:rPr>
          <w:rFonts w:cs="Arial"/>
        </w:rPr>
        <w:t>needs</w:t>
      </w:r>
      <w:r w:rsidR="00E01226" w:rsidRPr="003179F0">
        <w:rPr>
          <w:rFonts w:cs="Arial"/>
        </w:rPr>
        <w:t xml:space="preserve">. </w:t>
      </w:r>
    </w:p>
    <w:p w14:paraId="4FACFCA3" w14:textId="59CD8A58" w:rsidR="00527882" w:rsidRPr="003179F0" w:rsidRDefault="00527882" w:rsidP="003179F0">
      <w:r w:rsidRPr="003179F0">
        <w:rPr>
          <w:shd w:val="clear" w:color="auto" w:fill="FFFFFF"/>
          <w:lang w:eastAsia="it-IT"/>
        </w:rPr>
        <w:t xml:space="preserve">For the purposes of the </w:t>
      </w:r>
      <w:proofErr w:type="spellStart"/>
      <w:r w:rsidRPr="003179F0">
        <w:rPr>
          <w:shd w:val="clear" w:color="auto" w:fill="FFFFFF"/>
          <w:lang w:eastAsia="it-IT"/>
        </w:rPr>
        <w:t>CiE</w:t>
      </w:r>
      <w:proofErr w:type="spellEnd"/>
      <w:r w:rsidRPr="003179F0">
        <w:rPr>
          <w:shd w:val="clear" w:color="auto" w:fill="FFFFFF"/>
          <w:lang w:eastAsia="it-IT"/>
        </w:rPr>
        <w:t xml:space="preserve"> Toolkit, the response analysis process has been divided into steps and sub-steps. Each sub-step has been </w:t>
      </w:r>
      <w:r w:rsidRPr="003179F0">
        <w:t>associated with tools</w:t>
      </w:r>
      <w:r w:rsidRPr="003179F0">
        <w:rPr>
          <w:rFonts w:eastAsia="+mn-ea"/>
          <w:iCs/>
          <w:kern w:val="24"/>
        </w:rPr>
        <w:t xml:space="preserve"> selected for their potential to be adapted and used in different contexts and cash transfer </w:t>
      </w:r>
      <w:proofErr w:type="spellStart"/>
      <w:r w:rsidRPr="003179F0">
        <w:rPr>
          <w:rFonts w:eastAsia="+mn-ea"/>
          <w:iCs/>
          <w:kern w:val="24"/>
        </w:rPr>
        <w:t>programmes</w:t>
      </w:r>
      <w:proofErr w:type="spellEnd"/>
      <w:r w:rsidRPr="003179F0">
        <w:rPr>
          <w:rFonts w:eastAsia="+mn-ea"/>
          <w:iCs/>
          <w:kern w:val="24"/>
        </w:rPr>
        <w:t>, by different organizations.</w:t>
      </w:r>
      <w:r w:rsidR="000F0CF2" w:rsidRPr="003179F0">
        <w:rPr>
          <w:rFonts w:eastAsia="+mn-ea"/>
          <w:iCs/>
          <w:kern w:val="24"/>
        </w:rPr>
        <w:t xml:space="preserve"> </w:t>
      </w:r>
      <w:r w:rsidR="00E01226" w:rsidRPr="003179F0">
        <w:rPr>
          <w:rFonts w:eastAsia="+mn-ea"/>
          <w:iCs/>
          <w:kern w:val="24"/>
        </w:rPr>
        <w:t>When</w:t>
      </w:r>
      <w:r w:rsidR="000F0CF2" w:rsidRPr="003179F0">
        <w:t xml:space="preserve"> adapt</w:t>
      </w:r>
      <w:r w:rsidR="00E01226" w:rsidRPr="003179F0">
        <w:t xml:space="preserve">ing </w:t>
      </w:r>
      <w:r w:rsidR="000F0CF2" w:rsidRPr="003179F0">
        <w:t xml:space="preserve">tools to your context and needs, you </w:t>
      </w:r>
      <w:r w:rsidR="00423BB6" w:rsidRPr="003179F0">
        <w:t>can get</w:t>
      </w:r>
      <w:r w:rsidR="00E01226" w:rsidRPr="003179F0">
        <w:t xml:space="preserve"> detailed guidance on response analysis from </w:t>
      </w:r>
      <w:r w:rsidR="000F0CF2" w:rsidRPr="003179F0">
        <w:t xml:space="preserve">the reference documents </w:t>
      </w:r>
      <w:r w:rsidR="00E01226" w:rsidRPr="003179F0">
        <w:t>suggested both at module and step levels</w:t>
      </w:r>
      <w:r w:rsidR="000F0CF2" w:rsidRPr="003179F0">
        <w:t>.</w:t>
      </w:r>
    </w:p>
    <w:p w14:paraId="3A64E09E" w14:textId="77777777" w:rsidR="00527882" w:rsidRPr="003179F0" w:rsidRDefault="00527882" w:rsidP="003179F0">
      <w:pPr>
        <w:rPr>
          <w:shd w:val="clear" w:color="auto" w:fill="FFFFFF"/>
          <w:lang w:eastAsia="it-IT"/>
        </w:rPr>
      </w:pPr>
      <w:r w:rsidRPr="003179F0">
        <w:t xml:space="preserve">Steps and sub-steps are indicative and not necessarily sequential. You may need to move back and forth to reach the intended results. Sometimes, you may even need to skip some of the steps or sub-steps proposed, due to time and resource constraints that are common in emergency contexts. In any case, you should at least comply with the minimum standards set for the </w:t>
      </w:r>
      <w:r w:rsidR="00E01226" w:rsidRPr="003179F0">
        <w:t>response analysis module. For each step, you will also find minimum standards that may help you decide what to focus on.</w:t>
      </w:r>
    </w:p>
    <w:p w14:paraId="4B09DA59" w14:textId="77777777" w:rsidR="001B79C9" w:rsidRPr="003179F0" w:rsidRDefault="00333EA9" w:rsidP="008E5991">
      <w:pPr>
        <w:pStyle w:val="Heading2"/>
        <w:rPr>
          <w:rFonts w:cs="Arial"/>
        </w:rPr>
      </w:pPr>
      <w:r w:rsidRPr="003179F0">
        <w:rPr>
          <w:rFonts w:cs="Arial"/>
        </w:rPr>
        <w:t>MINIMUM STANDARDS</w:t>
      </w:r>
    </w:p>
    <w:p w14:paraId="506C4C97" w14:textId="61C32FF4" w:rsidR="00F90F42" w:rsidRPr="003179F0" w:rsidRDefault="00F90F42" w:rsidP="001B79C9">
      <w:pPr>
        <w:pStyle w:val="ListParagraph"/>
        <w:numPr>
          <w:ilvl w:val="0"/>
          <w:numId w:val="14"/>
        </w:numPr>
        <w:spacing w:after="60"/>
        <w:contextualSpacing w:val="0"/>
        <w:jc w:val="left"/>
        <w:rPr>
          <w:rFonts w:eastAsia="Times New Roman" w:cs="Arial"/>
          <w:color w:val="000000"/>
          <w:szCs w:val="24"/>
        </w:rPr>
      </w:pPr>
      <w:r w:rsidRPr="003179F0">
        <w:rPr>
          <w:rFonts w:eastAsia="Times New Roman" w:cs="Arial"/>
          <w:color w:val="000000"/>
          <w:szCs w:val="24"/>
        </w:rPr>
        <w:t xml:space="preserve">The process of selecting cash transfer modalities and mechanisms </w:t>
      </w:r>
      <w:r w:rsidR="00B7622A" w:rsidRPr="003179F0">
        <w:rPr>
          <w:rFonts w:eastAsia="Times New Roman" w:cs="Arial"/>
          <w:color w:val="000000"/>
          <w:szCs w:val="24"/>
        </w:rPr>
        <w:t>must</w:t>
      </w:r>
      <w:r w:rsidR="005F2CFA" w:rsidRPr="003179F0">
        <w:rPr>
          <w:rFonts w:eastAsia="Times New Roman" w:cs="Arial"/>
          <w:color w:val="000000"/>
          <w:szCs w:val="24"/>
        </w:rPr>
        <w:t xml:space="preserve"> </w:t>
      </w:r>
      <w:r w:rsidRPr="003179F0">
        <w:rPr>
          <w:rFonts w:eastAsia="Times New Roman" w:cs="Arial"/>
          <w:color w:val="000000"/>
          <w:szCs w:val="24"/>
        </w:rPr>
        <w:t xml:space="preserve">involve </w:t>
      </w:r>
      <w:r w:rsidR="005F2CFA" w:rsidRPr="003179F0">
        <w:rPr>
          <w:rFonts w:eastAsia="Times New Roman" w:cs="Arial"/>
          <w:color w:val="000000"/>
          <w:szCs w:val="24"/>
        </w:rPr>
        <w:t>finance and logistics.</w:t>
      </w:r>
    </w:p>
    <w:p w14:paraId="540A7713" w14:textId="1454521D" w:rsidR="00853516" w:rsidRPr="003179F0" w:rsidRDefault="00853516" w:rsidP="001B79C9">
      <w:pPr>
        <w:pStyle w:val="ListParagraph"/>
        <w:numPr>
          <w:ilvl w:val="0"/>
          <w:numId w:val="14"/>
        </w:numPr>
        <w:spacing w:after="60"/>
        <w:contextualSpacing w:val="0"/>
        <w:jc w:val="left"/>
        <w:rPr>
          <w:rFonts w:eastAsia="Times New Roman" w:cs="Arial"/>
          <w:color w:val="000000"/>
          <w:szCs w:val="24"/>
        </w:rPr>
      </w:pPr>
      <w:r w:rsidRPr="003179F0">
        <w:rPr>
          <w:rFonts w:eastAsia="Times New Roman" w:cs="Arial"/>
          <w:color w:val="000000"/>
          <w:szCs w:val="24"/>
        </w:rPr>
        <w:t xml:space="preserve">The feasibility of </w:t>
      </w:r>
      <w:r w:rsidR="005F2CFA" w:rsidRPr="003179F0">
        <w:rPr>
          <w:rFonts w:eastAsia="Times New Roman" w:cs="Arial"/>
          <w:color w:val="000000"/>
          <w:szCs w:val="24"/>
        </w:rPr>
        <w:t xml:space="preserve">each </w:t>
      </w:r>
      <w:r w:rsidRPr="003179F0">
        <w:rPr>
          <w:rFonts w:eastAsia="Times New Roman" w:cs="Arial"/>
          <w:color w:val="000000"/>
          <w:szCs w:val="24"/>
        </w:rPr>
        <w:t xml:space="preserve">cash </w:t>
      </w:r>
      <w:r w:rsidR="005F2CFA" w:rsidRPr="003179F0">
        <w:rPr>
          <w:rFonts w:eastAsia="Times New Roman" w:cs="Arial"/>
          <w:color w:val="000000"/>
          <w:szCs w:val="24"/>
        </w:rPr>
        <w:t xml:space="preserve">modality and potential mechanisms </w:t>
      </w:r>
      <w:r w:rsidRPr="003179F0">
        <w:rPr>
          <w:rFonts w:eastAsia="Times New Roman" w:cs="Arial"/>
          <w:color w:val="000000"/>
          <w:szCs w:val="24"/>
        </w:rPr>
        <w:t>must be checked.</w:t>
      </w:r>
    </w:p>
    <w:p w14:paraId="3086FF93" w14:textId="18139130" w:rsidR="001B79C9" w:rsidRPr="003179F0" w:rsidRDefault="001B79C9" w:rsidP="001B79C9">
      <w:pPr>
        <w:pStyle w:val="ListParagraph"/>
        <w:numPr>
          <w:ilvl w:val="0"/>
          <w:numId w:val="14"/>
        </w:numPr>
        <w:spacing w:after="60"/>
        <w:contextualSpacing w:val="0"/>
        <w:jc w:val="left"/>
        <w:rPr>
          <w:rFonts w:eastAsia="Times New Roman" w:cs="Arial"/>
          <w:color w:val="000000"/>
          <w:szCs w:val="24"/>
        </w:rPr>
      </w:pPr>
      <w:r w:rsidRPr="003179F0">
        <w:rPr>
          <w:rFonts w:eastAsia="Times New Roman" w:cs="Arial"/>
          <w:color w:val="000000"/>
          <w:szCs w:val="24"/>
        </w:rPr>
        <w:t>Modality and mechanism selection should be based on a comparative analysis</w:t>
      </w:r>
      <w:r w:rsidR="00853516" w:rsidRPr="003179F0">
        <w:rPr>
          <w:rFonts w:eastAsia="Times New Roman" w:cs="Arial"/>
          <w:color w:val="000000"/>
          <w:szCs w:val="24"/>
        </w:rPr>
        <w:t xml:space="preserve"> that includes at least risks</w:t>
      </w:r>
      <w:r w:rsidR="005F2CFA" w:rsidRPr="003179F0">
        <w:rPr>
          <w:rFonts w:eastAsia="Times New Roman" w:cs="Arial"/>
          <w:color w:val="000000"/>
          <w:szCs w:val="24"/>
        </w:rPr>
        <w:t>/</w:t>
      </w:r>
      <w:r w:rsidR="00FD32D1" w:rsidRPr="003179F0">
        <w:rPr>
          <w:rFonts w:eastAsia="Times New Roman" w:cs="Arial"/>
          <w:color w:val="000000"/>
          <w:szCs w:val="24"/>
        </w:rPr>
        <w:t>mitigation</w:t>
      </w:r>
      <w:r w:rsidR="00853516" w:rsidRPr="003179F0">
        <w:rPr>
          <w:rFonts w:eastAsia="Times New Roman" w:cs="Arial"/>
          <w:color w:val="000000"/>
          <w:szCs w:val="24"/>
        </w:rPr>
        <w:t xml:space="preserve"> and costs</w:t>
      </w:r>
      <w:r w:rsidRPr="003179F0">
        <w:rPr>
          <w:rFonts w:eastAsia="Times New Roman" w:cs="Arial"/>
          <w:color w:val="000000"/>
          <w:szCs w:val="24"/>
        </w:rPr>
        <w:t>.</w:t>
      </w:r>
    </w:p>
    <w:p w14:paraId="460784EA" w14:textId="72E6A440" w:rsidR="001B79C9" w:rsidRPr="003179F0" w:rsidRDefault="001B79C9" w:rsidP="001B79C9">
      <w:pPr>
        <w:pStyle w:val="ListParagraph"/>
        <w:numPr>
          <w:ilvl w:val="0"/>
          <w:numId w:val="14"/>
        </w:numPr>
        <w:spacing w:after="60"/>
        <w:contextualSpacing w:val="0"/>
        <w:jc w:val="left"/>
        <w:rPr>
          <w:rFonts w:eastAsia="Times New Roman" w:cs="Arial"/>
          <w:color w:val="000000"/>
          <w:szCs w:val="24"/>
        </w:rPr>
      </w:pPr>
      <w:r w:rsidRPr="003179F0">
        <w:rPr>
          <w:rFonts w:eastAsia="Times New Roman" w:cs="Arial"/>
          <w:color w:val="000000"/>
          <w:szCs w:val="24"/>
        </w:rPr>
        <w:t>Beneficiary preference</w:t>
      </w:r>
      <w:r w:rsidR="00E01226" w:rsidRPr="003179F0">
        <w:rPr>
          <w:rFonts w:eastAsia="Times New Roman" w:cs="Arial"/>
          <w:color w:val="000000"/>
          <w:szCs w:val="24"/>
        </w:rPr>
        <w:t>s</w:t>
      </w:r>
      <w:r w:rsidR="00C458D3" w:rsidRPr="003179F0">
        <w:rPr>
          <w:rFonts w:eastAsia="Times New Roman" w:cs="Arial"/>
          <w:color w:val="000000"/>
          <w:szCs w:val="24"/>
        </w:rPr>
        <w:t xml:space="preserve"> </w:t>
      </w:r>
      <w:r w:rsidRPr="003179F0">
        <w:rPr>
          <w:rFonts w:eastAsia="Times New Roman" w:cs="Arial"/>
          <w:color w:val="000000"/>
          <w:szCs w:val="24"/>
        </w:rPr>
        <w:t>and capacity (e.g. to use technology)</w:t>
      </w:r>
      <w:r w:rsidR="00C458D3" w:rsidRPr="003179F0">
        <w:rPr>
          <w:rFonts w:eastAsia="Times New Roman" w:cs="Arial"/>
          <w:color w:val="000000"/>
          <w:szCs w:val="24"/>
        </w:rPr>
        <w:t>, as well as intra-household issues,</w:t>
      </w:r>
      <w:r w:rsidRPr="003179F0">
        <w:rPr>
          <w:rFonts w:eastAsia="Times New Roman" w:cs="Arial"/>
          <w:color w:val="000000"/>
          <w:szCs w:val="24"/>
        </w:rPr>
        <w:t xml:space="preserve"> must be considered.</w:t>
      </w:r>
    </w:p>
    <w:p w14:paraId="2982EF08" w14:textId="77777777" w:rsidR="00E01226" w:rsidRPr="003179F0" w:rsidRDefault="00E01226" w:rsidP="00E01226">
      <w:pPr>
        <w:pStyle w:val="ListParagraph"/>
        <w:numPr>
          <w:ilvl w:val="0"/>
          <w:numId w:val="14"/>
        </w:numPr>
        <w:spacing w:after="60"/>
        <w:contextualSpacing w:val="0"/>
        <w:jc w:val="left"/>
        <w:rPr>
          <w:rFonts w:eastAsia="Times New Roman" w:cs="Arial"/>
          <w:color w:val="000000"/>
          <w:szCs w:val="24"/>
        </w:rPr>
      </w:pPr>
      <w:r w:rsidRPr="003179F0">
        <w:rPr>
          <w:rFonts w:eastAsia="Times New Roman" w:cs="Arial"/>
          <w:color w:val="000000"/>
          <w:szCs w:val="24"/>
        </w:rPr>
        <w:t>The capacity of the agency/partner to deliver cash through the selected modality/mechanism must be considered.</w:t>
      </w:r>
    </w:p>
    <w:p w14:paraId="1F18E092" w14:textId="77777777" w:rsidR="00853516" w:rsidRPr="003179F0" w:rsidRDefault="00853516" w:rsidP="00853516">
      <w:pPr>
        <w:pStyle w:val="ListParagraph"/>
        <w:numPr>
          <w:ilvl w:val="0"/>
          <w:numId w:val="14"/>
        </w:numPr>
        <w:spacing w:after="60"/>
        <w:contextualSpacing w:val="0"/>
        <w:jc w:val="left"/>
        <w:rPr>
          <w:rFonts w:eastAsia="Times New Roman" w:cs="Arial"/>
          <w:color w:val="000000"/>
          <w:szCs w:val="24"/>
        </w:rPr>
      </w:pPr>
      <w:r w:rsidRPr="003179F0">
        <w:rPr>
          <w:rFonts w:eastAsia="Times New Roman" w:cs="Arial"/>
          <w:color w:val="000000"/>
          <w:szCs w:val="24"/>
        </w:rPr>
        <w:t>Alignment with policies and practices of the local government and other humanitarian actors should be sought.</w:t>
      </w:r>
    </w:p>
    <w:p w14:paraId="186C12A4" w14:textId="2C01745A" w:rsidR="00527882" w:rsidRPr="003179F0" w:rsidRDefault="001B79C9" w:rsidP="00527882">
      <w:pPr>
        <w:pStyle w:val="ListParagraph"/>
        <w:numPr>
          <w:ilvl w:val="0"/>
          <w:numId w:val="16"/>
        </w:numPr>
        <w:spacing w:after="60"/>
        <w:contextualSpacing w:val="0"/>
        <w:jc w:val="left"/>
        <w:rPr>
          <w:rFonts w:eastAsia="Times New Roman" w:cs="Arial"/>
          <w:color w:val="000000"/>
          <w:szCs w:val="24"/>
        </w:rPr>
      </w:pPr>
      <w:r w:rsidRPr="003179F0">
        <w:rPr>
          <w:rFonts w:eastAsia="Times New Roman" w:cs="Arial"/>
          <w:color w:val="000000"/>
          <w:szCs w:val="24"/>
        </w:rPr>
        <w:t>The</w:t>
      </w:r>
      <w:r w:rsidR="00527882" w:rsidRPr="003179F0">
        <w:rPr>
          <w:rFonts w:eastAsia="Times New Roman" w:cs="Arial"/>
          <w:color w:val="000000"/>
          <w:szCs w:val="24"/>
        </w:rPr>
        <w:t xml:space="preserve"> value </w:t>
      </w:r>
      <w:r w:rsidR="009D3D80" w:rsidRPr="003179F0">
        <w:rPr>
          <w:rFonts w:eastAsia="Times New Roman" w:cs="Arial"/>
          <w:color w:val="000000"/>
          <w:szCs w:val="24"/>
        </w:rPr>
        <w:t xml:space="preserve">and the duration </w:t>
      </w:r>
      <w:r w:rsidR="00527882" w:rsidRPr="003179F0">
        <w:rPr>
          <w:rFonts w:eastAsia="Times New Roman" w:cs="Arial"/>
          <w:color w:val="000000"/>
          <w:szCs w:val="24"/>
        </w:rPr>
        <w:t xml:space="preserve">of the transfer </w:t>
      </w:r>
      <w:r w:rsidRPr="003179F0">
        <w:rPr>
          <w:rFonts w:eastAsia="Times New Roman" w:cs="Arial"/>
          <w:color w:val="000000"/>
          <w:szCs w:val="24"/>
        </w:rPr>
        <w:t xml:space="preserve">should </w:t>
      </w:r>
      <w:r w:rsidR="00E01226" w:rsidRPr="003179F0">
        <w:rPr>
          <w:rFonts w:eastAsia="Times New Roman" w:cs="Arial"/>
          <w:color w:val="000000"/>
          <w:szCs w:val="24"/>
        </w:rPr>
        <w:t xml:space="preserve">reflect what </w:t>
      </w:r>
      <w:r w:rsidR="00E01226" w:rsidRPr="003179F0">
        <w:rPr>
          <w:rFonts w:cs="Arial"/>
        </w:rPr>
        <w:t>a household needs to fulfill the project objective without resorting to negative coping strategies. The value should</w:t>
      </w:r>
      <w:r w:rsidR="00E01226" w:rsidRPr="003179F0">
        <w:rPr>
          <w:rFonts w:eastAsia="Times New Roman" w:cs="Arial"/>
          <w:color w:val="000000"/>
          <w:szCs w:val="24"/>
        </w:rPr>
        <w:t xml:space="preserve"> </w:t>
      </w:r>
      <w:r w:rsidRPr="003179F0">
        <w:rPr>
          <w:rFonts w:eastAsia="Times New Roman" w:cs="Arial"/>
          <w:color w:val="000000"/>
          <w:szCs w:val="24"/>
        </w:rPr>
        <w:t xml:space="preserve">be discussed </w:t>
      </w:r>
      <w:r w:rsidR="00527882" w:rsidRPr="003179F0">
        <w:rPr>
          <w:rFonts w:eastAsia="Times New Roman" w:cs="Arial"/>
          <w:color w:val="000000"/>
          <w:szCs w:val="24"/>
        </w:rPr>
        <w:t>with the community.</w:t>
      </w:r>
    </w:p>
    <w:p w14:paraId="0513C9A4" w14:textId="7CE7E3C3" w:rsidR="001B79C9" w:rsidRPr="003179F0" w:rsidRDefault="001B79C9" w:rsidP="001B79C9">
      <w:pPr>
        <w:pStyle w:val="ListParagraph"/>
        <w:numPr>
          <w:ilvl w:val="0"/>
          <w:numId w:val="16"/>
        </w:numPr>
        <w:spacing w:after="60"/>
        <w:contextualSpacing w:val="0"/>
        <w:jc w:val="left"/>
        <w:rPr>
          <w:rFonts w:eastAsia="Times New Roman" w:cs="Arial"/>
        </w:rPr>
      </w:pPr>
      <w:r w:rsidRPr="003179F0">
        <w:rPr>
          <w:rFonts w:eastAsia="Times New Roman" w:cs="Arial"/>
        </w:rPr>
        <w:t xml:space="preserve">Targeting criteria must be linked to the objectives of the intervention, relevant for the local population and context, and </w:t>
      </w:r>
      <w:r w:rsidR="005A3216" w:rsidRPr="003179F0">
        <w:rPr>
          <w:rFonts w:eastAsia="Times New Roman" w:cs="Arial"/>
        </w:rPr>
        <w:t>feasible</w:t>
      </w:r>
      <w:r w:rsidRPr="003179F0">
        <w:rPr>
          <w:rFonts w:eastAsia="Times New Roman" w:cs="Arial"/>
        </w:rPr>
        <w:t xml:space="preserve"> with the resources available.</w:t>
      </w:r>
    </w:p>
    <w:p w14:paraId="632B448F" w14:textId="7A2B86FD" w:rsidR="006D3A93" w:rsidRPr="003179F0" w:rsidRDefault="006D3A93" w:rsidP="006D3A93">
      <w:pPr>
        <w:pStyle w:val="ListParagraph"/>
        <w:numPr>
          <w:ilvl w:val="0"/>
          <w:numId w:val="16"/>
        </w:numPr>
        <w:spacing w:after="60"/>
        <w:contextualSpacing w:val="0"/>
        <w:jc w:val="left"/>
        <w:rPr>
          <w:rFonts w:eastAsia="Times New Roman" w:cs="Arial"/>
        </w:rPr>
      </w:pPr>
      <w:r w:rsidRPr="003179F0">
        <w:rPr>
          <w:rFonts w:eastAsia="Times New Roman" w:cs="Arial"/>
        </w:rPr>
        <w:t>The choice of the targeting mechanism should be based on consideration of costs, accuracy</w:t>
      </w:r>
      <w:r w:rsidR="00100957" w:rsidRPr="003179F0">
        <w:rPr>
          <w:rFonts w:eastAsia="Times New Roman" w:cs="Arial"/>
        </w:rPr>
        <w:t xml:space="preserve">, </w:t>
      </w:r>
      <w:r w:rsidRPr="003179F0">
        <w:rPr>
          <w:rFonts w:eastAsia="Times New Roman" w:cs="Arial"/>
        </w:rPr>
        <w:t>feasibility</w:t>
      </w:r>
      <w:r w:rsidR="00100957" w:rsidRPr="003179F0">
        <w:rPr>
          <w:rFonts w:eastAsia="Times New Roman" w:cs="Arial"/>
        </w:rPr>
        <w:t xml:space="preserve"> and timing</w:t>
      </w:r>
      <w:r w:rsidRPr="003179F0">
        <w:rPr>
          <w:rFonts w:eastAsia="Times New Roman" w:cs="Arial"/>
        </w:rPr>
        <w:t>.</w:t>
      </w:r>
    </w:p>
    <w:p w14:paraId="0DF213B2" w14:textId="77777777" w:rsidR="006D3A93" w:rsidRPr="003179F0" w:rsidRDefault="006D3A93" w:rsidP="006D3A93">
      <w:pPr>
        <w:pStyle w:val="ListParagraph"/>
        <w:numPr>
          <w:ilvl w:val="0"/>
          <w:numId w:val="16"/>
        </w:numPr>
        <w:spacing w:after="120"/>
        <w:contextualSpacing w:val="0"/>
        <w:jc w:val="left"/>
        <w:rPr>
          <w:rFonts w:eastAsia="Times New Roman" w:cs="Arial"/>
          <w:color w:val="000000"/>
        </w:rPr>
      </w:pPr>
      <w:r w:rsidRPr="003179F0">
        <w:rPr>
          <w:rFonts w:cs="Arial"/>
        </w:rPr>
        <w:t>CFW should be considered when community works are required, can be accepted and performed by the local population</w:t>
      </w:r>
      <w:r w:rsidR="00DD1804" w:rsidRPr="003179F0">
        <w:rPr>
          <w:rFonts w:cs="Arial"/>
        </w:rPr>
        <w:t>, and do not interfere with traditional livelihoods</w:t>
      </w:r>
      <w:r w:rsidRPr="003179F0">
        <w:rPr>
          <w:rFonts w:cs="Arial"/>
        </w:rPr>
        <w:t>.</w:t>
      </w:r>
    </w:p>
    <w:p w14:paraId="6FDD8352" w14:textId="77777777" w:rsidR="00D528AB" w:rsidRPr="003179F0" w:rsidRDefault="00996780" w:rsidP="008E5991">
      <w:pPr>
        <w:pStyle w:val="Heading2"/>
        <w:rPr>
          <w:rFonts w:cs="Arial"/>
        </w:rPr>
      </w:pPr>
      <w:r w:rsidRPr="003179F0">
        <w:rPr>
          <w:rFonts w:cs="Arial"/>
        </w:rPr>
        <w:lastRenderedPageBreak/>
        <w:t>STEPS AND SUB-STEPS</w:t>
      </w:r>
    </w:p>
    <w:p w14:paraId="2003C62B" w14:textId="302F8EA5" w:rsidR="004E5BB5" w:rsidRPr="003179F0" w:rsidRDefault="004E5BB5" w:rsidP="003179F0">
      <w:r w:rsidRPr="003179F0">
        <w:t xml:space="preserve">The </w:t>
      </w:r>
      <w:proofErr w:type="spellStart"/>
      <w:r w:rsidRPr="003179F0">
        <w:t>CiE</w:t>
      </w:r>
      <w:proofErr w:type="spellEnd"/>
      <w:r w:rsidRPr="003179F0">
        <w:t xml:space="preserve"> Toolkit suggests </w:t>
      </w:r>
      <w:r w:rsidR="006C7742" w:rsidRPr="003179F0">
        <w:t xml:space="preserve">three </w:t>
      </w:r>
      <w:r w:rsidRPr="003179F0">
        <w:t>steps fo</w:t>
      </w:r>
      <w:r w:rsidR="00D712BF" w:rsidRPr="003179F0">
        <w:t>r the response analysis process</w:t>
      </w:r>
      <w:r w:rsidR="006C7742" w:rsidRPr="003179F0">
        <w:t xml:space="preserve">. The </w:t>
      </w:r>
      <w:proofErr w:type="spellStart"/>
      <w:r w:rsidR="006C7742" w:rsidRPr="003179F0">
        <w:t>CiE</w:t>
      </w:r>
      <w:proofErr w:type="spellEnd"/>
      <w:r w:rsidR="006C7742" w:rsidRPr="003179F0">
        <w:t xml:space="preserve"> Toolkit</w:t>
      </w:r>
      <w:r w:rsidR="00D712BF" w:rsidRPr="003179F0">
        <w:t xml:space="preserve"> makes available resources that can help you: </w:t>
      </w:r>
    </w:p>
    <w:p w14:paraId="4BD63052" w14:textId="1C10C19B" w:rsidR="00D528AB" w:rsidRPr="003179F0" w:rsidRDefault="00D712BF" w:rsidP="003179F0">
      <w:r w:rsidRPr="003179F0">
        <w:rPr>
          <w:b/>
          <w:shd w:val="clear" w:color="auto" w:fill="FFFFFF"/>
          <w:lang w:eastAsia="it-IT"/>
        </w:rPr>
        <w:t>S</w:t>
      </w:r>
      <w:r w:rsidR="004E5BB5" w:rsidRPr="003179F0">
        <w:rPr>
          <w:b/>
          <w:shd w:val="clear" w:color="auto" w:fill="FFFFFF"/>
          <w:lang w:eastAsia="it-IT"/>
        </w:rPr>
        <w:t xml:space="preserve">elect </w:t>
      </w:r>
      <w:r w:rsidR="004E5BB5" w:rsidRPr="003179F0">
        <w:rPr>
          <w:b/>
        </w:rPr>
        <w:t>cash transfer modalities and mechanisms</w:t>
      </w:r>
      <w:r w:rsidR="004E5BB5" w:rsidRPr="003179F0">
        <w:t xml:space="preserve"> that best meet the </w:t>
      </w:r>
      <w:r w:rsidR="00E77E9D" w:rsidRPr="003179F0">
        <w:t xml:space="preserve">affected population’s needs and the </w:t>
      </w:r>
      <w:r w:rsidR="004E5BB5" w:rsidRPr="003179F0">
        <w:t>objectives established for the emergency intervention</w:t>
      </w:r>
      <w:r w:rsidR="00D528AB" w:rsidRPr="003179F0">
        <w:t xml:space="preserve">. </w:t>
      </w:r>
      <w:r w:rsidR="00DD1804" w:rsidRPr="003179F0">
        <w:t xml:space="preserve">This selection starts by exploring potential response options. If cash is being considered, before proceeding you should check if cash is feasible, considering market conditions, organizational capacity, and government policies, among other key issues. </w:t>
      </w:r>
      <w:r w:rsidR="00CC068F" w:rsidRPr="003179F0">
        <w:t xml:space="preserve">Your final decision for cash or other response option should be based on a comparative analysis that takes into account at least: </w:t>
      </w:r>
      <w:r w:rsidR="00B7622A" w:rsidRPr="003179F0">
        <w:t xml:space="preserve">suitability to the intervention objectives, </w:t>
      </w:r>
      <w:r w:rsidR="000D763F" w:rsidRPr="003179F0">
        <w:t xml:space="preserve">capacity of the agency to </w:t>
      </w:r>
      <w:r w:rsidR="00CC068F" w:rsidRPr="003179F0">
        <w:t>implement the different</w:t>
      </w:r>
      <w:r w:rsidR="000D763F" w:rsidRPr="003179F0">
        <w:t xml:space="preserve"> modalities/mechanisms, beneficiary preferences</w:t>
      </w:r>
      <w:r w:rsidR="00C458D3" w:rsidRPr="003179F0">
        <w:t>,</w:t>
      </w:r>
      <w:r w:rsidR="000D763F" w:rsidRPr="003179F0">
        <w:t xml:space="preserve"> capacity, </w:t>
      </w:r>
      <w:r w:rsidR="00CC068F" w:rsidRPr="003179F0">
        <w:t>risk</w:t>
      </w:r>
      <w:r w:rsidR="00100957" w:rsidRPr="003179F0">
        <w:t>s</w:t>
      </w:r>
      <w:r w:rsidR="00C458D3" w:rsidRPr="003179F0">
        <w:t>/</w:t>
      </w:r>
      <w:r w:rsidR="00100957" w:rsidRPr="003179F0">
        <w:t>mitigation</w:t>
      </w:r>
      <w:r w:rsidR="00B7622A" w:rsidRPr="003179F0">
        <w:t xml:space="preserve"> a</w:t>
      </w:r>
      <w:r w:rsidR="00CC068F" w:rsidRPr="003179F0">
        <w:t xml:space="preserve">nd cost. </w:t>
      </w:r>
      <w:r w:rsidR="000D763F" w:rsidRPr="003179F0">
        <w:t xml:space="preserve">The </w:t>
      </w:r>
      <w:r w:rsidR="00B7622A" w:rsidRPr="003179F0">
        <w:t xml:space="preserve">process of selecting cash transfer modalities and mechanisms should involve different departments, at least finance and logistics, and the </w:t>
      </w:r>
      <w:r w:rsidR="000D763F" w:rsidRPr="003179F0">
        <w:t>rationale behind the final choice should be shared with the key stakeholders.</w:t>
      </w:r>
    </w:p>
    <w:p w14:paraId="73088550" w14:textId="77777777" w:rsidR="000F0CF2" w:rsidRPr="003179F0" w:rsidRDefault="00D712BF" w:rsidP="003179F0">
      <w:r w:rsidRPr="003179F0">
        <w:rPr>
          <w:b/>
        </w:rPr>
        <w:t xml:space="preserve">Make decisions regarding </w:t>
      </w:r>
      <w:r w:rsidR="006642BE" w:rsidRPr="003179F0">
        <w:rPr>
          <w:b/>
        </w:rPr>
        <w:t xml:space="preserve">the </w:t>
      </w:r>
      <w:r w:rsidRPr="003179F0">
        <w:rPr>
          <w:b/>
        </w:rPr>
        <w:t>transfer</w:t>
      </w:r>
      <w:r w:rsidR="006C2161" w:rsidRPr="003179F0">
        <w:t>, particularly its value and frequency, and whether or not it should be adjusted to household size and</w:t>
      </w:r>
      <w:r w:rsidR="006642BE" w:rsidRPr="003179F0">
        <w:t xml:space="preserve"> to</w:t>
      </w:r>
      <w:r w:rsidR="006C2161" w:rsidRPr="003179F0">
        <w:t xml:space="preserve"> price changes. </w:t>
      </w:r>
    </w:p>
    <w:p w14:paraId="28EF51DD" w14:textId="74F9E9E1" w:rsidR="00D528AB" w:rsidRPr="003179F0" w:rsidRDefault="006C2161" w:rsidP="00B73C75">
      <w:pPr>
        <w:spacing w:after="360"/>
      </w:pPr>
      <w:r w:rsidRPr="003179F0">
        <w:rPr>
          <w:b/>
        </w:rPr>
        <w:t>Make targeting decisions</w:t>
      </w:r>
      <w:r w:rsidRPr="003179F0">
        <w:t xml:space="preserve">, starting from whether to go for blanket or targeted distributions. </w:t>
      </w:r>
      <w:r w:rsidR="00853516" w:rsidRPr="003179F0">
        <w:t>Targeting approaches usually include an initial</w:t>
      </w:r>
      <w:r w:rsidRPr="003179F0">
        <w:t xml:space="preserve"> geographical targeting </w:t>
      </w:r>
      <w:r w:rsidR="00853516" w:rsidRPr="003179F0">
        <w:t xml:space="preserve">followed by the </w:t>
      </w:r>
      <w:r w:rsidRPr="003179F0">
        <w:t>selection of households/individuals.</w:t>
      </w:r>
      <w:r w:rsidR="00B7622A" w:rsidRPr="003179F0">
        <w:t xml:space="preserve"> Targeting decisions </w:t>
      </w:r>
      <w:r w:rsidR="00E12B9C" w:rsidRPr="003179F0">
        <w:t>should</w:t>
      </w:r>
      <w:r w:rsidR="00B7622A" w:rsidRPr="003179F0">
        <w:t xml:space="preserve"> take place at an initial stage of response analysis, as they influence the choice of the r</w:t>
      </w:r>
      <w:r w:rsidR="006C7742" w:rsidRPr="003179F0">
        <w:t xml:space="preserve">esponse modality and mechanisms. </w:t>
      </w:r>
      <w:r w:rsidR="00A92250" w:rsidRPr="003179F0">
        <w:t xml:space="preserve">In order to target households/individuals, you will have to </w:t>
      </w:r>
      <w:r w:rsidR="00F80A2D" w:rsidRPr="003179F0">
        <w:t xml:space="preserve">first </w:t>
      </w:r>
      <w:r w:rsidR="00A92250" w:rsidRPr="003179F0">
        <w:t xml:space="preserve">choose appropriate targeting criteria </w:t>
      </w:r>
      <w:r w:rsidR="00F80A2D" w:rsidRPr="003179F0">
        <w:t xml:space="preserve">(usually based on indicators of vulnerability). </w:t>
      </w:r>
      <w:r w:rsidR="006C7742" w:rsidRPr="003179F0">
        <w:t xml:space="preserve">It is good practice to involve community members in the definition of targeting criteria. </w:t>
      </w:r>
      <w:r w:rsidR="00F80A2D" w:rsidRPr="003179F0">
        <w:t>The choice of the targeting</w:t>
      </w:r>
      <w:r w:rsidR="00A92250" w:rsidRPr="003179F0">
        <w:t xml:space="preserve"> mechanism</w:t>
      </w:r>
      <w:r w:rsidR="00F80A2D" w:rsidRPr="003179F0">
        <w:t xml:space="preserve"> will likely be a trade-off between the costs, accuracy and feasibility associated with each of them</w:t>
      </w:r>
      <w:r w:rsidR="000F0CF2" w:rsidRPr="003179F0">
        <w:t>.</w:t>
      </w:r>
    </w:p>
    <w:tbl>
      <w:tblPr>
        <w:tblStyle w:val="TableGray"/>
        <w:tblW w:w="0" w:type="auto"/>
        <w:tblLook w:val="04A0" w:firstRow="1" w:lastRow="0" w:firstColumn="1" w:lastColumn="0" w:noHBand="0" w:noVBand="1"/>
      </w:tblPr>
      <w:tblGrid>
        <w:gridCol w:w="9848"/>
      </w:tblGrid>
      <w:tr w:rsidR="001F0472" w14:paraId="138210F7" w14:textId="77777777" w:rsidTr="001F0472">
        <w:tc>
          <w:tcPr>
            <w:tcW w:w="9848" w:type="dxa"/>
          </w:tcPr>
          <w:p w14:paraId="41A03945" w14:textId="4D741E8B" w:rsidR="001F0472" w:rsidRPr="0053299D" w:rsidRDefault="001F0472" w:rsidP="008B0593">
            <w:pPr>
              <w:pStyle w:val="RefTitre"/>
              <w:rPr>
                <w:lang w:val="fr-CA"/>
              </w:rPr>
            </w:pPr>
            <w:r w:rsidRPr="0053299D">
              <w:rPr>
                <w:lang w:val="fr-CA"/>
              </w:rPr>
              <w:t>REFERENCE DOCUMENTS</w:t>
            </w:r>
          </w:p>
          <w:p w14:paraId="3AC1DD4A" w14:textId="6C35AFF7" w:rsidR="001F0472" w:rsidRPr="008B0593" w:rsidRDefault="001F0472" w:rsidP="008B0593">
            <w:pPr>
              <w:pStyle w:val="RefItem1"/>
            </w:pPr>
            <w:r w:rsidRPr="0053299D">
              <w:rPr>
                <w:lang w:val="fr-CA"/>
              </w:rPr>
              <w:t xml:space="preserve">Maxwell D. et al. </w:t>
            </w:r>
            <w:r w:rsidRPr="008B0593">
              <w:t>(2013) "Response Analysis and response choice in food security crises: a roadmap" Humanitarian Practice Network, ODI</w:t>
            </w:r>
            <w:r w:rsidR="008B0593">
              <w:br/>
            </w:r>
            <w:hyperlink r:id="rId8" w:history="1">
              <w:r w:rsidRPr="002A2669">
                <w:rPr>
                  <w:rStyle w:val="Hyperlink"/>
                </w:rPr>
                <w:t>(http://www.odihpn.org/hpn-resources/network-papers/response-analysis-and-response-choice-in-food-security-crises-a-roadmap)</w:t>
              </w:r>
            </w:hyperlink>
          </w:p>
          <w:p w14:paraId="3A5335D4" w14:textId="4833FE47" w:rsidR="001F0472" w:rsidRPr="008B0593" w:rsidRDefault="001F0472" w:rsidP="008B0593">
            <w:pPr>
              <w:pStyle w:val="RefItem1"/>
            </w:pPr>
            <w:r w:rsidRPr="008B0593">
              <w:t>Harvey P., Bailey S., (2011) Cash transfer programming in emergencies. Good Practice Review</w:t>
            </w:r>
            <w:r w:rsidR="008B0593">
              <w:br/>
            </w:r>
            <w:r w:rsidRPr="008B0593">
              <w:t>(</w:t>
            </w:r>
            <w:hyperlink r:id="rId9" w:history="1">
              <w:r w:rsidRPr="002A2669">
                <w:rPr>
                  <w:rStyle w:val="Hyperlink"/>
                </w:rPr>
                <w:t>http://www.odihpn.org/documents%2Fgpr11.pdf)</w:t>
              </w:r>
            </w:hyperlink>
          </w:p>
          <w:p w14:paraId="2544C69B" w14:textId="57C464E5" w:rsidR="001F0472" w:rsidRPr="008B0593" w:rsidRDefault="001F0472" w:rsidP="008B0593">
            <w:pPr>
              <w:pStyle w:val="RefItem1"/>
            </w:pPr>
            <w:r w:rsidRPr="008B0593">
              <w:t>International Red Cross and Red Crescent Movement (2007) Guidelines for cash transfer programing </w:t>
            </w:r>
            <w:r w:rsidR="008B0593">
              <w:br/>
            </w:r>
            <w:hyperlink r:id="rId10" w:history="1">
              <w:r w:rsidRPr="002A2669">
                <w:rPr>
                  <w:rStyle w:val="Hyperlink"/>
                </w:rPr>
                <w:t>(http://www.ifrc.org/Global/Publications/disasters/finance/cash-guidelines-en.pdf)</w:t>
              </w:r>
            </w:hyperlink>
          </w:p>
          <w:p w14:paraId="5A83F1D0" w14:textId="795119B9" w:rsidR="001F0472" w:rsidRPr="0053299D" w:rsidRDefault="001F0472" w:rsidP="008B0593">
            <w:pPr>
              <w:pStyle w:val="RefItem1"/>
              <w:rPr>
                <w:lang w:val="fr-CA"/>
              </w:rPr>
            </w:pPr>
            <w:r w:rsidRPr="008B0593">
              <w:t xml:space="preserve">ACF (2007) Implementing cash-based interventions. </w:t>
            </w:r>
            <w:r w:rsidRPr="0053299D">
              <w:rPr>
                <w:lang w:val="fr-CA"/>
              </w:rPr>
              <w:t>Pages 69-75.</w:t>
            </w:r>
            <w:r w:rsidR="008B0593" w:rsidRPr="0053299D">
              <w:rPr>
                <w:lang w:val="fr-CA"/>
              </w:rPr>
              <w:br/>
            </w:r>
            <w:hyperlink r:id="rId11" w:history="1">
              <w:r w:rsidRPr="002A2669">
                <w:rPr>
                  <w:rStyle w:val="Hyperlink"/>
                  <w:lang w:val="fr-CA"/>
                </w:rPr>
                <w:t>(http://www.actionagainsthunger.org/publication/2007/10/implementing-cash-based-interventions-guideline-aid-workers)</w:t>
              </w:r>
            </w:hyperlink>
          </w:p>
          <w:p w14:paraId="647C66D6" w14:textId="4CDA8866" w:rsidR="001F0472" w:rsidRDefault="001F0472" w:rsidP="008B0593">
            <w:pPr>
              <w:pStyle w:val="RefItem1"/>
            </w:pPr>
            <w:r w:rsidRPr="008B0593">
              <w:t>EMMA (Emergency Market Mapping and Analysis) </w:t>
            </w:r>
            <w:r w:rsidR="008B0593">
              <w:br/>
            </w:r>
            <w:hyperlink r:id="rId12" w:history="1">
              <w:r w:rsidRPr="002A2669">
                <w:rPr>
                  <w:rStyle w:val="Hyperlink"/>
                </w:rPr>
                <w:t>(http://www.emma-toolkit.org/)</w:t>
              </w:r>
            </w:hyperlink>
            <w:bookmarkStart w:id="0" w:name="_GoBack"/>
            <w:bookmarkEnd w:id="0"/>
          </w:p>
        </w:tc>
      </w:tr>
    </w:tbl>
    <w:p w14:paraId="0C73EEE4" w14:textId="77777777" w:rsidR="00D16AA1" w:rsidRPr="003179F0" w:rsidRDefault="00D16AA1" w:rsidP="006642BE">
      <w:pPr>
        <w:rPr>
          <w:rFonts w:cs="Arial"/>
        </w:rPr>
      </w:pPr>
    </w:p>
    <w:sectPr w:rsidR="00D16AA1" w:rsidRPr="003179F0" w:rsidSect="008E5991">
      <w:headerReference w:type="default" r:id="rId13"/>
      <w:footerReference w:type="even" r:id="rId14"/>
      <w:footerReference w:type="default" r:id="rId15"/>
      <w:headerReference w:type="first" r:id="rId16"/>
      <w:footerReference w:type="first" r:id="rId17"/>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1A577" w15:done="0"/>
  <w15:commentEx w15:paraId="59159DAC" w15:done="0"/>
  <w15:commentEx w15:paraId="16734231" w15:done="0"/>
  <w15:commentEx w15:paraId="0906D31B" w15:done="0"/>
  <w15:commentEx w15:paraId="2D6BEAB5" w15:done="0"/>
  <w15:commentEx w15:paraId="433DE970" w15:done="0"/>
  <w15:commentEx w15:paraId="7A076536" w15:done="0"/>
  <w15:commentEx w15:paraId="075F0418" w15:done="0"/>
  <w15:commentEx w15:paraId="6ACAB7D9" w15:done="0"/>
  <w15:commentEx w15:paraId="5768CFFB" w15:done="0"/>
  <w15:commentEx w15:paraId="3E83B5B3" w15:done="0"/>
  <w15:commentEx w15:paraId="0A72C9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AD991" w14:textId="77777777" w:rsidR="005E59F5" w:rsidRDefault="005E59F5" w:rsidP="00752615">
      <w:pPr>
        <w:spacing w:after="0"/>
      </w:pPr>
      <w:r>
        <w:separator/>
      </w:r>
    </w:p>
  </w:endnote>
  <w:endnote w:type="continuationSeparator" w:id="0">
    <w:p w14:paraId="2B094460" w14:textId="77777777" w:rsidR="005E59F5" w:rsidRDefault="005E59F5"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72EC" w14:textId="77777777" w:rsidR="00B7622A" w:rsidRDefault="00B7622A" w:rsidP="0075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975E5" w14:textId="77777777" w:rsidR="00B7622A" w:rsidRDefault="00B7622A" w:rsidP="00752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60ECE" w14:textId="77777777" w:rsidR="008B0593" w:rsidRPr="00B45C74" w:rsidRDefault="008B059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A2669">
      <w:rPr>
        <w:b/>
        <w:noProof/>
        <w:color w:val="808080" w:themeColor="background1" w:themeShade="80"/>
        <w:sz w:val="18"/>
        <w:szCs w:val="18"/>
      </w:rPr>
      <w:t>2</w:t>
    </w:r>
    <w:r w:rsidRPr="00B45C74">
      <w:rPr>
        <w:b/>
        <w:color w:val="808080" w:themeColor="background1" w:themeShade="80"/>
        <w:sz w:val="18"/>
        <w:szCs w:val="18"/>
      </w:rPr>
      <w:fldChar w:fldCharType="end"/>
    </w:r>
  </w:p>
  <w:p w14:paraId="5BE2C874" w14:textId="23A0D150" w:rsidR="008B0593" w:rsidRPr="003A3500" w:rsidRDefault="008B0593" w:rsidP="00ED1B2B">
    <w:pPr>
      <w:pStyle w:val="Footer"/>
    </w:pPr>
    <w:r w:rsidRPr="00107E15">
      <w:rPr>
        <w:b/>
      </w:rPr>
      <w:t xml:space="preserve">Module </w:t>
    </w:r>
    <w:r>
      <w:rPr>
        <w:b/>
      </w:rPr>
      <w:t>3</w:t>
    </w:r>
    <w:r w:rsidRPr="00107E15">
      <w:rPr>
        <w:b/>
      </w:rPr>
      <w:t>.</w:t>
    </w:r>
    <w:r w:rsidRPr="00107E15">
      <w:t xml:space="preserve"> </w:t>
    </w:r>
    <w:r>
      <w:t xml:space="preserve">Roadmap for response analysis </w:t>
    </w:r>
    <w:r w:rsidRPr="00107E15">
      <w:rPr>
        <w:i/>
      </w:rPr>
      <w:fldChar w:fldCharType="begin"/>
    </w:r>
    <w:r w:rsidRPr="00107E15">
      <w:rPr>
        <w:i/>
      </w:rPr>
      <w:instrText xml:space="preserve"> STYLEREF  H1 \t  \* MERGEFORMAT </w:instrText>
    </w:r>
    <w:r w:rsidRPr="00107E1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33FD" w14:textId="77777777" w:rsidR="008E5991" w:rsidRPr="00B45C74" w:rsidRDefault="008E599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A2669">
      <w:rPr>
        <w:b/>
        <w:noProof/>
        <w:color w:val="808080" w:themeColor="background1" w:themeShade="80"/>
        <w:sz w:val="18"/>
        <w:szCs w:val="18"/>
      </w:rPr>
      <w:t>1</w:t>
    </w:r>
    <w:r w:rsidRPr="00B45C74">
      <w:rPr>
        <w:b/>
        <w:color w:val="808080" w:themeColor="background1" w:themeShade="80"/>
        <w:sz w:val="18"/>
        <w:szCs w:val="18"/>
      </w:rPr>
      <w:fldChar w:fldCharType="end"/>
    </w:r>
  </w:p>
  <w:p w14:paraId="49E96340" w14:textId="22DF266F" w:rsidR="008E5991" w:rsidRPr="003A3500" w:rsidRDefault="008E5991" w:rsidP="00ED1B2B">
    <w:pPr>
      <w:pStyle w:val="Footer"/>
    </w:pPr>
    <w:r w:rsidRPr="00107E15">
      <w:rPr>
        <w:b/>
      </w:rPr>
      <w:t>Module 3.</w:t>
    </w:r>
    <w:r w:rsidRPr="00107E15">
      <w:t xml:space="preserve"> </w:t>
    </w:r>
    <w:r w:rsidRPr="00107E15">
      <w:rPr>
        <w:i/>
      </w:rPr>
      <w:fldChar w:fldCharType="begin"/>
    </w:r>
    <w:r w:rsidRPr="00107E15">
      <w:rPr>
        <w:i/>
      </w:rPr>
      <w:instrText xml:space="preserve"> STYLEREF  H1 \t  \* MERGEFORMAT </w:instrText>
    </w:r>
    <w:r w:rsidRPr="00107E15">
      <w:rPr>
        <w:i/>
      </w:rPr>
      <w:fldChar w:fldCharType="separate"/>
    </w:r>
    <w:r w:rsidR="002A2669" w:rsidRPr="002A2669">
      <w:rPr>
        <w:noProof/>
      </w:rPr>
      <w:t>Roadmap for response analysis</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F5604" w14:textId="77777777" w:rsidR="005E59F5" w:rsidRDefault="005E59F5" w:rsidP="00752615">
      <w:pPr>
        <w:spacing w:after="0"/>
      </w:pPr>
      <w:r>
        <w:separator/>
      </w:r>
    </w:p>
  </w:footnote>
  <w:footnote w:type="continuationSeparator" w:id="0">
    <w:p w14:paraId="2EEF3F02" w14:textId="77777777" w:rsidR="005E59F5" w:rsidRDefault="005E59F5" w:rsidP="00752615">
      <w:pPr>
        <w:spacing w:after="0"/>
      </w:pPr>
      <w:r>
        <w:continuationSeparator/>
      </w:r>
    </w:p>
  </w:footnote>
  <w:footnote w:id="1">
    <w:p w14:paraId="7B379AD7" w14:textId="77777777" w:rsidR="00B7622A" w:rsidRPr="00B73C75" w:rsidRDefault="00B7622A">
      <w:pPr>
        <w:pStyle w:val="FootnoteText"/>
        <w:rPr>
          <w:rFonts w:cs="Arial"/>
          <w:szCs w:val="16"/>
        </w:rPr>
      </w:pPr>
      <w:r w:rsidRPr="00B73C75">
        <w:rPr>
          <w:rStyle w:val="FootnoteReference"/>
          <w:rFonts w:cs="Arial"/>
          <w:szCs w:val="16"/>
        </w:rPr>
        <w:footnoteRef/>
      </w:r>
      <w:r w:rsidRPr="00B73C75">
        <w:rPr>
          <w:rFonts w:cs="Arial"/>
          <w:szCs w:val="16"/>
        </w:rPr>
        <w:t xml:space="preserve"> </w:t>
      </w:r>
      <w:proofErr w:type="gramStart"/>
      <w:r w:rsidRPr="00B73C75">
        <w:rPr>
          <w:rFonts w:cs="Arial"/>
          <w:szCs w:val="16"/>
        </w:rPr>
        <w:t>Food security, livelihoods, shelter, health, water and sanitation, etc. or multi-sectorial.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5CAD" w14:textId="77777777" w:rsidR="008E5991" w:rsidRPr="00074036" w:rsidRDefault="008E599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BFC0" w14:textId="77777777" w:rsidR="008E5991" w:rsidRDefault="008E5991" w:rsidP="00050617">
    <w:pPr>
      <w:pStyle w:val="Header1"/>
    </w:pPr>
    <w:r>
      <w:rPr>
        <w:noProof/>
        <w:lang w:val="en-CA" w:eastAsia="en-CA"/>
      </w:rPr>
      <w:drawing>
        <wp:anchor distT="0" distB="0" distL="114300" distR="114300" simplePos="0" relativeHeight="251663360" behindDoc="0" locked="0" layoutInCell="1" allowOverlap="1" wp14:anchorId="68C8E554" wp14:editId="7E12C59E">
          <wp:simplePos x="0" y="0"/>
          <wp:positionH relativeFrom="page">
            <wp:posOffset>1080135</wp:posOffset>
          </wp:positionH>
          <wp:positionV relativeFrom="page">
            <wp:posOffset>377825</wp:posOffset>
          </wp:positionV>
          <wp:extent cx="633730" cy="719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4C2D0B94" w14:textId="77777777" w:rsidR="008E5991" w:rsidRDefault="008E5991" w:rsidP="00050617">
    <w:pPr>
      <w:pStyle w:val="Header1"/>
    </w:pPr>
  </w:p>
  <w:p w14:paraId="77221D01" w14:textId="77777777" w:rsidR="008E5991" w:rsidRDefault="008E5991" w:rsidP="00CB38F7">
    <w:pPr>
      <w:pStyle w:val="Header"/>
      <w:rPr>
        <w:color w:val="DC281E"/>
        <w:sz w:val="24"/>
        <w:szCs w:val="24"/>
      </w:rPr>
    </w:pPr>
    <w:r>
      <w:rPr>
        <w:noProof/>
        <w:lang w:val="en-CA" w:eastAsia="en-CA"/>
      </w:rPr>
      <w:drawing>
        <wp:anchor distT="0" distB="0" distL="114300" distR="114300" simplePos="0" relativeHeight="251662336" behindDoc="0" locked="0" layoutInCell="1" allowOverlap="1" wp14:anchorId="31343323" wp14:editId="3A9A9F68">
          <wp:simplePos x="0" y="0"/>
          <wp:positionH relativeFrom="page">
            <wp:posOffset>3366135</wp:posOffset>
          </wp:positionH>
          <wp:positionV relativeFrom="page">
            <wp:posOffset>784225</wp:posOffset>
          </wp:positionV>
          <wp:extent cx="3200400" cy="29986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72BFB34F" w14:textId="77777777" w:rsidR="008E5991" w:rsidRDefault="008E5991" w:rsidP="00C16D71">
    <w:pPr>
      <w:pStyle w:val="Header"/>
      <w:spacing w:line="240" w:lineRule="auto"/>
      <w:rPr>
        <w:b/>
        <w:color w:val="DC281E"/>
        <w:sz w:val="24"/>
        <w:szCs w:val="24"/>
      </w:rPr>
    </w:pPr>
  </w:p>
  <w:p w14:paraId="3F4ED8F5" w14:textId="77777777" w:rsidR="008E5991" w:rsidRDefault="008E5991" w:rsidP="00C16D71">
    <w:pPr>
      <w:pStyle w:val="Header"/>
      <w:spacing w:line="240" w:lineRule="auto"/>
      <w:rPr>
        <w:b/>
        <w:color w:val="DC281E"/>
        <w:sz w:val="24"/>
        <w:szCs w:val="24"/>
      </w:rPr>
    </w:pPr>
  </w:p>
  <w:p w14:paraId="4EE60133" w14:textId="77777777" w:rsidR="008E5991" w:rsidRPr="008E5991" w:rsidRDefault="008E5991" w:rsidP="00050617">
    <w:pPr>
      <w:pStyle w:val="Header1"/>
      <w:rPr>
        <w:rFonts w:ascii="Arial Bold" w:hAnsi="Arial Bold"/>
        <w:color w:val="DC281E"/>
      </w:rPr>
    </w:pPr>
    <w:r w:rsidRPr="008E5991">
      <w:rPr>
        <w:rFonts w:ascii="Arial Bold" w:hAnsi="Arial Bold"/>
        <w:color w:val="DC281E"/>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3"/>
  </w:num>
  <w:num w:numId="4">
    <w:abstractNumId w:val="11"/>
  </w:num>
  <w:num w:numId="5">
    <w:abstractNumId w:val="25"/>
  </w:num>
  <w:num w:numId="6">
    <w:abstractNumId w:val="10"/>
  </w:num>
  <w:num w:numId="7">
    <w:abstractNumId w:val="14"/>
  </w:num>
  <w:num w:numId="8">
    <w:abstractNumId w:val="6"/>
  </w:num>
  <w:num w:numId="9">
    <w:abstractNumId w:val="27"/>
  </w:num>
  <w:num w:numId="10">
    <w:abstractNumId w:val="17"/>
  </w:num>
  <w:num w:numId="11">
    <w:abstractNumId w:val="18"/>
  </w:num>
  <w:num w:numId="12">
    <w:abstractNumId w:val="22"/>
  </w:num>
  <w:num w:numId="13">
    <w:abstractNumId w:val="24"/>
  </w:num>
  <w:num w:numId="14">
    <w:abstractNumId w:val="5"/>
  </w:num>
  <w:num w:numId="15">
    <w:abstractNumId w:val="23"/>
  </w:num>
  <w:num w:numId="16">
    <w:abstractNumId w:val="2"/>
  </w:num>
  <w:num w:numId="17">
    <w:abstractNumId w:val="1"/>
  </w:num>
  <w:num w:numId="18">
    <w:abstractNumId w:val="26"/>
  </w:num>
  <w:num w:numId="19">
    <w:abstractNumId w:val="13"/>
  </w:num>
  <w:num w:numId="20">
    <w:abstractNumId w:val="7"/>
  </w:num>
  <w:num w:numId="21">
    <w:abstractNumId w:val="4"/>
  </w:num>
  <w:num w:numId="22">
    <w:abstractNumId w:val="8"/>
  </w:num>
  <w:num w:numId="23">
    <w:abstractNumId w:val="12"/>
  </w:num>
  <w:num w:numId="24">
    <w:abstractNumId w:val="0"/>
  </w:num>
  <w:num w:numId="25">
    <w:abstractNumId w:val="15"/>
  </w:num>
  <w:num w:numId="26">
    <w:abstractNumId w:val="19"/>
  </w:num>
  <w:num w:numId="27">
    <w:abstractNumId w:val="21"/>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rson w15:author="Jules Kagwahabi Amoti">
    <w15:presenceInfo w15:providerId="AD" w15:userId="S-1-5-21-2160216369-3329932071-3968528880-72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0574A"/>
    <w:rsid w:val="00023DF1"/>
    <w:rsid w:val="00046C14"/>
    <w:rsid w:val="000A1118"/>
    <w:rsid w:val="000B1137"/>
    <w:rsid w:val="000D763F"/>
    <w:rsid w:val="000E5E71"/>
    <w:rsid w:val="000F0CF2"/>
    <w:rsid w:val="00100957"/>
    <w:rsid w:val="00132856"/>
    <w:rsid w:val="001B79C9"/>
    <w:rsid w:val="001C34F7"/>
    <w:rsid w:val="001F0472"/>
    <w:rsid w:val="001F6441"/>
    <w:rsid w:val="0022429E"/>
    <w:rsid w:val="00256A0A"/>
    <w:rsid w:val="0028721B"/>
    <w:rsid w:val="002A2669"/>
    <w:rsid w:val="002F689F"/>
    <w:rsid w:val="003179F0"/>
    <w:rsid w:val="00325F32"/>
    <w:rsid w:val="00333EA9"/>
    <w:rsid w:val="00335875"/>
    <w:rsid w:val="00347951"/>
    <w:rsid w:val="00357105"/>
    <w:rsid w:val="0038755F"/>
    <w:rsid w:val="003F3116"/>
    <w:rsid w:val="003F6211"/>
    <w:rsid w:val="003F7843"/>
    <w:rsid w:val="00423BB6"/>
    <w:rsid w:val="00487D04"/>
    <w:rsid w:val="004E5BB5"/>
    <w:rsid w:val="004F3661"/>
    <w:rsid w:val="00527882"/>
    <w:rsid w:val="0053299D"/>
    <w:rsid w:val="00532CB0"/>
    <w:rsid w:val="005838FA"/>
    <w:rsid w:val="005A3216"/>
    <w:rsid w:val="005E59F5"/>
    <w:rsid w:val="005F2CFA"/>
    <w:rsid w:val="0062030E"/>
    <w:rsid w:val="006642BE"/>
    <w:rsid w:val="006C2161"/>
    <w:rsid w:val="006C7742"/>
    <w:rsid w:val="006D3A93"/>
    <w:rsid w:val="00714746"/>
    <w:rsid w:val="00752615"/>
    <w:rsid w:val="00786964"/>
    <w:rsid w:val="007D1A58"/>
    <w:rsid w:val="007E02EA"/>
    <w:rsid w:val="008233E8"/>
    <w:rsid w:val="00853516"/>
    <w:rsid w:val="00875D8F"/>
    <w:rsid w:val="0088306F"/>
    <w:rsid w:val="008A4726"/>
    <w:rsid w:val="008B0593"/>
    <w:rsid w:val="008E1351"/>
    <w:rsid w:val="008E5991"/>
    <w:rsid w:val="008F402F"/>
    <w:rsid w:val="00906ED2"/>
    <w:rsid w:val="00914A39"/>
    <w:rsid w:val="00996780"/>
    <w:rsid w:val="00996BB9"/>
    <w:rsid w:val="009B0C51"/>
    <w:rsid w:val="009D3D80"/>
    <w:rsid w:val="00A324E8"/>
    <w:rsid w:val="00A60850"/>
    <w:rsid w:val="00A60BE5"/>
    <w:rsid w:val="00A902C1"/>
    <w:rsid w:val="00A92250"/>
    <w:rsid w:val="00AF7E37"/>
    <w:rsid w:val="00B0620E"/>
    <w:rsid w:val="00B267F4"/>
    <w:rsid w:val="00B43740"/>
    <w:rsid w:val="00B7000E"/>
    <w:rsid w:val="00B7112C"/>
    <w:rsid w:val="00B73C75"/>
    <w:rsid w:val="00B7622A"/>
    <w:rsid w:val="00C458D3"/>
    <w:rsid w:val="00CC068F"/>
    <w:rsid w:val="00D16AA1"/>
    <w:rsid w:val="00D436BF"/>
    <w:rsid w:val="00D528AB"/>
    <w:rsid w:val="00D62AC5"/>
    <w:rsid w:val="00D712BF"/>
    <w:rsid w:val="00DC1372"/>
    <w:rsid w:val="00DD1804"/>
    <w:rsid w:val="00DD662A"/>
    <w:rsid w:val="00DE13F0"/>
    <w:rsid w:val="00E01226"/>
    <w:rsid w:val="00E12B9C"/>
    <w:rsid w:val="00E32DE2"/>
    <w:rsid w:val="00E77E9D"/>
    <w:rsid w:val="00F03F89"/>
    <w:rsid w:val="00F80A2D"/>
    <w:rsid w:val="00F90F42"/>
    <w:rsid w:val="00FA16A0"/>
    <w:rsid w:val="00FD32D1"/>
    <w:rsid w:val="00FE5C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B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rsid w:val="002A2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669"/>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rsid w:val="002A2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669"/>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hpn.org/hpn-resources/network-papers/response-analysis-and-response-choice-in-food-security-crises-a-roadmap"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mma-toolkit.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ionagainsthunger.org/publication/2007/10/implementing-cash-based-interventions-guideline-aid-work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frc.org/Global/Publications/disasters/finance/cash-guidelines-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ihpn.org/documents%2Fgpr1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2</cp:revision>
  <cp:lastPrinted>2015-09-25T19:19:00Z</cp:lastPrinted>
  <dcterms:created xsi:type="dcterms:W3CDTF">2015-10-07T09:59:00Z</dcterms:created>
  <dcterms:modified xsi:type="dcterms:W3CDTF">2015-10-07T09:59:00Z</dcterms:modified>
</cp:coreProperties>
</file>