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0D90D1" w14:textId="37206710" w:rsidR="00CC5963" w:rsidRPr="006F4ABB" w:rsidRDefault="00E46836" w:rsidP="002434A6">
      <w:pPr>
        <w:pStyle w:val="H1"/>
        <w:rPr>
          <w:lang w:val="fr-FR"/>
        </w:rPr>
      </w:pPr>
      <w:r w:rsidRPr="006F4ABB">
        <w:rPr>
          <w:lang w:val="fr-FR"/>
        </w:rPr>
        <w:t>I</w:t>
      </w:r>
      <w:r w:rsidR="00647CAE" w:rsidRPr="006F4ABB">
        <w:rPr>
          <w:lang w:val="fr-FR"/>
        </w:rPr>
        <w:t>nformation</w:t>
      </w:r>
      <w:r w:rsidR="006F4ABB" w:rsidRPr="006F4ABB">
        <w:rPr>
          <w:lang w:val="fr-FR"/>
        </w:rPr>
        <w:t>s</w:t>
      </w:r>
      <w:r w:rsidR="00647CAE" w:rsidRPr="006F4ABB">
        <w:rPr>
          <w:lang w:val="fr-FR"/>
        </w:rPr>
        <w:t xml:space="preserve"> </w:t>
      </w:r>
      <w:r w:rsidR="006F4ABB" w:rsidRPr="006F4ABB">
        <w:rPr>
          <w:lang w:val="fr-FR"/>
        </w:rPr>
        <w:t xml:space="preserve">à collecter dans le cadre d’une évaluation </w:t>
      </w:r>
      <w:r w:rsidR="002434A6">
        <w:rPr>
          <w:lang w:val="fr-FR"/>
        </w:rPr>
        <w:t>des</w:t>
      </w:r>
      <w:r w:rsidR="006F4ABB" w:rsidRPr="006F4ABB">
        <w:rPr>
          <w:lang w:val="fr-FR"/>
        </w:rPr>
        <w:t xml:space="preserve"> marché</w:t>
      </w:r>
      <w:r w:rsidR="002434A6">
        <w:rPr>
          <w:lang w:val="fr-FR"/>
        </w:rPr>
        <w:t>s</w:t>
      </w:r>
    </w:p>
    <w:p w14:paraId="0F7984D6" w14:textId="7D06A865" w:rsidR="00822255" w:rsidRPr="00CC415F" w:rsidRDefault="005208A8" w:rsidP="00D866D1">
      <w:pPr>
        <w:spacing w:after="240"/>
        <w:rPr>
          <w:lang w:val="fr-FR"/>
        </w:rPr>
      </w:pPr>
      <w:r w:rsidRPr="005208A8">
        <w:rPr>
          <w:lang w:val="fr-FR"/>
        </w:rPr>
        <w:t>L</w:t>
      </w:r>
      <w:r w:rsidR="00D866D1">
        <w:rPr>
          <w:lang w:val="fr-FR"/>
        </w:rPr>
        <w:t xml:space="preserve">e document </w:t>
      </w:r>
      <w:proofErr w:type="spellStart"/>
      <w:r w:rsidRPr="00107F01">
        <w:rPr>
          <w:rFonts w:cs="Arial"/>
          <w:i/>
          <w:iCs/>
          <w:lang w:val="fr-FR"/>
        </w:rPr>
        <w:t>Market</w:t>
      </w:r>
      <w:proofErr w:type="spellEnd"/>
      <w:r w:rsidRPr="00107F01">
        <w:rPr>
          <w:rFonts w:cs="Arial"/>
          <w:i/>
          <w:iCs/>
          <w:lang w:val="fr-FR"/>
        </w:rPr>
        <w:t xml:space="preserve"> </w:t>
      </w:r>
      <w:proofErr w:type="spellStart"/>
      <w:r w:rsidRPr="00107F01">
        <w:rPr>
          <w:rFonts w:cs="Arial"/>
          <w:i/>
          <w:iCs/>
          <w:lang w:val="fr-FR"/>
        </w:rPr>
        <w:t>Analysis</w:t>
      </w:r>
      <w:proofErr w:type="spellEnd"/>
      <w:r w:rsidRPr="00107F01">
        <w:rPr>
          <w:rFonts w:cs="Arial"/>
          <w:i/>
          <w:iCs/>
          <w:lang w:val="fr-FR"/>
        </w:rPr>
        <w:t xml:space="preserve"> Guidance</w:t>
      </w:r>
      <w:r w:rsidR="00D866D1" w:rsidRPr="00D866D1">
        <w:rPr>
          <w:lang w:val="fr-FR"/>
        </w:rPr>
        <w:t xml:space="preserve"> </w:t>
      </w:r>
      <w:r w:rsidR="00D866D1">
        <w:rPr>
          <w:lang w:val="fr-FR"/>
        </w:rPr>
        <w:t>(O</w:t>
      </w:r>
      <w:r w:rsidR="00D866D1" w:rsidRPr="005208A8">
        <w:rPr>
          <w:lang w:val="fr-FR"/>
        </w:rPr>
        <w:t>rientations pour l’analyse de marché</w:t>
      </w:r>
      <w:r w:rsidR="00850043" w:rsidRPr="005208A8">
        <w:rPr>
          <w:lang w:val="fr-FR"/>
        </w:rPr>
        <w:t>)</w:t>
      </w:r>
      <w:r w:rsidR="00850043">
        <w:rPr>
          <w:rStyle w:val="FootnoteReference"/>
        </w:rPr>
        <w:footnoteReference w:id="1"/>
      </w:r>
      <w:r w:rsidR="0044161C" w:rsidRPr="005208A8">
        <w:rPr>
          <w:lang w:val="fr-FR"/>
        </w:rPr>
        <w:t xml:space="preserve"> </w:t>
      </w:r>
      <w:r w:rsidRPr="005208A8">
        <w:rPr>
          <w:lang w:val="fr-FR"/>
        </w:rPr>
        <w:t>fou</w:t>
      </w:r>
      <w:r w:rsidR="00D866D1">
        <w:rPr>
          <w:lang w:val="fr-FR"/>
        </w:rPr>
        <w:t>rni</w:t>
      </w:r>
      <w:r w:rsidR="00273249">
        <w:rPr>
          <w:lang w:val="fr-FR"/>
        </w:rPr>
        <w:t>t une série de questions-guides</w:t>
      </w:r>
      <w:r w:rsidR="005C7F7C">
        <w:rPr>
          <w:lang w:val="fr-FR"/>
        </w:rPr>
        <w:t>,</w:t>
      </w:r>
      <w:r w:rsidRPr="005208A8">
        <w:rPr>
          <w:lang w:val="fr-FR"/>
        </w:rPr>
        <w:t xml:space="preserve"> accompagnées </w:t>
      </w:r>
      <w:r w:rsidR="005C7F7C">
        <w:rPr>
          <w:lang w:val="fr-FR"/>
        </w:rPr>
        <w:t xml:space="preserve">de conseils et </w:t>
      </w:r>
      <w:r>
        <w:rPr>
          <w:lang w:val="fr-FR"/>
        </w:rPr>
        <w:t xml:space="preserve">d’outils </w:t>
      </w:r>
      <w:r w:rsidR="005C7F7C">
        <w:rPr>
          <w:lang w:val="fr-FR"/>
        </w:rPr>
        <w:t>techniques,</w:t>
      </w:r>
      <w:r w:rsidR="00BE0E85">
        <w:rPr>
          <w:lang w:val="fr-FR"/>
        </w:rPr>
        <w:t xml:space="preserve"> permettant d’intégrer les informations sur le</w:t>
      </w:r>
      <w:r w:rsidR="00151B45">
        <w:rPr>
          <w:lang w:val="fr-FR"/>
        </w:rPr>
        <w:t>s</w:t>
      </w:r>
      <w:r w:rsidR="00BE0E85">
        <w:rPr>
          <w:lang w:val="fr-FR"/>
        </w:rPr>
        <w:t xml:space="preserve"> marché</w:t>
      </w:r>
      <w:r w:rsidR="00151B45">
        <w:rPr>
          <w:lang w:val="fr-FR"/>
        </w:rPr>
        <w:t>s</w:t>
      </w:r>
      <w:r w:rsidR="005C7F7C">
        <w:rPr>
          <w:lang w:val="fr-FR"/>
        </w:rPr>
        <w:t xml:space="preserve"> dans les différentes phases du cycle de projet.</w:t>
      </w:r>
      <w:r w:rsidR="00BE0E85">
        <w:rPr>
          <w:lang w:val="fr-FR"/>
        </w:rPr>
        <w:t xml:space="preserve"> </w:t>
      </w:r>
      <w:r w:rsidR="00BE0E85" w:rsidRPr="00BE0E85">
        <w:rPr>
          <w:lang w:val="fr-FR"/>
        </w:rPr>
        <w:t xml:space="preserve">Le tableau ci-dessous, qui en est extrait, présente les </w:t>
      </w:r>
      <w:r w:rsidR="00BE0E85">
        <w:rPr>
          <w:lang w:val="fr-FR"/>
        </w:rPr>
        <w:t>éléments devant</w:t>
      </w:r>
      <w:r w:rsidR="00BE0E85" w:rsidRPr="00BE0E85">
        <w:rPr>
          <w:lang w:val="fr-FR"/>
        </w:rPr>
        <w:t xml:space="preserve"> </w:t>
      </w:r>
      <w:r w:rsidR="00BE0E85">
        <w:rPr>
          <w:lang w:val="fr-FR"/>
        </w:rPr>
        <w:t>être examinés dans le cadre d’une évaluation de</w:t>
      </w:r>
      <w:r w:rsidR="001B65AC">
        <w:rPr>
          <w:lang w:val="fr-FR"/>
        </w:rPr>
        <w:t>s</w:t>
      </w:r>
      <w:r w:rsidR="00BE0E85">
        <w:rPr>
          <w:lang w:val="fr-FR"/>
        </w:rPr>
        <w:t xml:space="preserve"> marché</w:t>
      </w:r>
      <w:r w:rsidR="001B65AC">
        <w:rPr>
          <w:lang w:val="fr-FR"/>
        </w:rPr>
        <w:t>s</w:t>
      </w:r>
      <w:r w:rsidR="00BE0E85">
        <w:rPr>
          <w:lang w:val="fr-FR"/>
        </w:rPr>
        <w:t>.</w:t>
      </w:r>
      <w:r w:rsidR="00850043" w:rsidRPr="00BE0E85">
        <w:rPr>
          <w:b/>
          <w:sz w:val="22"/>
          <w:szCs w:val="22"/>
          <w:lang w:val="fr-FR"/>
        </w:rPr>
        <w:t xml:space="preserve"> </w:t>
      </w:r>
    </w:p>
    <w:tbl>
      <w:tblPr>
        <w:tblStyle w:val="TableGrid"/>
        <w:tblW w:w="9640" w:type="dxa"/>
        <w:tblInd w:w="108" w:type="dxa"/>
        <w:tblLook w:val="04A0" w:firstRow="1" w:lastRow="0" w:firstColumn="1" w:lastColumn="0" w:noHBand="0" w:noVBand="1"/>
      </w:tblPr>
      <w:tblGrid>
        <w:gridCol w:w="1560"/>
        <w:gridCol w:w="2126"/>
        <w:gridCol w:w="5954"/>
      </w:tblGrid>
      <w:tr w:rsidR="00856B7F" w:rsidRPr="00822ACE" w14:paraId="0347F903" w14:textId="77777777" w:rsidTr="00822ACE">
        <w:tc>
          <w:tcPr>
            <w:tcW w:w="1560" w:type="dxa"/>
            <w:tcBorders>
              <w:bottom w:val="single" w:sz="4" w:space="0" w:color="auto"/>
            </w:tcBorders>
            <w:shd w:val="clear" w:color="auto" w:fill="DC281E"/>
            <w:vAlign w:val="center"/>
          </w:tcPr>
          <w:p w14:paraId="771A7A88" w14:textId="321E8327" w:rsidR="00712F18" w:rsidRPr="00250D82" w:rsidRDefault="00BE0E85" w:rsidP="00A633DC">
            <w:pPr>
              <w:spacing w:before="120"/>
              <w:jc w:val="center"/>
              <w:rPr>
                <w:rFonts w:ascii="Arial Bold" w:hAnsi="Arial Bold" w:cs="Arial"/>
                <w:b/>
                <w:color w:val="FFFFFF" w:themeColor="background1"/>
                <w:lang w:val="fr-FR"/>
              </w:rPr>
            </w:pPr>
            <w:r w:rsidRPr="00250D82">
              <w:rPr>
                <w:rFonts w:ascii="Arial Bold" w:hAnsi="Arial Bold" w:cs="Arial"/>
                <w:b/>
                <w:color w:val="FFFFFF" w:themeColor="background1"/>
                <w:lang w:val="fr-FR"/>
              </w:rPr>
              <w:t xml:space="preserve">Éléments </w:t>
            </w:r>
            <w:r w:rsidR="00A633DC">
              <w:rPr>
                <w:rFonts w:ascii="Arial Bold" w:hAnsi="Arial Bold" w:cs="Arial"/>
                <w:b/>
                <w:color w:val="FFFFFF" w:themeColor="background1"/>
                <w:lang w:val="fr-FR"/>
              </w:rPr>
              <w:t>des</w:t>
            </w:r>
            <w:r w:rsidRPr="00250D82">
              <w:rPr>
                <w:rFonts w:ascii="Arial Bold" w:hAnsi="Arial Bold" w:cs="Arial"/>
                <w:b/>
                <w:color w:val="FFFFFF" w:themeColor="background1"/>
                <w:lang w:val="fr-FR"/>
              </w:rPr>
              <w:t xml:space="preserve"> marché</w:t>
            </w:r>
            <w:r w:rsidR="00A633DC">
              <w:rPr>
                <w:rFonts w:ascii="Arial Bold" w:hAnsi="Arial Bold" w:cs="Arial"/>
                <w:b/>
                <w:color w:val="FFFFFF" w:themeColor="background1"/>
                <w:lang w:val="fr-FR"/>
              </w:rPr>
              <w:t>s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C281E"/>
            <w:vAlign w:val="center"/>
          </w:tcPr>
          <w:p w14:paraId="4DDBAEF6" w14:textId="7CFA25A5" w:rsidR="00712F18" w:rsidRPr="00250D82" w:rsidRDefault="00BE0E85" w:rsidP="00822ACE">
            <w:pPr>
              <w:spacing w:before="120"/>
              <w:jc w:val="center"/>
              <w:rPr>
                <w:rFonts w:ascii="Arial Bold" w:hAnsi="Arial Bold" w:cs="Arial"/>
                <w:b/>
                <w:color w:val="FFFFFF" w:themeColor="background1"/>
                <w:lang w:val="fr-FR"/>
              </w:rPr>
            </w:pPr>
            <w:r w:rsidRPr="00250D82">
              <w:rPr>
                <w:rFonts w:ascii="Arial Bold" w:hAnsi="Arial Bold" w:cs="Arial"/>
                <w:b/>
                <w:color w:val="FFFFFF" w:themeColor="background1"/>
                <w:lang w:val="fr-FR"/>
              </w:rPr>
              <w:t>Q</w:t>
            </w:r>
            <w:r w:rsidR="00712F18" w:rsidRPr="00250D82">
              <w:rPr>
                <w:rFonts w:ascii="Arial Bold" w:hAnsi="Arial Bold" w:cs="Arial"/>
                <w:b/>
                <w:color w:val="FFFFFF" w:themeColor="background1"/>
                <w:lang w:val="fr-FR"/>
              </w:rPr>
              <w:t>uestions</w:t>
            </w:r>
            <w:r w:rsidR="00273249" w:rsidRPr="00250D82">
              <w:rPr>
                <w:rFonts w:ascii="Arial Bold" w:hAnsi="Arial Bold" w:cs="Arial"/>
                <w:b/>
                <w:color w:val="FFFFFF" w:themeColor="background1"/>
                <w:lang w:val="fr-FR"/>
              </w:rPr>
              <w:t>-guides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DC281E"/>
            <w:vAlign w:val="center"/>
          </w:tcPr>
          <w:p w14:paraId="7FD4016F" w14:textId="4FAFB4F9" w:rsidR="00712F18" w:rsidRPr="00250D82" w:rsidRDefault="00BE0E85" w:rsidP="00BE0E85">
            <w:pPr>
              <w:spacing w:before="120"/>
              <w:jc w:val="center"/>
              <w:rPr>
                <w:rFonts w:ascii="Arial Bold" w:hAnsi="Arial Bold" w:cs="Arial"/>
                <w:b/>
                <w:color w:val="FFFFFF" w:themeColor="background1"/>
                <w:lang w:val="fr-FR"/>
              </w:rPr>
            </w:pPr>
            <w:r w:rsidRPr="00250D82">
              <w:rPr>
                <w:rFonts w:ascii="Arial Bold" w:hAnsi="Arial Bold" w:cs="Arial"/>
                <w:b/>
                <w:color w:val="FFFFFF" w:themeColor="background1"/>
                <w:lang w:val="fr-FR"/>
              </w:rPr>
              <w:t>Informations pertinentes</w:t>
            </w:r>
          </w:p>
        </w:tc>
      </w:tr>
      <w:tr w:rsidR="00856B7F" w:rsidRPr="00822ACE" w14:paraId="4D635273" w14:textId="77777777" w:rsidTr="00822ACE">
        <w:trPr>
          <w:trHeight w:val="843"/>
        </w:trPr>
        <w:tc>
          <w:tcPr>
            <w:tcW w:w="1560" w:type="dxa"/>
            <w:shd w:val="clear" w:color="auto" w:fill="A6A6A6"/>
          </w:tcPr>
          <w:p w14:paraId="7B289AF6" w14:textId="69ACA0E8" w:rsidR="00647CAE" w:rsidRPr="00822ACE" w:rsidRDefault="00273249" w:rsidP="00273249">
            <w:pPr>
              <w:spacing w:before="40" w:after="40"/>
              <w:jc w:val="left"/>
              <w:rPr>
                <w:rFonts w:cs="Arial"/>
              </w:rPr>
            </w:pPr>
            <w:r w:rsidRPr="00273249">
              <w:rPr>
                <w:rFonts w:cs="Arial"/>
                <w:lang w:val="fr-FR"/>
              </w:rPr>
              <w:t>Systèmes de marché</w:t>
            </w:r>
            <w:r>
              <w:rPr>
                <w:rFonts w:cs="Arial"/>
              </w:rPr>
              <w:t xml:space="preserve"> critiques</w:t>
            </w:r>
          </w:p>
        </w:tc>
        <w:tc>
          <w:tcPr>
            <w:tcW w:w="2126" w:type="dxa"/>
            <w:shd w:val="clear" w:color="auto" w:fill="E6E6E6"/>
          </w:tcPr>
          <w:p w14:paraId="5FCDDC62" w14:textId="6B208073" w:rsidR="00647CAE" w:rsidRPr="00273249" w:rsidRDefault="00273249" w:rsidP="00273249">
            <w:pPr>
              <w:spacing w:before="40" w:after="40"/>
              <w:jc w:val="left"/>
              <w:rPr>
                <w:rFonts w:cs="Arial"/>
                <w:lang w:val="fr-FR"/>
              </w:rPr>
            </w:pPr>
            <w:r w:rsidRPr="00273249">
              <w:rPr>
                <w:rFonts w:cs="Arial"/>
                <w:i/>
                <w:lang w:val="fr-FR"/>
              </w:rPr>
              <w:t xml:space="preserve">Sur quels systèmes de marché l’évaluation </w:t>
            </w:r>
            <w:r>
              <w:rPr>
                <w:rFonts w:cs="Arial"/>
                <w:i/>
                <w:lang w:val="fr-FR"/>
              </w:rPr>
              <w:t>devrait-elle porter </w:t>
            </w:r>
            <w:r w:rsidR="00647CAE" w:rsidRPr="00273249">
              <w:rPr>
                <w:rFonts w:cs="Arial"/>
                <w:i/>
                <w:lang w:val="fr-FR"/>
              </w:rPr>
              <w:t>?</w:t>
            </w:r>
          </w:p>
        </w:tc>
        <w:tc>
          <w:tcPr>
            <w:tcW w:w="5954" w:type="dxa"/>
            <w:shd w:val="clear" w:color="auto" w:fill="F3F3F3"/>
          </w:tcPr>
          <w:p w14:paraId="778C86AC" w14:textId="60740E49" w:rsidR="00647CAE" w:rsidRPr="00250D82" w:rsidRDefault="00250D82" w:rsidP="00250D82">
            <w:pPr>
              <w:spacing w:before="40" w:after="40"/>
              <w:jc w:val="left"/>
              <w:rPr>
                <w:rFonts w:cs="Arial"/>
                <w:lang w:val="fr-FR"/>
              </w:rPr>
            </w:pPr>
            <w:r w:rsidRPr="00250D82">
              <w:rPr>
                <w:rFonts w:cs="Arial"/>
                <w:lang w:val="fr-FR"/>
              </w:rPr>
              <w:t>Liste des systèmes de marché critiques sél</w:t>
            </w:r>
            <w:r>
              <w:rPr>
                <w:rFonts w:cs="Arial"/>
                <w:lang w:val="fr-FR"/>
              </w:rPr>
              <w:t>ectionnés</w:t>
            </w:r>
          </w:p>
          <w:p w14:paraId="651763FA" w14:textId="1EEAF342" w:rsidR="00647CAE" w:rsidRPr="00822ACE" w:rsidRDefault="00250D82" w:rsidP="00250D82">
            <w:pPr>
              <w:spacing w:before="40" w:after="4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Raisons </w:t>
            </w:r>
            <w:r w:rsidRPr="00107F01">
              <w:rPr>
                <w:rFonts w:cs="Arial"/>
                <w:lang w:val="fr-FR"/>
              </w:rPr>
              <w:t>justifiant la sélection</w:t>
            </w:r>
          </w:p>
        </w:tc>
      </w:tr>
      <w:tr w:rsidR="00856B7F" w:rsidRPr="00D866D1" w14:paraId="1C52D3AE" w14:textId="77777777" w:rsidTr="00822ACE">
        <w:tc>
          <w:tcPr>
            <w:tcW w:w="1560" w:type="dxa"/>
            <w:vMerge w:val="restart"/>
            <w:shd w:val="clear" w:color="auto" w:fill="A6A6A6"/>
          </w:tcPr>
          <w:p w14:paraId="765EDD71" w14:textId="505CCAD1" w:rsidR="00647CAE" w:rsidRPr="00273249" w:rsidRDefault="00273249" w:rsidP="00273249">
            <w:pPr>
              <w:spacing w:before="40" w:after="40"/>
              <w:jc w:val="left"/>
              <w:rPr>
                <w:rFonts w:cs="Arial"/>
                <w:lang w:val="fr-FR"/>
              </w:rPr>
            </w:pPr>
            <w:r w:rsidRPr="00273249">
              <w:rPr>
                <w:rFonts w:cs="Arial"/>
                <w:lang w:val="fr-FR"/>
              </w:rPr>
              <w:t>Structure des systèmes de marché critiques</w:t>
            </w:r>
          </w:p>
        </w:tc>
        <w:tc>
          <w:tcPr>
            <w:tcW w:w="2126" w:type="dxa"/>
            <w:vMerge w:val="restart"/>
            <w:shd w:val="clear" w:color="auto" w:fill="E6E6E6"/>
          </w:tcPr>
          <w:p w14:paraId="306225D2" w14:textId="49FA3854" w:rsidR="00647CAE" w:rsidRPr="00273249" w:rsidRDefault="00273249" w:rsidP="00273249">
            <w:pPr>
              <w:spacing w:before="40" w:after="40"/>
              <w:jc w:val="left"/>
              <w:rPr>
                <w:rFonts w:cs="Arial"/>
                <w:lang w:val="fr-FR"/>
              </w:rPr>
            </w:pPr>
            <w:r w:rsidRPr="00273249">
              <w:rPr>
                <w:rFonts w:cs="Arial"/>
                <w:i/>
                <w:lang w:val="fr-FR"/>
              </w:rPr>
              <w:t xml:space="preserve">Comment les systèmes de marché </w:t>
            </w:r>
            <w:r w:rsidR="00107F01">
              <w:rPr>
                <w:rFonts w:cs="Arial"/>
                <w:i/>
                <w:lang w:val="fr-FR"/>
              </w:rPr>
              <w:t>sélectionnés sont-ils structuré</w:t>
            </w:r>
            <w:r w:rsidRPr="00273249">
              <w:rPr>
                <w:rFonts w:cs="Arial"/>
                <w:i/>
                <w:lang w:val="fr-FR"/>
              </w:rPr>
              <w:t>s </w:t>
            </w:r>
            <w:r w:rsidR="00647CAE" w:rsidRPr="00273249">
              <w:rPr>
                <w:rFonts w:cs="Arial"/>
                <w:i/>
                <w:lang w:val="fr-FR"/>
              </w:rPr>
              <w:t>?</w:t>
            </w:r>
          </w:p>
        </w:tc>
        <w:tc>
          <w:tcPr>
            <w:tcW w:w="5954" w:type="dxa"/>
            <w:shd w:val="clear" w:color="auto" w:fill="F3F3F3"/>
          </w:tcPr>
          <w:p w14:paraId="4051C72D" w14:textId="59E1A5BC" w:rsidR="00647CAE" w:rsidRPr="00250D82" w:rsidRDefault="00250D82" w:rsidP="00250D82">
            <w:pPr>
              <w:spacing w:before="40" w:after="40"/>
              <w:jc w:val="left"/>
              <w:rPr>
                <w:rFonts w:cs="Arial"/>
                <w:lang w:val="fr-FR"/>
              </w:rPr>
            </w:pPr>
            <w:r w:rsidRPr="00250D82">
              <w:rPr>
                <w:rFonts w:cs="Arial"/>
                <w:lang w:val="fr-FR"/>
              </w:rPr>
              <w:t xml:space="preserve">Instantané de la structure des marchés </w:t>
            </w:r>
            <w:r w:rsidR="00647CAE" w:rsidRPr="00250D82">
              <w:rPr>
                <w:rFonts w:cs="Arial"/>
                <w:lang w:val="fr-FR"/>
              </w:rPr>
              <w:t>(</w:t>
            </w:r>
            <w:r>
              <w:rPr>
                <w:rFonts w:cs="Arial"/>
                <w:lang w:val="fr-FR"/>
              </w:rPr>
              <w:t>cartes des marchés et des systèmes de marché</w:t>
            </w:r>
            <w:r w:rsidR="00647CAE" w:rsidRPr="00250D82">
              <w:rPr>
                <w:rFonts w:cs="Arial"/>
                <w:lang w:val="fr-FR"/>
              </w:rPr>
              <w:t>)</w:t>
            </w:r>
          </w:p>
        </w:tc>
      </w:tr>
      <w:tr w:rsidR="00856B7F" w:rsidRPr="00D866D1" w14:paraId="3B59F381" w14:textId="77777777" w:rsidTr="00822ACE">
        <w:trPr>
          <w:trHeight w:val="495"/>
        </w:trPr>
        <w:tc>
          <w:tcPr>
            <w:tcW w:w="1560" w:type="dxa"/>
            <w:vMerge/>
            <w:shd w:val="clear" w:color="auto" w:fill="A6A6A6"/>
          </w:tcPr>
          <w:p w14:paraId="308F74E2" w14:textId="77777777" w:rsidR="00647CAE" w:rsidRPr="00250D82" w:rsidRDefault="00647CAE" w:rsidP="00822ACE">
            <w:pPr>
              <w:spacing w:before="40" w:after="40"/>
              <w:jc w:val="left"/>
              <w:rPr>
                <w:rFonts w:cs="Arial"/>
                <w:lang w:val="fr-FR"/>
              </w:rPr>
            </w:pPr>
          </w:p>
        </w:tc>
        <w:tc>
          <w:tcPr>
            <w:tcW w:w="2126" w:type="dxa"/>
            <w:vMerge/>
            <w:shd w:val="clear" w:color="auto" w:fill="E6E6E6"/>
          </w:tcPr>
          <w:p w14:paraId="0A83BE33" w14:textId="77777777" w:rsidR="00647CAE" w:rsidRPr="00250D82" w:rsidRDefault="00647CAE" w:rsidP="00822ACE">
            <w:pPr>
              <w:spacing w:before="40" w:after="40"/>
              <w:jc w:val="left"/>
              <w:rPr>
                <w:rFonts w:cs="Arial"/>
                <w:lang w:val="fr-FR"/>
              </w:rPr>
            </w:pPr>
          </w:p>
        </w:tc>
        <w:tc>
          <w:tcPr>
            <w:tcW w:w="5954" w:type="dxa"/>
            <w:shd w:val="clear" w:color="auto" w:fill="F3F3F3"/>
          </w:tcPr>
          <w:p w14:paraId="7B245190" w14:textId="3D505F56" w:rsidR="00647CAE" w:rsidRPr="00250D82" w:rsidRDefault="00647CAE" w:rsidP="00317459">
            <w:pPr>
              <w:spacing w:before="40" w:after="40"/>
              <w:jc w:val="left"/>
              <w:rPr>
                <w:rFonts w:cs="Arial"/>
                <w:lang w:val="fr-FR"/>
              </w:rPr>
            </w:pPr>
            <w:r w:rsidRPr="00250D82">
              <w:rPr>
                <w:rFonts w:cs="Arial"/>
                <w:lang w:val="fr-FR"/>
              </w:rPr>
              <w:t xml:space="preserve">Description </w:t>
            </w:r>
            <w:r w:rsidR="00250D82" w:rsidRPr="00250D82">
              <w:rPr>
                <w:rFonts w:cs="Arial"/>
                <w:lang w:val="fr-FR"/>
              </w:rPr>
              <w:t xml:space="preserve">des caractéristiques des marchés, des chaînes d’approvisionnement et des </w:t>
            </w:r>
            <w:r w:rsidR="00317459">
              <w:rPr>
                <w:rFonts w:cs="Arial"/>
                <w:lang w:val="fr-FR"/>
              </w:rPr>
              <w:t>flux de marchandises ; des types et du nombre de négociants ; et des services et facteurs externes</w:t>
            </w:r>
          </w:p>
        </w:tc>
      </w:tr>
      <w:tr w:rsidR="00856B7F" w:rsidRPr="00D866D1" w14:paraId="466E5576" w14:textId="77777777" w:rsidTr="00822ACE">
        <w:tc>
          <w:tcPr>
            <w:tcW w:w="1560" w:type="dxa"/>
            <w:vMerge w:val="restart"/>
            <w:shd w:val="clear" w:color="auto" w:fill="A6A6A6"/>
          </w:tcPr>
          <w:p w14:paraId="04DF6ED0" w14:textId="69C5554E" w:rsidR="00647CAE" w:rsidRPr="00273249" w:rsidRDefault="00880296" w:rsidP="00273249">
            <w:pPr>
              <w:spacing w:before="40" w:after="40"/>
              <w:jc w:val="left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Accès de la population cible au</w:t>
            </w:r>
            <w:r w:rsidR="00107F01">
              <w:rPr>
                <w:rFonts w:cs="Arial"/>
                <w:lang w:val="fr-FR"/>
              </w:rPr>
              <w:t>x</w:t>
            </w:r>
            <w:r>
              <w:rPr>
                <w:rFonts w:cs="Arial"/>
                <w:lang w:val="fr-FR"/>
              </w:rPr>
              <w:t xml:space="preserve"> marché</w:t>
            </w:r>
            <w:r w:rsidR="00107F01">
              <w:rPr>
                <w:rFonts w:cs="Arial"/>
                <w:lang w:val="fr-FR"/>
              </w:rPr>
              <w:t>s</w:t>
            </w:r>
          </w:p>
        </w:tc>
        <w:tc>
          <w:tcPr>
            <w:tcW w:w="2126" w:type="dxa"/>
            <w:vMerge w:val="restart"/>
            <w:shd w:val="clear" w:color="auto" w:fill="E6E6E6"/>
          </w:tcPr>
          <w:p w14:paraId="0AAAD7F7" w14:textId="0AB950DC" w:rsidR="00647CAE" w:rsidRPr="00273249" w:rsidRDefault="00273249" w:rsidP="00D866D1">
            <w:pPr>
              <w:spacing w:before="40" w:after="40"/>
              <w:jc w:val="left"/>
              <w:rPr>
                <w:rFonts w:cs="Arial"/>
                <w:lang w:val="fr-FR"/>
              </w:rPr>
            </w:pPr>
            <w:r w:rsidRPr="00273249">
              <w:rPr>
                <w:rFonts w:cs="Arial"/>
                <w:i/>
                <w:lang w:val="fr-FR"/>
              </w:rPr>
              <w:t xml:space="preserve">Quel </w:t>
            </w:r>
            <w:r w:rsidR="00D866D1">
              <w:rPr>
                <w:rFonts w:cs="Arial"/>
                <w:i/>
                <w:lang w:val="fr-FR"/>
              </w:rPr>
              <w:t>impact le</w:t>
            </w:r>
            <w:r w:rsidRPr="00273249">
              <w:rPr>
                <w:rFonts w:cs="Arial"/>
                <w:i/>
                <w:lang w:val="fr-FR"/>
              </w:rPr>
              <w:t xml:space="preserve"> choc</w:t>
            </w:r>
            <w:r w:rsidR="00D866D1">
              <w:rPr>
                <w:rFonts w:cs="Arial"/>
                <w:i/>
                <w:lang w:val="fr-FR"/>
              </w:rPr>
              <w:t xml:space="preserve"> </w:t>
            </w:r>
            <w:proofErr w:type="spellStart"/>
            <w:r w:rsidR="00D866D1">
              <w:rPr>
                <w:rFonts w:cs="Arial"/>
                <w:i/>
                <w:lang w:val="fr-FR"/>
              </w:rPr>
              <w:t>a-t-il</w:t>
            </w:r>
            <w:proofErr w:type="spellEnd"/>
            <w:r w:rsidR="00D866D1">
              <w:rPr>
                <w:rFonts w:cs="Arial"/>
                <w:i/>
                <w:lang w:val="fr-FR"/>
              </w:rPr>
              <w:t xml:space="preserve"> eu</w:t>
            </w:r>
            <w:r w:rsidRPr="00273249">
              <w:rPr>
                <w:rFonts w:cs="Arial"/>
                <w:i/>
                <w:lang w:val="fr-FR"/>
              </w:rPr>
              <w:t xml:space="preserve"> sur l’ac</w:t>
            </w:r>
            <w:r w:rsidR="00880296">
              <w:rPr>
                <w:rFonts w:cs="Arial"/>
                <w:i/>
                <w:lang w:val="fr-FR"/>
              </w:rPr>
              <w:t>cès de la population</w:t>
            </w:r>
            <w:r w:rsidR="00107F01">
              <w:rPr>
                <w:rFonts w:cs="Arial"/>
                <w:i/>
                <w:lang w:val="fr-FR"/>
              </w:rPr>
              <w:t xml:space="preserve"> cible </w:t>
            </w:r>
            <w:r w:rsidR="00880296">
              <w:rPr>
                <w:rFonts w:cs="Arial"/>
                <w:i/>
                <w:lang w:val="fr-FR"/>
              </w:rPr>
              <w:t>au</w:t>
            </w:r>
            <w:r w:rsidR="002434A6">
              <w:rPr>
                <w:rFonts w:cs="Arial"/>
                <w:i/>
                <w:lang w:val="fr-FR"/>
              </w:rPr>
              <w:t>x</w:t>
            </w:r>
            <w:r w:rsidR="00880296">
              <w:rPr>
                <w:rFonts w:cs="Arial"/>
                <w:i/>
                <w:lang w:val="fr-FR"/>
              </w:rPr>
              <w:t xml:space="preserve"> marché</w:t>
            </w:r>
            <w:r w:rsidR="002434A6">
              <w:rPr>
                <w:rFonts w:cs="Arial"/>
                <w:i/>
                <w:lang w:val="fr-FR"/>
              </w:rPr>
              <w:t>s</w:t>
            </w:r>
            <w:r>
              <w:rPr>
                <w:rFonts w:cs="Arial"/>
                <w:i/>
                <w:lang w:val="fr-FR"/>
              </w:rPr>
              <w:t> ?</w:t>
            </w:r>
          </w:p>
        </w:tc>
        <w:tc>
          <w:tcPr>
            <w:tcW w:w="5954" w:type="dxa"/>
            <w:shd w:val="clear" w:color="auto" w:fill="F3F3F3"/>
          </w:tcPr>
          <w:p w14:paraId="572BCD43" w14:textId="2B7D228F" w:rsidR="00647CAE" w:rsidRPr="00317459" w:rsidRDefault="00D866D1" w:rsidP="00317459">
            <w:pPr>
              <w:spacing w:before="40" w:after="40"/>
              <w:jc w:val="left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M</w:t>
            </w:r>
            <w:r w:rsidR="00317459" w:rsidRPr="00317459">
              <w:rPr>
                <w:rFonts w:cs="Arial"/>
                <w:lang w:val="fr-FR"/>
              </w:rPr>
              <w:t xml:space="preserve">anière dont l’accès de la population </w:t>
            </w:r>
            <w:r w:rsidR="00D9371D">
              <w:rPr>
                <w:rFonts w:cs="Arial"/>
                <w:lang w:val="fr-FR"/>
              </w:rPr>
              <w:t xml:space="preserve">cible </w:t>
            </w:r>
            <w:r w:rsidR="00317459" w:rsidRPr="00317459">
              <w:rPr>
                <w:rFonts w:cs="Arial"/>
                <w:lang w:val="fr-FR"/>
              </w:rPr>
              <w:t>aux marchés a chang</w:t>
            </w:r>
            <w:r w:rsidR="00317459">
              <w:rPr>
                <w:rFonts w:cs="Arial"/>
                <w:lang w:val="fr-FR"/>
              </w:rPr>
              <w:t xml:space="preserve">é </w:t>
            </w:r>
            <w:r w:rsidR="00317459" w:rsidRPr="00317459">
              <w:rPr>
                <w:rFonts w:cs="Arial"/>
                <w:lang w:val="fr-FR"/>
              </w:rPr>
              <w:t xml:space="preserve">par rapport </w:t>
            </w:r>
            <w:r w:rsidR="00317459">
              <w:rPr>
                <w:rFonts w:cs="Arial"/>
                <w:lang w:val="fr-FR"/>
              </w:rPr>
              <w:t>à la situation avant le choc</w:t>
            </w:r>
          </w:p>
        </w:tc>
      </w:tr>
      <w:tr w:rsidR="00856B7F" w:rsidRPr="00D866D1" w14:paraId="69F53C3E" w14:textId="77777777" w:rsidTr="00822ACE">
        <w:tc>
          <w:tcPr>
            <w:tcW w:w="1560" w:type="dxa"/>
            <w:vMerge/>
            <w:shd w:val="clear" w:color="auto" w:fill="A6A6A6"/>
          </w:tcPr>
          <w:p w14:paraId="11D16CB5" w14:textId="77777777" w:rsidR="00647CAE" w:rsidRPr="00317459" w:rsidRDefault="00647CAE" w:rsidP="00822ACE">
            <w:pPr>
              <w:spacing w:before="40" w:after="40"/>
              <w:jc w:val="left"/>
              <w:rPr>
                <w:rFonts w:cs="Arial"/>
                <w:lang w:val="fr-FR"/>
              </w:rPr>
            </w:pPr>
          </w:p>
        </w:tc>
        <w:tc>
          <w:tcPr>
            <w:tcW w:w="2126" w:type="dxa"/>
            <w:vMerge/>
            <w:shd w:val="clear" w:color="auto" w:fill="E6E6E6"/>
          </w:tcPr>
          <w:p w14:paraId="2A441141" w14:textId="77777777" w:rsidR="00647CAE" w:rsidRPr="00317459" w:rsidRDefault="00647CAE" w:rsidP="00822ACE">
            <w:pPr>
              <w:spacing w:before="40" w:after="40"/>
              <w:jc w:val="left"/>
              <w:rPr>
                <w:rFonts w:cs="Arial"/>
                <w:lang w:val="fr-FR"/>
              </w:rPr>
            </w:pPr>
          </w:p>
        </w:tc>
        <w:tc>
          <w:tcPr>
            <w:tcW w:w="5954" w:type="dxa"/>
            <w:shd w:val="clear" w:color="auto" w:fill="F3F3F3"/>
          </w:tcPr>
          <w:p w14:paraId="1056B89E" w14:textId="1A1AE132" w:rsidR="00647CAE" w:rsidRPr="00317459" w:rsidRDefault="00647CAE" w:rsidP="00880296">
            <w:pPr>
              <w:spacing w:before="40" w:after="40"/>
              <w:jc w:val="left"/>
              <w:rPr>
                <w:rFonts w:cs="Arial"/>
                <w:lang w:val="fr-FR"/>
              </w:rPr>
            </w:pPr>
            <w:r w:rsidRPr="00317459">
              <w:rPr>
                <w:rFonts w:cs="Arial"/>
                <w:lang w:val="fr-FR"/>
              </w:rPr>
              <w:t>Quantification (</w:t>
            </w:r>
            <w:r w:rsidR="00317459" w:rsidRPr="00317459">
              <w:rPr>
                <w:rFonts w:cs="Arial"/>
                <w:lang w:val="fr-FR"/>
              </w:rPr>
              <w:t>si</w:t>
            </w:r>
            <w:r w:rsidRPr="00317459">
              <w:rPr>
                <w:rFonts w:cs="Arial"/>
                <w:lang w:val="fr-FR"/>
              </w:rPr>
              <w:t xml:space="preserve"> possible) </w:t>
            </w:r>
            <w:r w:rsidR="00317459" w:rsidRPr="00317459">
              <w:rPr>
                <w:rFonts w:cs="Arial"/>
                <w:lang w:val="fr-FR"/>
              </w:rPr>
              <w:t xml:space="preserve">de l’écart entre : ce que la population cible pouvait normalement se procurer au marché avant le choc, ce qu’elle peut se procurer </w:t>
            </w:r>
            <w:r w:rsidR="00880296">
              <w:rPr>
                <w:rFonts w:cs="Arial"/>
                <w:lang w:val="fr-FR"/>
              </w:rPr>
              <w:t>depuis</w:t>
            </w:r>
            <w:r w:rsidR="00317459" w:rsidRPr="00317459">
              <w:rPr>
                <w:rFonts w:cs="Arial"/>
                <w:lang w:val="fr-FR"/>
              </w:rPr>
              <w:t xml:space="preserve"> le choc et ce qu’elle pourra vraisemblablement se procurer dans </w:t>
            </w:r>
            <w:r w:rsidR="00317459">
              <w:rPr>
                <w:rFonts w:cs="Arial"/>
                <w:lang w:val="fr-FR"/>
              </w:rPr>
              <w:t xml:space="preserve">un </w:t>
            </w:r>
            <w:r w:rsidR="00317459" w:rsidRPr="00317459">
              <w:rPr>
                <w:rFonts w:cs="Arial"/>
                <w:lang w:val="fr-FR"/>
              </w:rPr>
              <w:t>avenir</w:t>
            </w:r>
            <w:r w:rsidR="00317459">
              <w:rPr>
                <w:rFonts w:cs="Arial"/>
                <w:lang w:val="fr-FR"/>
              </w:rPr>
              <w:t xml:space="preserve"> proche </w:t>
            </w:r>
          </w:p>
        </w:tc>
      </w:tr>
      <w:tr w:rsidR="00856B7F" w:rsidRPr="00D866D1" w14:paraId="01AFC6D2" w14:textId="77777777" w:rsidTr="00822ACE">
        <w:tc>
          <w:tcPr>
            <w:tcW w:w="1560" w:type="dxa"/>
            <w:vMerge/>
            <w:shd w:val="clear" w:color="auto" w:fill="A6A6A6"/>
          </w:tcPr>
          <w:p w14:paraId="0015153B" w14:textId="77777777" w:rsidR="00647CAE" w:rsidRPr="00317459" w:rsidRDefault="00647CAE" w:rsidP="00822ACE">
            <w:pPr>
              <w:spacing w:before="40" w:after="40"/>
              <w:jc w:val="left"/>
              <w:rPr>
                <w:rFonts w:cs="Arial"/>
                <w:lang w:val="fr-FR"/>
              </w:rPr>
            </w:pPr>
          </w:p>
        </w:tc>
        <w:tc>
          <w:tcPr>
            <w:tcW w:w="2126" w:type="dxa"/>
            <w:vMerge/>
            <w:shd w:val="clear" w:color="auto" w:fill="E6E6E6"/>
          </w:tcPr>
          <w:p w14:paraId="43DC31D4" w14:textId="77777777" w:rsidR="00647CAE" w:rsidRPr="00317459" w:rsidRDefault="00647CAE" w:rsidP="00822ACE">
            <w:pPr>
              <w:spacing w:before="40" w:after="40"/>
              <w:jc w:val="left"/>
              <w:rPr>
                <w:rFonts w:cs="Arial"/>
                <w:lang w:val="fr-FR"/>
              </w:rPr>
            </w:pPr>
          </w:p>
        </w:tc>
        <w:tc>
          <w:tcPr>
            <w:tcW w:w="5954" w:type="dxa"/>
            <w:shd w:val="clear" w:color="auto" w:fill="F3F3F3"/>
          </w:tcPr>
          <w:p w14:paraId="71707119" w14:textId="55C941EC" w:rsidR="00647CAE" w:rsidRPr="00880296" w:rsidRDefault="00880296" w:rsidP="00880296">
            <w:pPr>
              <w:spacing w:before="40" w:after="40"/>
              <w:jc w:val="left"/>
              <w:rPr>
                <w:rFonts w:cs="Arial"/>
                <w:lang w:val="fr-FR"/>
              </w:rPr>
            </w:pPr>
            <w:r w:rsidRPr="00880296">
              <w:rPr>
                <w:rFonts w:cs="Arial"/>
                <w:lang w:val="fr-FR"/>
              </w:rPr>
              <w:t>Indication</w:t>
            </w:r>
            <w:r w:rsidR="00D9371D">
              <w:rPr>
                <w:rFonts w:cs="Arial"/>
                <w:lang w:val="fr-FR"/>
              </w:rPr>
              <w:t>s</w:t>
            </w:r>
            <w:r w:rsidRPr="00880296">
              <w:rPr>
                <w:rFonts w:cs="Arial"/>
                <w:lang w:val="fr-FR"/>
              </w:rPr>
              <w:t xml:space="preserve"> sur la manière dont le pouvoir d’achat de la population a changé depuis le choc</w:t>
            </w:r>
            <w:r w:rsidR="00647CAE" w:rsidRPr="00880296">
              <w:rPr>
                <w:rFonts w:cs="Arial"/>
                <w:lang w:val="fr-FR"/>
              </w:rPr>
              <w:t xml:space="preserve"> </w:t>
            </w:r>
            <w:r w:rsidRPr="00880296">
              <w:rPr>
                <w:rFonts w:cs="Arial"/>
                <w:lang w:val="fr-FR"/>
              </w:rPr>
              <w:t xml:space="preserve">et </w:t>
            </w:r>
            <w:r>
              <w:rPr>
                <w:rFonts w:cs="Arial"/>
                <w:lang w:val="fr-FR"/>
              </w:rPr>
              <w:t xml:space="preserve">sur </w:t>
            </w:r>
            <w:r w:rsidRPr="00880296">
              <w:rPr>
                <w:rFonts w:cs="Arial"/>
                <w:lang w:val="fr-FR"/>
              </w:rPr>
              <w:t xml:space="preserve">la façon </w:t>
            </w:r>
            <w:r>
              <w:rPr>
                <w:rFonts w:cs="Arial"/>
                <w:lang w:val="fr-FR"/>
              </w:rPr>
              <w:t>dont il est susceptible d’évoluer dans un avenir proche</w:t>
            </w:r>
          </w:p>
        </w:tc>
      </w:tr>
      <w:tr w:rsidR="00856B7F" w:rsidRPr="00D866D1" w14:paraId="67D9240F" w14:textId="77777777" w:rsidTr="00822ACE">
        <w:tc>
          <w:tcPr>
            <w:tcW w:w="1560" w:type="dxa"/>
            <w:vMerge/>
            <w:shd w:val="clear" w:color="auto" w:fill="A6A6A6"/>
          </w:tcPr>
          <w:p w14:paraId="4F6B07C8" w14:textId="77777777" w:rsidR="00647CAE" w:rsidRPr="00880296" w:rsidRDefault="00647CAE" w:rsidP="00822ACE">
            <w:pPr>
              <w:spacing w:before="40" w:after="40"/>
              <w:jc w:val="left"/>
              <w:rPr>
                <w:rFonts w:cs="Arial"/>
                <w:lang w:val="fr-FR"/>
              </w:rPr>
            </w:pPr>
          </w:p>
        </w:tc>
        <w:tc>
          <w:tcPr>
            <w:tcW w:w="2126" w:type="dxa"/>
            <w:vMerge/>
            <w:shd w:val="clear" w:color="auto" w:fill="E6E6E6"/>
          </w:tcPr>
          <w:p w14:paraId="581664EA" w14:textId="77777777" w:rsidR="00647CAE" w:rsidRPr="00880296" w:rsidRDefault="00647CAE" w:rsidP="00822ACE">
            <w:pPr>
              <w:spacing w:before="40" w:after="40"/>
              <w:jc w:val="left"/>
              <w:rPr>
                <w:rFonts w:cs="Arial"/>
                <w:lang w:val="fr-FR"/>
              </w:rPr>
            </w:pPr>
          </w:p>
        </w:tc>
        <w:tc>
          <w:tcPr>
            <w:tcW w:w="5954" w:type="dxa"/>
            <w:shd w:val="clear" w:color="auto" w:fill="F3F3F3"/>
          </w:tcPr>
          <w:p w14:paraId="6E2A4D01" w14:textId="38ACCD56" w:rsidR="00647CAE" w:rsidRPr="00880296" w:rsidRDefault="00647CAE" w:rsidP="00D866D1">
            <w:pPr>
              <w:spacing w:before="40" w:after="40"/>
              <w:jc w:val="left"/>
              <w:rPr>
                <w:rFonts w:cs="Arial"/>
                <w:lang w:val="fr-FR"/>
              </w:rPr>
            </w:pPr>
            <w:r w:rsidRPr="00880296">
              <w:rPr>
                <w:rFonts w:cs="Arial"/>
                <w:lang w:val="fr-FR"/>
              </w:rPr>
              <w:t xml:space="preserve">Identification </w:t>
            </w:r>
            <w:r w:rsidR="00880296" w:rsidRPr="00880296">
              <w:rPr>
                <w:rFonts w:cs="Arial"/>
                <w:lang w:val="fr-FR"/>
              </w:rPr>
              <w:t>des principaux problèmes liés à l’accès au</w:t>
            </w:r>
            <w:r w:rsidR="00C86D1C">
              <w:rPr>
                <w:rFonts w:cs="Arial"/>
                <w:lang w:val="fr-FR"/>
              </w:rPr>
              <w:t>x</w:t>
            </w:r>
            <w:r w:rsidR="00880296" w:rsidRPr="00880296">
              <w:rPr>
                <w:rFonts w:cs="Arial"/>
                <w:lang w:val="fr-FR"/>
              </w:rPr>
              <w:t xml:space="preserve"> marché</w:t>
            </w:r>
            <w:r w:rsidR="00C86D1C">
              <w:rPr>
                <w:rFonts w:cs="Arial"/>
                <w:lang w:val="fr-FR"/>
              </w:rPr>
              <w:t>s</w:t>
            </w:r>
            <w:r w:rsidRPr="00880296">
              <w:rPr>
                <w:rFonts w:cs="Arial"/>
                <w:lang w:val="fr-FR"/>
              </w:rPr>
              <w:t xml:space="preserve"> (</w:t>
            </w:r>
            <w:r w:rsidR="00D866D1">
              <w:rPr>
                <w:rFonts w:cs="Arial"/>
                <w:lang w:val="fr-FR"/>
              </w:rPr>
              <w:t>problèmes d’</w:t>
            </w:r>
            <w:r w:rsidR="00880296" w:rsidRPr="00880296">
              <w:rPr>
                <w:rFonts w:cs="Arial"/>
                <w:lang w:val="fr-FR"/>
              </w:rPr>
              <w:t xml:space="preserve">accessibilité économique et/ou physique, </w:t>
            </w:r>
            <w:r w:rsidR="00D866D1">
              <w:rPr>
                <w:rFonts w:cs="Arial"/>
                <w:lang w:val="fr-FR"/>
              </w:rPr>
              <w:t xml:space="preserve">manque de capacités et/ou </w:t>
            </w:r>
            <w:r w:rsidR="00880296" w:rsidRPr="00880296">
              <w:rPr>
                <w:rFonts w:cs="Arial"/>
                <w:lang w:val="fr-FR"/>
              </w:rPr>
              <w:t xml:space="preserve">questions </w:t>
            </w:r>
            <w:r w:rsidR="00880296">
              <w:rPr>
                <w:rFonts w:cs="Arial"/>
                <w:lang w:val="fr-FR"/>
              </w:rPr>
              <w:t>sociales</w:t>
            </w:r>
            <w:r w:rsidRPr="00880296">
              <w:rPr>
                <w:rFonts w:cs="Arial"/>
                <w:lang w:val="fr-FR"/>
              </w:rPr>
              <w:t xml:space="preserve">) </w:t>
            </w:r>
          </w:p>
        </w:tc>
      </w:tr>
      <w:tr w:rsidR="00856B7F" w:rsidRPr="00D866D1" w14:paraId="27E9356C" w14:textId="77777777" w:rsidTr="00822ACE">
        <w:trPr>
          <w:trHeight w:val="491"/>
        </w:trPr>
        <w:tc>
          <w:tcPr>
            <w:tcW w:w="1560" w:type="dxa"/>
            <w:vMerge w:val="restart"/>
            <w:shd w:val="clear" w:color="auto" w:fill="A6A6A6"/>
          </w:tcPr>
          <w:p w14:paraId="104947AB" w14:textId="584E40B8" w:rsidR="00156354" w:rsidRPr="00250D82" w:rsidRDefault="00273249" w:rsidP="00D866D1">
            <w:pPr>
              <w:spacing w:before="40" w:after="40"/>
              <w:jc w:val="left"/>
              <w:rPr>
                <w:rFonts w:cs="Arial"/>
                <w:lang w:val="fr-FR"/>
              </w:rPr>
            </w:pPr>
            <w:r w:rsidRPr="00250D82">
              <w:rPr>
                <w:rFonts w:cs="Arial"/>
                <w:lang w:val="fr-FR"/>
              </w:rPr>
              <w:t xml:space="preserve">Capacité </w:t>
            </w:r>
            <w:r w:rsidR="00856B7F" w:rsidRPr="00250D82">
              <w:rPr>
                <w:rFonts w:cs="Arial"/>
                <w:lang w:val="fr-FR"/>
              </w:rPr>
              <w:t>des négociants</w:t>
            </w:r>
          </w:p>
        </w:tc>
        <w:tc>
          <w:tcPr>
            <w:tcW w:w="2126" w:type="dxa"/>
            <w:vMerge w:val="restart"/>
            <w:shd w:val="clear" w:color="auto" w:fill="E6E6E6"/>
          </w:tcPr>
          <w:p w14:paraId="664F1408" w14:textId="182AA755" w:rsidR="00156354" w:rsidRPr="00250D82" w:rsidRDefault="00250D82" w:rsidP="00250D82">
            <w:pPr>
              <w:spacing w:before="40" w:after="40"/>
              <w:jc w:val="left"/>
              <w:rPr>
                <w:rFonts w:cs="Arial"/>
                <w:lang w:val="fr-FR"/>
              </w:rPr>
            </w:pPr>
            <w:r>
              <w:rPr>
                <w:rFonts w:cs="Arial"/>
                <w:i/>
                <w:lang w:val="fr-FR"/>
              </w:rPr>
              <w:t>Dans quelle mesure les négociants locaux sont-ils à même de réagir aux changements dans la demande </w:t>
            </w:r>
            <w:r w:rsidR="00156354" w:rsidRPr="00250D82">
              <w:rPr>
                <w:rFonts w:cs="Arial"/>
                <w:i/>
                <w:lang w:val="fr-FR"/>
              </w:rPr>
              <w:t>?</w:t>
            </w:r>
          </w:p>
        </w:tc>
        <w:tc>
          <w:tcPr>
            <w:tcW w:w="5954" w:type="dxa"/>
            <w:shd w:val="clear" w:color="auto" w:fill="F3F3F3"/>
          </w:tcPr>
          <w:p w14:paraId="02C0577E" w14:textId="290184FE" w:rsidR="00156354" w:rsidRPr="00880296" w:rsidRDefault="00880296" w:rsidP="0061007C">
            <w:pPr>
              <w:spacing w:before="40" w:after="40"/>
              <w:jc w:val="left"/>
              <w:rPr>
                <w:rFonts w:cs="Arial"/>
                <w:lang w:val="fr-FR"/>
              </w:rPr>
            </w:pPr>
            <w:r w:rsidRPr="00880296">
              <w:rPr>
                <w:rFonts w:cs="Arial"/>
                <w:lang w:val="fr-FR"/>
              </w:rPr>
              <w:t xml:space="preserve">Représentation visuelle </w:t>
            </w:r>
            <w:r w:rsidR="00156354" w:rsidRPr="00880296">
              <w:rPr>
                <w:rFonts w:cs="Arial"/>
                <w:lang w:val="fr-FR"/>
              </w:rPr>
              <w:t>(</w:t>
            </w:r>
            <w:r w:rsidRPr="00880296">
              <w:rPr>
                <w:rFonts w:cs="Arial"/>
                <w:lang w:val="fr-FR"/>
              </w:rPr>
              <w:t>cartes</w:t>
            </w:r>
            <w:r w:rsidR="00156354" w:rsidRPr="00880296">
              <w:rPr>
                <w:rFonts w:cs="Arial"/>
                <w:lang w:val="fr-FR"/>
              </w:rPr>
              <w:t xml:space="preserve">) </w:t>
            </w:r>
            <w:r w:rsidRPr="00880296">
              <w:rPr>
                <w:rFonts w:cs="Arial"/>
                <w:lang w:val="fr-FR"/>
              </w:rPr>
              <w:t xml:space="preserve">de l’impact du choc sur le </w:t>
            </w:r>
            <w:r w:rsidR="0061007C" w:rsidRPr="00880296">
              <w:rPr>
                <w:rFonts w:cs="Arial"/>
                <w:lang w:val="fr-FR"/>
              </w:rPr>
              <w:t>système</w:t>
            </w:r>
            <w:r w:rsidRPr="00880296">
              <w:rPr>
                <w:rFonts w:cs="Arial"/>
                <w:lang w:val="fr-FR"/>
              </w:rPr>
              <w:t xml:space="preserve"> de marché </w:t>
            </w:r>
            <w:r w:rsidR="00156354" w:rsidRPr="00880296">
              <w:rPr>
                <w:rFonts w:cs="Arial"/>
                <w:lang w:val="fr-FR"/>
              </w:rPr>
              <w:t>(</w:t>
            </w:r>
            <w:r w:rsidRPr="00880296">
              <w:rPr>
                <w:rFonts w:cs="Arial"/>
                <w:lang w:val="fr-FR"/>
              </w:rPr>
              <w:t xml:space="preserve">nombre d’acteurs, volumes et prix, infrastructure et </w:t>
            </w:r>
            <w:r>
              <w:rPr>
                <w:rFonts w:cs="Arial"/>
                <w:lang w:val="fr-FR"/>
              </w:rPr>
              <w:t>services de soutien</w:t>
            </w:r>
            <w:r w:rsidR="00156354" w:rsidRPr="00880296">
              <w:rPr>
                <w:rFonts w:cs="Arial"/>
                <w:lang w:val="fr-FR"/>
              </w:rPr>
              <w:t>)</w:t>
            </w:r>
          </w:p>
        </w:tc>
      </w:tr>
      <w:tr w:rsidR="00856B7F" w:rsidRPr="00D866D1" w14:paraId="37E97BD8" w14:textId="77777777" w:rsidTr="00822ACE">
        <w:tc>
          <w:tcPr>
            <w:tcW w:w="1560" w:type="dxa"/>
            <w:vMerge/>
            <w:shd w:val="clear" w:color="auto" w:fill="A6A6A6"/>
          </w:tcPr>
          <w:p w14:paraId="38B33000" w14:textId="77777777" w:rsidR="00156354" w:rsidRPr="00880296" w:rsidRDefault="00156354" w:rsidP="00822ACE">
            <w:pPr>
              <w:spacing w:before="40" w:after="40"/>
              <w:jc w:val="left"/>
              <w:rPr>
                <w:rFonts w:cs="Arial"/>
                <w:lang w:val="fr-FR"/>
              </w:rPr>
            </w:pPr>
          </w:p>
        </w:tc>
        <w:tc>
          <w:tcPr>
            <w:tcW w:w="2126" w:type="dxa"/>
            <w:vMerge/>
            <w:shd w:val="clear" w:color="auto" w:fill="E6E6E6"/>
          </w:tcPr>
          <w:p w14:paraId="4D455095" w14:textId="77777777" w:rsidR="00156354" w:rsidRPr="00880296" w:rsidRDefault="00156354" w:rsidP="00822ACE">
            <w:pPr>
              <w:spacing w:before="40" w:after="40"/>
              <w:jc w:val="left"/>
              <w:rPr>
                <w:rFonts w:cs="Arial"/>
                <w:lang w:val="fr-FR"/>
              </w:rPr>
            </w:pPr>
          </w:p>
        </w:tc>
        <w:tc>
          <w:tcPr>
            <w:tcW w:w="5954" w:type="dxa"/>
            <w:shd w:val="clear" w:color="auto" w:fill="F3F3F3"/>
          </w:tcPr>
          <w:p w14:paraId="77314323" w14:textId="0D982ECE" w:rsidR="00156354" w:rsidRPr="0061007C" w:rsidRDefault="0061007C" w:rsidP="00D866D1">
            <w:pPr>
              <w:spacing w:before="40" w:after="40"/>
              <w:jc w:val="left"/>
              <w:rPr>
                <w:rFonts w:cs="Arial"/>
                <w:lang w:val="fr-FR"/>
              </w:rPr>
            </w:pPr>
            <w:r w:rsidRPr="0061007C">
              <w:rPr>
                <w:rFonts w:cs="Arial"/>
                <w:lang w:val="fr-FR"/>
              </w:rPr>
              <w:t xml:space="preserve">Prévision de la capacité des négociants </w:t>
            </w:r>
            <w:r w:rsidR="00D866D1">
              <w:rPr>
                <w:rFonts w:cs="Arial"/>
                <w:lang w:val="fr-FR"/>
              </w:rPr>
              <w:t>de</w:t>
            </w:r>
            <w:r w:rsidRPr="0061007C">
              <w:rPr>
                <w:rFonts w:cs="Arial"/>
                <w:lang w:val="fr-FR"/>
              </w:rPr>
              <w:t xml:space="preserve"> répondre à la demande des ménages, à </w:t>
            </w:r>
            <w:r>
              <w:rPr>
                <w:rFonts w:cs="Arial"/>
                <w:lang w:val="fr-FR"/>
              </w:rPr>
              <w:t>quels prix, dans quel délai et pendant combien de temps</w:t>
            </w:r>
          </w:p>
        </w:tc>
      </w:tr>
      <w:tr w:rsidR="00856B7F" w:rsidRPr="00D866D1" w14:paraId="7CE0CC58" w14:textId="77777777" w:rsidTr="00822ACE">
        <w:tc>
          <w:tcPr>
            <w:tcW w:w="1560" w:type="dxa"/>
            <w:vMerge/>
            <w:shd w:val="clear" w:color="auto" w:fill="A6A6A6"/>
          </w:tcPr>
          <w:p w14:paraId="1340D720" w14:textId="77777777" w:rsidR="00156354" w:rsidRPr="0061007C" w:rsidRDefault="00156354" w:rsidP="00822ACE">
            <w:pPr>
              <w:spacing w:before="40" w:after="40"/>
              <w:jc w:val="left"/>
              <w:rPr>
                <w:rFonts w:cs="Arial"/>
                <w:lang w:val="fr-FR"/>
              </w:rPr>
            </w:pPr>
          </w:p>
        </w:tc>
        <w:tc>
          <w:tcPr>
            <w:tcW w:w="2126" w:type="dxa"/>
            <w:vMerge/>
            <w:shd w:val="clear" w:color="auto" w:fill="E6E6E6"/>
          </w:tcPr>
          <w:p w14:paraId="3989AF4E" w14:textId="77777777" w:rsidR="00156354" w:rsidRPr="0061007C" w:rsidRDefault="00156354" w:rsidP="00822ACE">
            <w:pPr>
              <w:spacing w:before="40" w:after="40"/>
              <w:jc w:val="left"/>
              <w:rPr>
                <w:rFonts w:cs="Arial"/>
                <w:lang w:val="fr-FR"/>
              </w:rPr>
            </w:pPr>
          </w:p>
        </w:tc>
        <w:tc>
          <w:tcPr>
            <w:tcW w:w="5954" w:type="dxa"/>
            <w:shd w:val="clear" w:color="auto" w:fill="F3F3F3"/>
          </w:tcPr>
          <w:p w14:paraId="72172484" w14:textId="453D0336" w:rsidR="00156354" w:rsidRPr="00CC415F" w:rsidRDefault="00A633DC" w:rsidP="00CC415F">
            <w:pPr>
              <w:spacing w:before="40" w:after="40"/>
              <w:jc w:val="left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Recensement</w:t>
            </w:r>
            <w:r w:rsidR="00156354" w:rsidRPr="00CC415F">
              <w:rPr>
                <w:rFonts w:cs="Arial"/>
                <w:lang w:val="fr-FR"/>
              </w:rPr>
              <w:t xml:space="preserve"> </w:t>
            </w:r>
            <w:r w:rsidR="0061007C" w:rsidRPr="00CC415F">
              <w:rPr>
                <w:rFonts w:cs="Arial"/>
                <w:lang w:val="fr-FR"/>
              </w:rPr>
              <w:t xml:space="preserve">des principaux problèmes en matière d’approvisionnement et </w:t>
            </w:r>
            <w:r w:rsidR="00CC415F" w:rsidRPr="00CC415F">
              <w:rPr>
                <w:rFonts w:cs="Arial"/>
                <w:lang w:val="fr-FR"/>
              </w:rPr>
              <w:t xml:space="preserve">réponse à la question de savoir </w:t>
            </w:r>
            <w:r w:rsidR="00D866D1">
              <w:rPr>
                <w:rFonts w:cs="Arial"/>
                <w:lang w:val="fr-FR"/>
              </w:rPr>
              <w:t xml:space="preserve">si, </w:t>
            </w:r>
            <w:r>
              <w:rPr>
                <w:rFonts w:cs="Arial"/>
                <w:lang w:val="fr-FR"/>
              </w:rPr>
              <w:t xml:space="preserve">a priori, </w:t>
            </w:r>
            <w:r w:rsidR="00CC415F">
              <w:rPr>
                <w:rFonts w:cs="Arial"/>
                <w:lang w:val="fr-FR"/>
              </w:rPr>
              <w:t>ceux-ci peuvent ou non être résolus pendant la durée / dans le cadre de l’intervention</w:t>
            </w:r>
            <w:r w:rsidR="00156354" w:rsidRPr="00CC415F">
              <w:rPr>
                <w:rFonts w:cs="Arial"/>
                <w:lang w:val="fr-FR"/>
              </w:rPr>
              <w:t xml:space="preserve"> </w:t>
            </w:r>
          </w:p>
        </w:tc>
      </w:tr>
      <w:tr w:rsidR="00856B7F" w:rsidRPr="00D866D1" w14:paraId="5D310A63" w14:textId="77777777" w:rsidTr="00822ACE">
        <w:tc>
          <w:tcPr>
            <w:tcW w:w="1560" w:type="dxa"/>
            <w:vMerge/>
            <w:shd w:val="clear" w:color="auto" w:fill="A6A6A6"/>
          </w:tcPr>
          <w:p w14:paraId="570C377D" w14:textId="77777777" w:rsidR="00156354" w:rsidRPr="00CC415F" w:rsidRDefault="00156354" w:rsidP="00822ACE">
            <w:pPr>
              <w:spacing w:before="40" w:after="40"/>
              <w:jc w:val="left"/>
              <w:rPr>
                <w:rFonts w:cs="Arial"/>
                <w:lang w:val="fr-FR"/>
              </w:rPr>
            </w:pPr>
          </w:p>
        </w:tc>
        <w:tc>
          <w:tcPr>
            <w:tcW w:w="2126" w:type="dxa"/>
            <w:vMerge/>
            <w:shd w:val="clear" w:color="auto" w:fill="E6E6E6"/>
          </w:tcPr>
          <w:p w14:paraId="0AB9A96E" w14:textId="77777777" w:rsidR="00156354" w:rsidRPr="00CC415F" w:rsidRDefault="00156354" w:rsidP="00822ACE">
            <w:pPr>
              <w:spacing w:before="40" w:after="40"/>
              <w:jc w:val="left"/>
              <w:rPr>
                <w:rFonts w:cs="Arial"/>
                <w:lang w:val="fr-FR"/>
              </w:rPr>
            </w:pPr>
          </w:p>
        </w:tc>
        <w:tc>
          <w:tcPr>
            <w:tcW w:w="5954" w:type="dxa"/>
            <w:shd w:val="clear" w:color="auto" w:fill="F3F3F3"/>
          </w:tcPr>
          <w:p w14:paraId="0FA58D79" w14:textId="42552DCF" w:rsidR="00156354" w:rsidRPr="00CC415F" w:rsidRDefault="00156354" w:rsidP="00CC415F">
            <w:pPr>
              <w:spacing w:before="40" w:after="40"/>
              <w:jc w:val="left"/>
              <w:rPr>
                <w:rFonts w:cs="Arial"/>
                <w:lang w:val="fr-FR"/>
              </w:rPr>
            </w:pPr>
            <w:r w:rsidRPr="00CC415F">
              <w:rPr>
                <w:rFonts w:cs="Arial"/>
                <w:lang w:val="fr-FR"/>
              </w:rPr>
              <w:t xml:space="preserve">Indication </w:t>
            </w:r>
            <w:r w:rsidR="00CC415F" w:rsidRPr="00CC415F">
              <w:rPr>
                <w:rFonts w:cs="Arial"/>
                <w:lang w:val="fr-FR"/>
              </w:rPr>
              <w:t xml:space="preserve">de l’impact sur les infrastructures (transports, stockage) et les services clés (crédit, information, technologie) et </w:t>
            </w:r>
            <w:r w:rsidR="00CC415F">
              <w:rPr>
                <w:rFonts w:cs="Arial"/>
                <w:lang w:val="fr-FR"/>
              </w:rPr>
              <w:t>de la mesure dans laquelle cela nuit à la performance des acteurs du marché</w:t>
            </w:r>
            <w:r w:rsidR="00CC415F" w:rsidRPr="00CC415F">
              <w:rPr>
                <w:rFonts w:cs="Arial"/>
                <w:lang w:val="fr-FR"/>
              </w:rPr>
              <w:t xml:space="preserve"> </w:t>
            </w:r>
          </w:p>
        </w:tc>
      </w:tr>
      <w:tr w:rsidR="00856B7F" w:rsidRPr="00D866D1" w14:paraId="79A25264" w14:textId="77777777" w:rsidTr="00822ACE">
        <w:tc>
          <w:tcPr>
            <w:tcW w:w="1560" w:type="dxa"/>
            <w:shd w:val="clear" w:color="auto" w:fill="A6A6A6"/>
          </w:tcPr>
          <w:p w14:paraId="3D6850FB" w14:textId="1BF5DF71" w:rsidR="00712F18" w:rsidRPr="00250D82" w:rsidRDefault="00856B7F" w:rsidP="00856B7F">
            <w:pPr>
              <w:spacing w:before="40" w:after="40"/>
              <w:jc w:val="left"/>
              <w:rPr>
                <w:rFonts w:cs="Arial"/>
                <w:lang w:val="fr-FR"/>
              </w:rPr>
            </w:pPr>
            <w:r w:rsidRPr="00250D82">
              <w:rPr>
                <w:rFonts w:cs="Arial"/>
                <w:lang w:val="fr-FR"/>
              </w:rPr>
              <w:t>Compétitivité du marché</w:t>
            </w:r>
          </w:p>
        </w:tc>
        <w:tc>
          <w:tcPr>
            <w:tcW w:w="2126" w:type="dxa"/>
            <w:shd w:val="clear" w:color="auto" w:fill="E6E6E6"/>
          </w:tcPr>
          <w:p w14:paraId="65F77EEE" w14:textId="64FC00C0" w:rsidR="00712F18" w:rsidRPr="00250D82" w:rsidRDefault="00C86D1C" w:rsidP="00856B7F">
            <w:pPr>
              <w:spacing w:before="40" w:after="40"/>
              <w:jc w:val="left"/>
              <w:rPr>
                <w:rFonts w:cs="Arial"/>
                <w:lang w:val="fr-FR"/>
              </w:rPr>
            </w:pPr>
            <w:r>
              <w:rPr>
                <w:rFonts w:cs="Arial"/>
                <w:i/>
                <w:lang w:val="fr-FR"/>
              </w:rPr>
              <w:t>Les acteurs du marché</w:t>
            </w:r>
            <w:r w:rsidR="00856B7F" w:rsidRPr="00250D82">
              <w:rPr>
                <w:rFonts w:cs="Arial"/>
                <w:i/>
                <w:lang w:val="fr-FR"/>
              </w:rPr>
              <w:t xml:space="preserve"> se </w:t>
            </w:r>
            <w:proofErr w:type="spellStart"/>
            <w:r w:rsidR="00856B7F" w:rsidRPr="00250D82">
              <w:rPr>
                <w:rFonts w:cs="Arial"/>
                <w:i/>
                <w:lang w:val="fr-FR"/>
              </w:rPr>
              <w:t>font-ils</w:t>
            </w:r>
            <w:proofErr w:type="spellEnd"/>
            <w:r w:rsidR="00856B7F" w:rsidRPr="00250D82">
              <w:rPr>
                <w:rFonts w:cs="Arial"/>
                <w:i/>
                <w:lang w:val="fr-FR"/>
              </w:rPr>
              <w:t xml:space="preserve"> concurrence </w:t>
            </w:r>
            <w:r w:rsidR="00712F18" w:rsidRPr="00250D82">
              <w:rPr>
                <w:rFonts w:cs="Arial"/>
                <w:i/>
                <w:lang w:val="fr-FR"/>
              </w:rPr>
              <w:t>?</w:t>
            </w:r>
          </w:p>
        </w:tc>
        <w:tc>
          <w:tcPr>
            <w:tcW w:w="5954" w:type="dxa"/>
            <w:shd w:val="clear" w:color="auto" w:fill="F3F3F3"/>
          </w:tcPr>
          <w:p w14:paraId="62CD50D1" w14:textId="4DE55B57" w:rsidR="00712F18" w:rsidRPr="009F6737" w:rsidRDefault="00712F18" w:rsidP="009F6737">
            <w:pPr>
              <w:spacing w:before="40" w:after="40"/>
              <w:jc w:val="left"/>
              <w:rPr>
                <w:rFonts w:cs="Arial"/>
                <w:lang w:val="fr-FR"/>
              </w:rPr>
            </w:pPr>
            <w:r w:rsidRPr="009F6737">
              <w:rPr>
                <w:rFonts w:cs="Arial"/>
                <w:lang w:val="fr-FR"/>
              </w:rPr>
              <w:t xml:space="preserve">Description </w:t>
            </w:r>
            <w:r w:rsidR="009F6737" w:rsidRPr="009F6737">
              <w:rPr>
                <w:rFonts w:cs="Arial"/>
                <w:lang w:val="fr-FR"/>
              </w:rPr>
              <w:t>de comportemen</w:t>
            </w:r>
            <w:r w:rsidR="009F6737">
              <w:rPr>
                <w:rFonts w:cs="Arial"/>
                <w:lang w:val="fr-FR"/>
              </w:rPr>
              <w:t>ts anticoncurrentiels existants</w:t>
            </w:r>
          </w:p>
        </w:tc>
      </w:tr>
      <w:tr w:rsidR="00856B7F" w:rsidRPr="00D866D1" w14:paraId="40110727" w14:textId="77777777" w:rsidTr="00822ACE">
        <w:tc>
          <w:tcPr>
            <w:tcW w:w="1560" w:type="dxa"/>
            <w:shd w:val="clear" w:color="auto" w:fill="A6A6A6"/>
          </w:tcPr>
          <w:p w14:paraId="633FB8D1" w14:textId="3B2CE158" w:rsidR="00712F18" w:rsidRPr="00250D82" w:rsidRDefault="00250D82" w:rsidP="00250D82">
            <w:pPr>
              <w:spacing w:before="40" w:after="40"/>
              <w:jc w:val="left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Macro-facteurs</w:t>
            </w:r>
          </w:p>
        </w:tc>
        <w:tc>
          <w:tcPr>
            <w:tcW w:w="2126" w:type="dxa"/>
            <w:shd w:val="clear" w:color="auto" w:fill="E6E6E6"/>
          </w:tcPr>
          <w:p w14:paraId="1EA218BF" w14:textId="6D374C1E" w:rsidR="00712F18" w:rsidRPr="00250D82" w:rsidRDefault="00856B7F" w:rsidP="00C86D1C">
            <w:pPr>
              <w:spacing w:before="40" w:after="40"/>
              <w:jc w:val="left"/>
              <w:rPr>
                <w:rFonts w:cs="Arial"/>
                <w:lang w:val="fr-FR"/>
              </w:rPr>
            </w:pPr>
            <w:r w:rsidRPr="00250D82">
              <w:rPr>
                <w:rFonts w:cs="Arial"/>
                <w:i/>
                <w:lang w:val="fr-FR"/>
              </w:rPr>
              <w:t>Comment les macro-facteurs peuvent-il</w:t>
            </w:r>
            <w:r w:rsidR="00C86D1C">
              <w:rPr>
                <w:rFonts w:cs="Arial"/>
                <w:i/>
                <w:lang w:val="fr-FR"/>
              </w:rPr>
              <w:t xml:space="preserve">s </w:t>
            </w:r>
            <w:r w:rsidRPr="00250D82">
              <w:rPr>
                <w:rFonts w:cs="Arial"/>
                <w:i/>
                <w:lang w:val="fr-FR"/>
              </w:rPr>
              <w:t xml:space="preserve">influer sur la capacité </w:t>
            </w:r>
            <w:r w:rsidR="00C86D1C">
              <w:rPr>
                <w:rFonts w:cs="Arial"/>
                <w:i/>
                <w:lang w:val="fr-FR"/>
              </w:rPr>
              <w:t>du</w:t>
            </w:r>
            <w:r w:rsidRPr="00250D82">
              <w:rPr>
                <w:rFonts w:cs="Arial"/>
                <w:i/>
                <w:lang w:val="fr-FR"/>
              </w:rPr>
              <w:t xml:space="preserve"> marché </w:t>
            </w:r>
            <w:r w:rsidR="002434A6">
              <w:rPr>
                <w:rFonts w:cs="Arial"/>
                <w:i/>
                <w:lang w:val="fr-FR"/>
              </w:rPr>
              <w:t>de</w:t>
            </w:r>
            <w:r w:rsidRPr="00250D82">
              <w:rPr>
                <w:rFonts w:cs="Arial"/>
                <w:i/>
                <w:lang w:val="fr-FR"/>
              </w:rPr>
              <w:t xml:space="preserve"> répondre à l’urgence </w:t>
            </w:r>
            <w:r w:rsidR="00712F18" w:rsidRPr="00250D82">
              <w:rPr>
                <w:rFonts w:cs="Arial"/>
                <w:i/>
                <w:lang w:val="fr-FR"/>
              </w:rPr>
              <w:t>?</w:t>
            </w:r>
          </w:p>
        </w:tc>
        <w:tc>
          <w:tcPr>
            <w:tcW w:w="5954" w:type="dxa"/>
            <w:shd w:val="clear" w:color="auto" w:fill="F3F3F3"/>
          </w:tcPr>
          <w:p w14:paraId="4B9C23AA" w14:textId="17D0007E" w:rsidR="00712F18" w:rsidRPr="009F6737" w:rsidRDefault="00712F18" w:rsidP="00C82E05">
            <w:pPr>
              <w:spacing w:before="40" w:after="40"/>
              <w:jc w:val="left"/>
              <w:rPr>
                <w:rFonts w:cs="Arial"/>
                <w:lang w:val="fr-FR"/>
              </w:rPr>
            </w:pPr>
            <w:r w:rsidRPr="009F6737">
              <w:rPr>
                <w:rFonts w:cs="Arial"/>
                <w:lang w:val="fr-FR"/>
              </w:rPr>
              <w:t xml:space="preserve">Description </w:t>
            </w:r>
            <w:r w:rsidR="009F6737" w:rsidRPr="009F6737">
              <w:rPr>
                <w:rFonts w:cs="Arial"/>
                <w:lang w:val="fr-FR"/>
              </w:rPr>
              <w:t xml:space="preserve">des facteurs externes influant </w:t>
            </w:r>
            <w:r w:rsidR="009F6737">
              <w:rPr>
                <w:rFonts w:cs="Arial"/>
                <w:lang w:val="fr-FR"/>
              </w:rPr>
              <w:t xml:space="preserve">sur </w:t>
            </w:r>
            <w:r w:rsidR="009F6737" w:rsidRPr="009F6737">
              <w:rPr>
                <w:rFonts w:cs="Arial"/>
                <w:lang w:val="fr-FR"/>
              </w:rPr>
              <w:t xml:space="preserve">le système de marché et </w:t>
            </w:r>
            <w:r w:rsidR="009F6737">
              <w:rPr>
                <w:rFonts w:cs="Arial"/>
                <w:lang w:val="fr-FR"/>
              </w:rPr>
              <w:t xml:space="preserve">de la manière dont ils </w:t>
            </w:r>
            <w:r w:rsidR="00C82E05">
              <w:rPr>
                <w:rFonts w:cs="Arial"/>
                <w:lang w:val="fr-FR"/>
              </w:rPr>
              <w:t>favorisent/entravent le</w:t>
            </w:r>
            <w:r w:rsidR="009F6737">
              <w:rPr>
                <w:rFonts w:cs="Arial"/>
                <w:lang w:val="fr-FR"/>
              </w:rPr>
              <w:t xml:space="preserve"> bon fonctionnement du système de marché</w:t>
            </w:r>
            <w:r w:rsidRPr="009F6737">
              <w:rPr>
                <w:rFonts w:cs="Arial"/>
                <w:lang w:val="fr-FR"/>
              </w:rPr>
              <w:t xml:space="preserve"> </w:t>
            </w:r>
            <w:r w:rsidR="00C82E05">
              <w:rPr>
                <w:rFonts w:cs="Arial"/>
                <w:lang w:val="fr-FR"/>
              </w:rPr>
              <w:t xml:space="preserve">après le choc </w:t>
            </w:r>
          </w:p>
        </w:tc>
      </w:tr>
    </w:tbl>
    <w:p w14:paraId="684C2733" w14:textId="77777777" w:rsidR="00712F18" w:rsidRPr="009F6737" w:rsidRDefault="00712F18">
      <w:pPr>
        <w:rPr>
          <w:lang w:val="fr-FR"/>
        </w:rPr>
      </w:pPr>
    </w:p>
    <w:sectPr w:rsidR="00712F18" w:rsidRPr="009F6737" w:rsidSect="00E208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46FE38" w14:textId="77777777" w:rsidR="0030188A" w:rsidRDefault="0030188A" w:rsidP="00850043">
      <w:pPr>
        <w:spacing w:after="0"/>
      </w:pPr>
      <w:r>
        <w:separator/>
      </w:r>
    </w:p>
  </w:endnote>
  <w:endnote w:type="continuationSeparator" w:id="0">
    <w:p w14:paraId="7C9BC139" w14:textId="77777777" w:rsidR="0030188A" w:rsidRDefault="0030188A" w:rsidP="0085004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0000000000000000000"/>
    <w:charset w:val="4D"/>
    <w:family w:val="swiss"/>
    <w:notTrueType/>
    <w:pitch w:val="default"/>
    <w:sig w:usb0="03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ecilia-Light">
    <w:altName w:val="Caecilia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panose1 w:val="020B0704020202020204"/>
    <w:charset w:val="00"/>
    <w:family w:val="auto"/>
    <w:pitch w:val="variable"/>
    <w:sig w:usb0="00000000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BFDC58" w14:textId="77777777" w:rsidR="00516B20" w:rsidRDefault="00516B2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F8F6E0" w14:textId="77777777" w:rsidR="00020D94" w:rsidRPr="00B45C74" w:rsidRDefault="00020D94" w:rsidP="00B45C74">
    <w:pPr>
      <w:framePr w:wrap="around" w:vAnchor="text" w:hAnchor="margin" w:xAlign="right" w:y="1"/>
      <w:tabs>
        <w:tab w:val="center" w:pos="4320"/>
        <w:tab w:val="right" w:pos="8640"/>
      </w:tabs>
      <w:spacing w:after="0"/>
      <w:rPr>
        <w:b/>
        <w:color w:val="808080" w:themeColor="background1" w:themeShade="80"/>
        <w:sz w:val="18"/>
        <w:szCs w:val="18"/>
      </w:rPr>
    </w:pPr>
    <w:r w:rsidRPr="00B45C74">
      <w:rPr>
        <w:b/>
        <w:color w:val="808080" w:themeColor="background1" w:themeShade="80"/>
        <w:sz w:val="18"/>
        <w:szCs w:val="18"/>
      </w:rPr>
      <w:fldChar w:fldCharType="begin"/>
    </w:r>
    <w:r w:rsidRPr="00B45C74">
      <w:rPr>
        <w:b/>
        <w:color w:val="808080" w:themeColor="background1" w:themeShade="80"/>
        <w:sz w:val="18"/>
        <w:szCs w:val="18"/>
      </w:rPr>
      <w:instrText xml:space="preserve">PAGE  </w:instrText>
    </w:r>
    <w:r w:rsidRPr="00B45C74">
      <w:rPr>
        <w:b/>
        <w:color w:val="808080" w:themeColor="background1" w:themeShade="80"/>
        <w:sz w:val="18"/>
        <w:szCs w:val="18"/>
      </w:rPr>
      <w:fldChar w:fldCharType="separate"/>
    </w:r>
    <w:r w:rsidR="00277EE2">
      <w:rPr>
        <w:b/>
        <w:noProof/>
        <w:color w:val="808080" w:themeColor="background1" w:themeShade="80"/>
        <w:sz w:val="18"/>
        <w:szCs w:val="18"/>
      </w:rPr>
      <w:t>1</w:t>
    </w:r>
    <w:r w:rsidRPr="00B45C74">
      <w:rPr>
        <w:b/>
        <w:color w:val="808080" w:themeColor="background1" w:themeShade="80"/>
        <w:sz w:val="18"/>
        <w:szCs w:val="18"/>
      </w:rPr>
      <w:fldChar w:fldCharType="end"/>
    </w:r>
  </w:p>
  <w:p w14:paraId="1423C565" w14:textId="4383BBE2" w:rsidR="00020D94" w:rsidRPr="003A3500" w:rsidRDefault="00020D94" w:rsidP="00786D93">
    <w:pPr>
      <w:pStyle w:val="Footer"/>
    </w:pPr>
    <w:r w:rsidRPr="00107E15">
      <w:rPr>
        <w:b/>
      </w:rPr>
      <w:t xml:space="preserve">Module </w:t>
    </w:r>
    <w:r>
      <w:rPr>
        <w:b/>
      </w:rPr>
      <w:t>2</w:t>
    </w:r>
    <w:r w:rsidRPr="00856B7F">
      <w:rPr>
        <w:b/>
        <w:lang w:val="fr-FR"/>
      </w:rPr>
      <w:t>.</w:t>
    </w:r>
    <w:r w:rsidR="00856B7F" w:rsidRPr="00856B7F">
      <w:rPr>
        <w:lang w:val="fr-FR"/>
      </w:rPr>
      <w:t xml:space="preserve"> Étape</w:t>
    </w:r>
    <w:r w:rsidRPr="00856B7F">
      <w:rPr>
        <w:lang w:val="fr-FR"/>
      </w:rPr>
      <w:t xml:space="preserve"> 3. </w:t>
    </w:r>
    <w:r w:rsidR="00786D93">
      <w:rPr>
        <w:lang w:val="fr-FR"/>
      </w:rPr>
      <w:t xml:space="preserve">Étape subsidiaire </w:t>
    </w:r>
    <w:r w:rsidRPr="00856B7F">
      <w:rPr>
        <w:lang w:val="fr-FR"/>
      </w:rPr>
      <w:t xml:space="preserve">1. </w:t>
    </w:r>
    <w:r w:rsidRPr="00856B7F">
      <w:rPr>
        <w:i/>
        <w:lang w:val="fr-FR"/>
      </w:rPr>
      <w:fldChar w:fldCharType="begin"/>
    </w:r>
    <w:r w:rsidRPr="00856B7F">
      <w:rPr>
        <w:i/>
        <w:lang w:val="fr-FR"/>
      </w:rPr>
      <w:instrText xml:space="preserve"> STYLEREF  H1 \t  \* MERGEFORMAT </w:instrText>
    </w:r>
    <w:r w:rsidRPr="00856B7F">
      <w:rPr>
        <w:i/>
        <w:lang w:val="fr-FR"/>
      </w:rPr>
      <w:fldChar w:fldCharType="separate"/>
    </w:r>
    <w:r w:rsidR="00277EE2" w:rsidRPr="00277EE2">
      <w:rPr>
        <w:noProof/>
        <w:lang w:val="fr-FR"/>
      </w:rPr>
      <w:t xml:space="preserve">Informations à collecter dans le cadre d’une </w:t>
    </w:r>
    <w:r w:rsidR="00277EE2" w:rsidRPr="00277EE2">
      <w:rPr>
        <w:i/>
        <w:iCs/>
        <w:noProof/>
        <w:lang w:val="fr-FR"/>
      </w:rPr>
      <w:t>évaluation des marchés</w:t>
    </w:r>
    <w:r w:rsidRPr="00856B7F">
      <w:rPr>
        <w:i/>
        <w:lang w:val="fr-F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DC20EB" w14:textId="77777777" w:rsidR="00516B20" w:rsidRDefault="00516B2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A62753" w14:textId="77777777" w:rsidR="0030188A" w:rsidRDefault="0030188A" w:rsidP="00850043">
      <w:pPr>
        <w:spacing w:after="0"/>
      </w:pPr>
      <w:r>
        <w:separator/>
      </w:r>
    </w:p>
  </w:footnote>
  <w:footnote w:type="continuationSeparator" w:id="0">
    <w:p w14:paraId="3D75A89B" w14:textId="77777777" w:rsidR="0030188A" w:rsidRDefault="0030188A" w:rsidP="00850043">
      <w:pPr>
        <w:spacing w:after="0"/>
      </w:pPr>
      <w:r>
        <w:continuationSeparator/>
      </w:r>
    </w:p>
  </w:footnote>
  <w:footnote w:id="1">
    <w:p w14:paraId="290A15EE" w14:textId="32F1B4E5" w:rsidR="0044161C" w:rsidRPr="005208A8" w:rsidRDefault="0044161C" w:rsidP="00277EE2">
      <w:pPr>
        <w:pStyle w:val="FootnoteText"/>
        <w:rPr>
          <w:szCs w:val="16"/>
          <w:lang w:val="fr-FR"/>
        </w:rPr>
      </w:pPr>
      <w:r w:rsidRPr="00E20822">
        <w:rPr>
          <w:rStyle w:val="FootnoteReference"/>
          <w:szCs w:val="16"/>
        </w:rPr>
        <w:footnoteRef/>
      </w:r>
      <w:r w:rsidRPr="005208A8">
        <w:rPr>
          <w:szCs w:val="16"/>
          <w:lang w:val="fr-FR"/>
        </w:rPr>
        <w:t xml:space="preserve"> </w:t>
      </w:r>
      <w:proofErr w:type="spellStart"/>
      <w:r w:rsidR="005208A8" w:rsidRPr="00277EE2">
        <w:rPr>
          <w:rFonts w:cs="Arial"/>
          <w:i/>
          <w:iCs/>
          <w:szCs w:val="20"/>
          <w:lang w:val="fr-FR"/>
        </w:rPr>
        <w:t>Market</w:t>
      </w:r>
      <w:proofErr w:type="spellEnd"/>
      <w:r w:rsidR="005208A8" w:rsidRPr="00277EE2">
        <w:rPr>
          <w:rFonts w:cs="Arial"/>
          <w:i/>
          <w:iCs/>
          <w:szCs w:val="20"/>
          <w:lang w:val="fr-FR"/>
        </w:rPr>
        <w:t xml:space="preserve"> </w:t>
      </w:r>
      <w:proofErr w:type="spellStart"/>
      <w:r w:rsidR="005208A8" w:rsidRPr="00277EE2">
        <w:rPr>
          <w:rFonts w:cs="Arial"/>
          <w:i/>
          <w:iCs/>
          <w:szCs w:val="20"/>
          <w:lang w:val="fr-FR"/>
        </w:rPr>
        <w:t>Analysis</w:t>
      </w:r>
      <w:proofErr w:type="spellEnd"/>
      <w:r w:rsidR="005208A8" w:rsidRPr="00277EE2">
        <w:rPr>
          <w:rFonts w:cs="Arial"/>
          <w:i/>
          <w:iCs/>
          <w:szCs w:val="20"/>
          <w:lang w:val="fr-FR"/>
        </w:rPr>
        <w:t xml:space="preserve"> Guidance</w:t>
      </w:r>
      <w:r w:rsidR="00277EE2">
        <w:rPr>
          <w:rFonts w:cs="Arial"/>
          <w:i/>
          <w:iCs/>
          <w:szCs w:val="20"/>
          <w:lang w:val="fr-FR"/>
        </w:rPr>
        <w:t>,</w:t>
      </w:r>
      <w:bookmarkStart w:id="0" w:name="_GoBack"/>
      <w:bookmarkEnd w:id="0"/>
      <w:r w:rsidRPr="005208A8">
        <w:rPr>
          <w:szCs w:val="16"/>
          <w:lang w:val="fr-FR"/>
        </w:rPr>
        <w:t xml:space="preserve"> </w:t>
      </w:r>
      <w:hyperlink r:id="rId1" w:history="1">
        <w:r w:rsidRPr="005208A8">
          <w:rPr>
            <w:rStyle w:val="Hyperlink"/>
            <w:rFonts w:cs="Lucida Grande"/>
            <w:szCs w:val="16"/>
            <w:lang w:val="fr-FR"/>
          </w:rPr>
          <w:t>www.icrc.org/eng/assets/files/publications/icrc-002-4200.pdf</w:t>
        </w:r>
      </w:hyperlink>
      <w:r w:rsidRPr="005208A8">
        <w:rPr>
          <w:rFonts w:cs="Lucida Grande"/>
          <w:color w:val="000000"/>
          <w:szCs w:val="16"/>
          <w:lang w:val="fr-FR"/>
        </w:rPr>
        <w:t xml:space="preserve"> </w:t>
      </w:r>
      <w:r w:rsidR="005208A8" w:rsidRPr="005208A8">
        <w:rPr>
          <w:rFonts w:cs="Lucida Grande"/>
          <w:color w:val="000000"/>
          <w:szCs w:val="16"/>
          <w:lang w:val="fr-FR"/>
        </w:rPr>
        <w:t>(en anglais)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826BE2" w14:textId="77777777" w:rsidR="00516B20" w:rsidRDefault="00516B2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309B8C" w14:textId="42A116EB" w:rsidR="00020D94" w:rsidRPr="00516B20" w:rsidRDefault="009B797C" w:rsidP="000D65A4">
    <w:pPr>
      <w:pStyle w:val="Header"/>
      <w:rPr>
        <w:sz w:val="14"/>
        <w:szCs w:val="14"/>
        <w:lang w:val="fr-FR"/>
      </w:rPr>
    </w:pPr>
    <w:r w:rsidRPr="00516B20">
      <w:rPr>
        <w:rStyle w:val="Pantone485"/>
        <w:sz w:val="14"/>
        <w:szCs w:val="14"/>
        <w:lang w:val="fr-FR"/>
      </w:rPr>
      <w:t>Mouvement international de la Croix-Rouge et du Croissant-Rouge</w:t>
    </w:r>
    <w:r w:rsidR="00020D94" w:rsidRPr="00516B20">
      <w:rPr>
        <w:rFonts w:cs="Caecilia-Light"/>
        <w:color w:val="FF0000"/>
        <w:sz w:val="14"/>
        <w:szCs w:val="14"/>
        <w:lang w:val="fr-FR"/>
      </w:rPr>
      <w:t xml:space="preserve"> </w:t>
    </w:r>
    <w:r w:rsidR="00020D94" w:rsidRPr="00516B20">
      <w:rPr>
        <w:rStyle w:val="PageNumber"/>
        <w:bCs/>
        <w:sz w:val="14"/>
        <w:szCs w:val="14"/>
        <w:lang w:val="fr-FR"/>
      </w:rPr>
      <w:t>I</w:t>
    </w:r>
    <w:r w:rsidR="00020D94" w:rsidRPr="00516B20">
      <w:rPr>
        <w:rStyle w:val="PageNumber"/>
        <w:color w:val="FF0000"/>
        <w:sz w:val="14"/>
        <w:szCs w:val="14"/>
        <w:lang w:val="fr-FR"/>
      </w:rPr>
      <w:t xml:space="preserve"> </w:t>
    </w:r>
    <w:r w:rsidRPr="00516B20">
      <w:rPr>
        <w:b/>
        <w:sz w:val="14"/>
        <w:szCs w:val="14"/>
        <w:lang w:val="fr-FR"/>
      </w:rPr>
      <w:t>Boîte à outils pour</w:t>
    </w:r>
    <w:r w:rsidR="008D7BDB" w:rsidRPr="00516B20">
      <w:rPr>
        <w:b/>
        <w:sz w:val="14"/>
        <w:szCs w:val="14"/>
        <w:lang w:val="fr-FR"/>
      </w:rPr>
      <w:t xml:space="preserve"> les</w:t>
    </w:r>
    <w:r w:rsidRPr="00516B20">
      <w:rPr>
        <w:b/>
        <w:sz w:val="14"/>
        <w:szCs w:val="14"/>
        <w:lang w:val="fr-FR"/>
      </w:rPr>
      <w:t xml:space="preserve"> </w:t>
    </w:r>
    <w:r w:rsidR="000D65A4" w:rsidRPr="00516B20">
      <w:rPr>
        <w:b/>
        <w:sz w:val="14"/>
        <w:szCs w:val="14"/>
        <w:lang w:val="fr-FR"/>
      </w:rPr>
      <w:t>transferts monétaires</w:t>
    </w:r>
    <w:r w:rsidRPr="00516B20">
      <w:rPr>
        <w:b/>
        <w:sz w:val="14"/>
        <w:szCs w:val="14"/>
        <w:lang w:val="fr-FR"/>
      </w:rPr>
      <w:t xml:space="preserve"> dans les situations d’urgence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D6FF22" w14:textId="77777777" w:rsidR="00516B20" w:rsidRDefault="00516B2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F7D25"/>
    <w:multiLevelType w:val="hybridMultilevel"/>
    <w:tmpl w:val="1D20BF0E"/>
    <w:lvl w:ilvl="0" w:tplc="18D88CC4">
      <w:start w:val="1"/>
      <w:numFmt w:val="decimal"/>
      <w:pStyle w:val="ListNumber1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pStyle w:val="ListNumber1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E508B"/>
    <w:multiLevelType w:val="hybridMultilevel"/>
    <w:tmpl w:val="B41416A2"/>
    <w:lvl w:ilvl="0" w:tplc="AE128682">
      <w:start w:val="1"/>
      <w:numFmt w:val="bullet"/>
      <w:pStyle w:val="Bullet1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ED5E1B"/>
    <w:multiLevelType w:val="hybridMultilevel"/>
    <w:tmpl w:val="A4E2E4E4"/>
    <w:lvl w:ilvl="0" w:tplc="2B7CC386">
      <w:start w:val="1"/>
      <w:numFmt w:val="decimal"/>
      <w:pStyle w:val="NormalNo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CC139D"/>
    <w:multiLevelType w:val="hybridMultilevel"/>
    <w:tmpl w:val="FF4A637C"/>
    <w:lvl w:ilvl="0" w:tplc="08FABD8E">
      <w:start w:val="1"/>
      <w:numFmt w:val="bullet"/>
      <w:pStyle w:val="Bullet2"/>
      <w:lvlText w:val=""/>
      <w:lvlJc w:val="left"/>
      <w:pPr>
        <w:ind w:left="720" w:hanging="360"/>
      </w:pPr>
      <w:rPr>
        <w:rFonts w:ascii="Symbol" w:hAnsi="Symbol" w:hint="default"/>
        <w:b/>
        <w:color w:val="DC281E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9F3BBB"/>
    <w:multiLevelType w:val="hybridMultilevel"/>
    <w:tmpl w:val="4BE0429A"/>
    <w:lvl w:ilvl="0" w:tplc="A9DE4814">
      <w:start w:val="1"/>
      <w:numFmt w:val="bullet"/>
      <w:pStyle w:val="BulletTableau"/>
      <w:lvlText w:val=""/>
      <w:lvlJc w:val="left"/>
      <w:pPr>
        <w:ind w:left="1080" w:hanging="360"/>
      </w:pPr>
      <w:rPr>
        <w:rFonts w:ascii="Symbol" w:hAnsi="Symbol" w:hint="default"/>
        <w:b/>
        <w:color w:val="auto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35C7E23"/>
    <w:multiLevelType w:val="hybridMultilevel"/>
    <w:tmpl w:val="92706D8A"/>
    <w:lvl w:ilvl="0" w:tplc="CAD4AE2E">
      <w:start w:val="1"/>
      <w:numFmt w:val="bullet"/>
      <w:pStyle w:val="Bullet3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attachedTemplate r:id="rId1"/>
  <w:linkStyles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F18"/>
    <w:rsid w:val="00020D94"/>
    <w:rsid w:val="00097A80"/>
    <w:rsid w:val="000D65A4"/>
    <w:rsid w:val="00107F01"/>
    <w:rsid w:val="00151B45"/>
    <w:rsid w:val="00156354"/>
    <w:rsid w:val="001B39DF"/>
    <w:rsid w:val="001B65AC"/>
    <w:rsid w:val="001C318A"/>
    <w:rsid w:val="002434A6"/>
    <w:rsid w:val="00250D82"/>
    <w:rsid w:val="00273249"/>
    <w:rsid w:val="00277EE2"/>
    <w:rsid w:val="002B056B"/>
    <w:rsid w:val="002F2BC9"/>
    <w:rsid w:val="0030188A"/>
    <w:rsid w:val="0031009B"/>
    <w:rsid w:val="00317459"/>
    <w:rsid w:val="0044161C"/>
    <w:rsid w:val="004979D7"/>
    <w:rsid w:val="00516B20"/>
    <w:rsid w:val="005208A8"/>
    <w:rsid w:val="005A56D7"/>
    <w:rsid w:val="005C7F7C"/>
    <w:rsid w:val="0061007C"/>
    <w:rsid w:val="00647CAE"/>
    <w:rsid w:val="006F4ABB"/>
    <w:rsid w:val="00712F18"/>
    <w:rsid w:val="00786D93"/>
    <w:rsid w:val="00822255"/>
    <w:rsid w:val="00822ACE"/>
    <w:rsid w:val="00850043"/>
    <w:rsid w:val="00856B7F"/>
    <w:rsid w:val="00880296"/>
    <w:rsid w:val="008D7BDB"/>
    <w:rsid w:val="009B797C"/>
    <w:rsid w:val="009F6737"/>
    <w:rsid w:val="00A633DC"/>
    <w:rsid w:val="00BE0E85"/>
    <w:rsid w:val="00BE0EE9"/>
    <w:rsid w:val="00C7734E"/>
    <w:rsid w:val="00C82E05"/>
    <w:rsid w:val="00C86D1C"/>
    <w:rsid w:val="00CC415F"/>
    <w:rsid w:val="00CC5963"/>
    <w:rsid w:val="00CC77EB"/>
    <w:rsid w:val="00D866D1"/>
    <w:rsid w:val="00D9371D"/>
    <w:rsid w:val="00DE1B8F"/>
    <w:rsid w:val="00E20822"/>
    <w:rsid w:val="00E46836"/>
    <w:rsid w:val="00EC6032"/>
    <w:rsid w:val="00F15BE6"/>
    <w:rsid w:val="00FC1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032180E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EastAsia" w:hAnsiTheme="majorHAnsi" w:cs="Times New Roman"/>
        <w:color w:val="000000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822"/>
    <w:pPr>
      <w:spacing w:after="120"/>
      <w:jc w:val="both"/>
    </w:pPr>
    <w:rPr>
      <w:rFonts w:ascii="Arial" w:hAnsi="Arial"/>
      <w:color w:val="auto"/>
      <w:sz w:val="20"/>
      <w:szCs w:val="20"/>
    </w:rPr>
  </w:style>
  <w:style w:type="paragraph" w:styleId="Heading1">
    <w:name w:val="heading 1"/>
    <w:basedOn w:val="H1"/>
    <w:next w:val="Normal"/>
    <w:link w:val="Heading1Char"/>
    <w:uiPriority w:val="9"/>
    <w:rsid w:val="00E20822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0822"/>
    <w:pPr>
      <w:keepNext/>
      <w:pBdr>
        <w:top w:val="single" w:sz="4" w:space="11" w:color="auto"/>
      </w:pBdr>
      <w:spacing w:before="240" w:after="240"/>
      <w:jc w:val="left"/>
      <w:outlineLvl w:val="1"/>
    </w:pPr>
    <w:rPr>
      <w:b/>
      <w:caps/>
      <w:sz w:val="24"/>
      <w:szCs w:val="26"/>
      <w:shd w:val="clear" w:color="auto" w:fill="FFFFFF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20822"/>
    <w:pPr>
      <w:keepNext/>
      <w:spacing w:before="240"/>
      <w:jc w:val="left"/>
      <w:outlineLvl w:val="2"/>
    </w:pPr>
    <w:rPr>
      <w:b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-Accent1">
    <w:name w:val="Light Shading Accent 1"/>
    <w:basedOn w:val="TableNormal"/>
    <w:uiPriority w:val="60"/>
    <w:rsid w:val="00712F18"/>
    <w:rPr>
      <w:rFonts w:cs="ArialMT"/>
      <w:color w:val="365F91" w:themeColor="accent1" w:themeShade="BF"/>
      <w:sz w:val="24"/>
      <w:szCs w:val="24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MediumShading1-Accent2">
    <w:name w:val="Medium Shading 1 Accent 2"/>
    <w:basedOn w:val="TableNormal"/>
    <w:uiPriority w:val="63"/>
    <w:rsid w:val="00712F18"/>
    <w:rPr>
      <w:rFonts w:cs="ArialMT"/>
      <w:color w:val="auto"/>
      <w:sz w:val="24"/>
      <w:szCs w:val="24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eGrid">
    <w:name w:val="Table Grid"/>
    <w:basedOn w:val="TableNormal"/>
    <w:uiPriority w:val="59"/>
    <w:rsid w:val="00E20822"/>
    <w:rPr>
      <w:rFonts w:ascii="Cambria" w:hAnsi="Cambria"/>
      <w:color w:val="auto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E20822"/>
    <w:pPr>
      <w:spacing w:after="0"/>
    </w:pPr>
    <w:rPr>
      <w:sz w:val="16"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20822"/>
    <w:rPr>
      <w:rFonts w:ascii="Arial" w:hAnsi="Arial"/>
      <w:color w:val="auto"/>
      <w:sz w:val="16"/>
    </w:rPr>
  </w:style>
  <w:style w:type="character" w:styleId="FootnoteReference">
    <w:name w:val="footnote reference"/>
    <w:basedOn w:val="DefaultParagraphFont"/>
    <w:uiPriority w:val="99"/>
    <w:unhideWhenUsed/>
    <w:rsid w:val="00E20822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E2082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20822"/>
    <w:pPr>
      <w:spacing w:after="0" w:line="288" w:lineRule="auto"/>
      <w:jc w:val="lef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E20822"/>
    <w:rPr>
      <w:rFonts w:ascii="Arial" w:hAnsi="Arial"/>
      <w:color w:val="auto"/>
      <w:sz w:val="16"/>
      <w:szCs w:val="20"/>
    </w:rPr>
  </w:style>
  <w:style w:type="paragraph" w:styleId="Footer">
    <w:name w:val="footer"/>
    <w:basedOn w:val="Normal"/>
    <w:link w:val="FooterChar"/>
    <w:uiPriority w:val="99"/>
    <w:unhideWhenUsed/>
    <w:rsid w:val="00E20822"/>
    <w:pPr>
      <w:spacing w:after="0"/>
      <w:jc w:val="left"/>
    </w:pPr>
    <w:rPr>
      <w:sz w:val="16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E20822"/>
    <w:rPr>
      <w:rFonts w:ascii="Arial" w:hAnsi="Arial"/>
      <w:color w:val="auto"/>
      <w:sz w:val="16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E20822"/>
    <w:rPr>
      <w:rFonts w:ascii="Arial" w:hAnsi="Arial"/>
      <w:b/>
      <w:color w:val="auto"/>
      <w:sz w:val="40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E20822"/>
    <w:rPr>
      <w:rFonts w:ascii="Arial" w:hAnsi="Arial"/>
      <w:b/>
      <w:caps/>
      <w:color w:val="auto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20822"/>
    <w:rPr>
      <w:rFonts w:ascii="Arial" w:hAnsi="Arial"/>
      <w:b/>
      <w:color w:val="auto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E20822"/>
    <w:pPr>
      <w:spacing w:after="240"/>
      <w:ind w:left="720"/>
      <w:contextualSpacing/>
    </w:pPr>
    <w:rPr>
      <w:rFonts w:eastAsiaTheme="minorHAnsi" w:cstheme="minorBidi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20822"/>
    <w:rPr>
      <w:rFonts w:ascii="Arial" w:eastAsiaTheme="minorHAnsi" w:hAnsi="Arial" w:cstheme="minorBidi"/>
      <w:color w:val="auto"/>
      <w:sz w:val="20"/>
    </w:rPr>
  </w:style>
  <w:style w:type="paragraph" w:customStyle="1" w:styleId="Default">
    <w:name w:val="Default"/>
    <w:rsid w:val="00E2082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2082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082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0822"/>
    <w:rPr>
      <w:rFonts w:ascii="Arial" w:hAnsi="Arial"/>
      <w:color w:val="auto"/>
      <w:sz w:val="20"/>
      <w:szCs w:val="20"/>
    </w:rPr>
  </w:style>
  <w:style w:type="paragraph" w:styleId="CommentSubject">
    <w:name w:val="annotation subject"/>
    <w:basedOn w:val="Normal"/>
    <w:link w:val="CommentSubjectChar"/>
    <w:uiPriority w:val="99"/>
    <w:semiHidden/>
    <w:unhideWhenUsed/>
    <w:rsid w:val="00E20822"/>
    <w:rPr>
      <w:b/>
      <w:bCs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E20822"/>
    <w:rPr>
      <w:rFonts w:ascii="Arial" w:hAnsi="Arial"/>
      <w:b/>
      <w:bCs/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0822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822"/>
    <w:rPr>
      <w:rFonts w:ascii="Lucida Grande" w:hAnsi="Lucida Grande" w:cs="Lucida Grande"/>
      <w:color w:val="auto"/>
      <w:sz w:val="18"/>
      <w:szCs w:val="18"/>
    </w:rPr>
  </w:style>
  <w:style w:type="character" w:styleId="PageNumber">
    <w:name w:val="page number"/>
    <w:basedOn w:val="DefaultParagraphFont"/>
    <w:uiPriority w:val="99"/>
    <w:unhideWhenUsed/>
    <w:rsid w:val="00E20822"/>
    <w:rPr>
      <w:b/>
    </w:rPr>
  </w:style>
  <w:style w:type="character" w:styleId="FollowedHyperlink">
    <w:name w:val="FollowedHyperlink"/>
    <w:basedOn w:val="DefaultParagraphFont"/>
    <w:uiPriority w:val="99"/>
    <w:semiHidden/>
    <w:unhideWhenUsed/>
    <w:rsid w:val="00E20822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E20822"/>
    <w:rPr>
      <w:rFonts w:ascii="Arial" w:hAnsi="Arial" w:cs="Arial"/>
      <w:color w:val="auto"/>
      <w:sz w:val="21"/>
      <w:szCs w:val="21"/>
    </w:rPr>
  </w:style>
  <w:style w:type="paragraph" w:customStyle="1" w:styleId="BasicParagraph">
    <w:name w:val="[Basic Paragraph]"/>
    <w:basedOn w:val="Normal"/>
    <w:uiPriority w:val="99"/>
    <w:rsid w:val="00E20822"/>
    <w:pPr>
      <w:widowControl w:val="0"/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-Roman" w:eastAsia="Cambria" w:hAnsi="Times-Roman" w:cs="Times-Roman"/>
      <w:color w:val="000000"/>
      <w:szCs w:val="24"/>
    </w:rPr>
  </w:style>
  <w:style w:type="paragraph" w:customStyle="1" w:styleId="H1">
    <w:name w:val="H1"/>
    <w:basedOn w:val="Normal"/>
    <w:link w:val="H1Char"/>
    <w:qFormat/>
    <w:rsid w:val="00E20822"/>
    <w:pPr>
      <w:spacing w:before="360" w:after="240"/>
      <w:jc w:val="left"/>
      <w:outlineLvl w:val="0"/>
    </w:pPr>
    <w:rPr>
      <w:b/>
      <w:sz w:val="40"/>
      <w:szCs w:val="52"/>
    </w:rPr>
  </w:style>
  <w:style w:type="paragraph" w:customStyle="1" w:styleId="Bullet1">
    <w:name w:val="Bullet 1"/>
    <w:basedOn w:val="Normal"/>
    <w:rsid w:val="00E20822"/>
    <w:pPr>
      <w:numPr>
        <w:numId w:val="3"/>
      </w:numPr>
      <w:spacing w:before="60"/>
    </w:pPr>
    <w:rPr>
      <w:rFonts w:eastAsia="Times New Roman"/>
      <w:color w:val="000000"/>
    </w:rPr>
  </w:style>
  <w:style w:type="paragraph" w:customStyle="1" w:styleId="RefItem1">
    <w:name w:val="Ref Item 1"/>
    <w:basedOn w:val="Normal"/>
    <w:rsid w:val="00E20822"/>
    <w:pPr>
      <w:jc w:val="left"/>
    </w:pPr>
    <w:rPr>
      <w:color w:val="000000"/>
      <w:szCs w:val="24"/>
      <w:lang w:eastAsia="it-IT"/>
    </w:rPr>
  </w:style>
  <w:style w:type="paragraph" w:customStyle="1" w:styleId="RefTitre">
    <w:name w:val="Ref Titre"/>
    <w:basedOn w:val="Normal"/>
    <w:rsid w:val="00E20822"/>
    <w:pPr>
      <w:jc w:val="left"/>
    </w:pPr>
    <w:rPr>
      <w:rFonts w:eastAsia="Times New Roman"/>
      <w:b/>
      <w:bCs/>
      <w:sz w:val="26"/>
      <w:szCs w:val="26"/>
    </w:rPr>
  </w:style>
  <w:style w:type="paragraph" w:customStyle="1" w:styleId="Header1">
    <w:name w:val="Header 1"/>
    <w:basedOn w:val="Header"/>
    <w:rsid w:val="00E20822"/>
    <w:rPr>
      <w:b/>
      <w:sz w:val="24"/>
      <w:szCs w:val="24"/>
    </w:rPr>
  </w:style>
  <w:style w:type="character" w:customStyle="1" w:styleId="Pantone485">
    <w:name w:val="Pantone 485"/>
    <w:basedOn w:val="DefaultParagraphFont"/>
    <w:uiPriority w:val="1"/>
    <w:qFormat/>
    <w:rsid w:val="00E20822"/>
    <w:rPr>
      <w:rFonts w:cs="Caecilia-Light"/>
      <w:color w:val="DC281E"/>
      <w:szCs w:val="16"/>
    </w:rPr>
  </w:style>
  <w:style w:type="character" w:customStyle="1" w:styleId="H1Char">
    <w:name w:val="H1 Char"/>
    <w:basedOn w:val="DefaultParagraphFont"/>
    <w:link w:val="H1"/>
    <w:rsid w:val="00E20822"/>
    <w:rPr>
      <w:rFonts w:ascii="Arial" w:hAnsi="Arial"/>
      <w:b/>
      <w:color w:val="auto"/>
      <w:sz w:val="40"/>
      <w:szCs w:val="52"/>
    </w:rPr>
  </w:style>
  <w:style w:type="table" w:customStyle="1" w:styleId="TableGray">
    <w:name w:val="Table Gray"/>
    <w:basedOn w:val="TableNormal"/>
    <w:uiPriority w:val="99"/>
    <w:rsid w:val="00E20822"/>
    <w:rPr>
      <w:rFonts w:asciiTheme="minorHAnsi" w:hAnsiTheme="minorHAnsi"/>
      <w:color w:val="auto"/>
      <w:sz w:val="20"/>
      <w:szCs w:val="20"/>
    </w:rPr>
    <w:tblPr>
      <w:tblCellMar>
        <w:top w:w="142" w:type="dxa"/>
        <w:left w:w="142" w:type="dxa"/>
        <w:bottom w:w="142" w:type="dxa"/>
        <w:right w:w="142" w:type="dxa"/>
      </w:tblCellMar>
    </w:tblPr>
    <w:tcPr>
      <w:shd w:val="clear" w:color="auto" w:fill="D9D9D9" w:themeFill="background1" w:themeFillShade="D9"/>
    </w:tcPr>
  </w:style>
  <w:style w:type="paragraph" w:customStyle="1" w:styleId="Bullet2">
    <w:name w:val="Bullet 2"/>
    <w:basedOn w:val="ListParagraph"/>
    <w:rsid w:val="00E20822"/>
    <w:pPr>
      <w:numPr>
        <w:numId w:val="4"/>
      </w:numPr>
      <w:tabs>
        <w:tab w:val="left" w:pos="7230"/>
      </w:tabs>
      <w:spacing w:before="240"/>
    </w:pPr>
    <w:rPr>
      <w:rFonts w:cs="Arial"/>
    </w:rPr>
  </w:style>
  <w:style w:type="paragraph" w:customStyle="1" w:styleId="ListNumber1">
    <w:name w:val="List Number 1"/>
    <w:basedOn w:val="Normal"/>
    <w:rsid w:val="00E20822"/>
    <w:pPr>
      <w:numPr>
        <w:ilvl w:val="1"/>
        <w:numId w:val="1"/>
      </w:numPr>
      <w:contextualSpacing/>
    </w:pPr>
    <w:rPr>
      <w:rFonts w:eastAsiaTheme="minorHAnsi" w:cstheme="minorHAnsi"/>
      <w:szCs w:val="22"/>
    </w:rPr>
  </w:style>
  <w:style w:type="paragraph" w:customStyle="1" w:styleId="NormalNo">
    <w:name w:val="Normal + No"/>
    <w:basedOn w:val="Normal"/>
    <w:qFormat/>
    <w:rsid w:val="00E20822"/>
    <w:pPr>
      <w:numPr>
        <w:numId w:val="2"/>
      </w:numPr>
    </w:pPr>
    <w:rPr>
      <w:rFonts w:eastAsia="MS Mincho"/>
      <w:b/>
      <w:sz w:val="22"/>
    </w:rPr>
  </w:style>
  <w:style w:type="paragraph" w:customStyle="1" w:styleId="Bullet3">
    <w:name w:val="Bullet 3"/>
    <w:basedOn w:val="ListParagraph"/>
    <w:qFormat/>
    <w:rsid w:val="00E20822"/>
    <w:pPr>
      <w:numPr>
        <w:numId w:val="5"/>
      </w:numPr>
      <w:spacing w:before="120" w:after="120"/>
      <w:ind w:right="425"/>
    </w:pPr>
    <w:rPr>
      <w:rFonts w:cs="Arial"/>
      <w:i/>
      <w:iCs/>
    </w:rPr>
  </w:style>
  <w:style w:type="paragraph" w:customStyle="1" w:styleId="Indent">
    <w:name w:val="Indent"/>
    <w:basedOn w:val="Normal"/>
    <w:qFormat/>
    <w:rsid w:val="00E20822"/>
    <w:pPr>
      <w:ind w:left="567"/>
    </w:pPr>
    <w:rPr>
      <w:rFonts w:cs="Arial"/>
      <w:b/>
    </w:rPr>
  </w:style>
  <w:style w:type="paragraph" w:customStyle="1" w:styleId="TitreTableau">
    <w:name w:val="Titre Tableau"/>
    <w:basedOn w:val="Normal"/>
    <w:qFormat/>
    <w:rsid w:val="00E20822"/>
    <w:pPr>
      <w:spacing w:before="120"/>
      <w:jc w:val="center"/>
    </w:pPr>
    <w:rPr>
      <w:rFonts w:cs="Arial"/>
      <w:b/>
      <w:bCs/>
      <w:color w:val="FFFFFF" w:themeColor="background1"/>
      <w:lang w:val="en-CA"/>
    </w:rPr>
  </w:style>
  <w:style w:type="paragraph" w:customStyle="1" w:styleId="BulletTableau">
    <w:name w:val="Bullet Tableau"/>
    <w:basedOn w:val="Bullet2"/>
    <w:qFormat/>
    <w:rsid w:val="00E20822"/>
    <w:pPr>
      <w:keepNext/>
      <w:keepLines/>
      <w:framePr w:hSpace="141" w:wrap="around" w:vAnchor="text" w:hAnchor="margin" w:y="402"/>
      <w:numPr>
        <w:numId w:val="6"/>
      </w:numPr>
      <w:spacing w:beforeLines="60" w:before="60" w:afterLines="20" w:after="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EastAsia" w:hAnsiTheme="majorHAnsi" w:cs="Times New Roman"/>
        <w:color w:val="000000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822"/>
    <w:pPr>
      <w:spacing w:after="120"/>
      <w:jc w:val="both"/>
    </w:pPr>
    <w:rPr>
      <w:rFonts w:ascii="Arial" w:hAnsi="Arial"/>
      <w:color w:val="auto"/>
      <w:sz w:val="20"/>
      <w:szCs w:val="20"/>
    </w:rPr>
  </w:style>
  <w:style w:type="paragraph" w:styleId="Heading1">
    <w:name w:val="heading 1"/>
    <w:basedOn w:val="H1"/>
    <w:next w:val="Normal"/>
    <w:link w:val="Heading1Char"/>
    <w:uiPriority w:val="9"/>
    <w:rsid w:val="00E20822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0822"/>
    <w:pPr>
      <w:keepNext/>
      <w:pBdr>
        <w:top w:val="single" w:sz="4" w:space="11" w:color="auto"/>
      </w:pBdr>
      <w:spacing w:before="240" w:after="240"/>
      <w:jc w:val="left"/>
      <w:outlineLvl w:val="1"/>
    </w:pPr>
    <w:rPr>
      <w:b/>
      <w:caps/>
      <w:sz w:val="24"/>
      <w:szCs w:val="26"/>
      <w:shd w:val="clear" w:color="auto" w:fill="FFFFFF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20822"/>
    <w:pPr>
      <w:keepNext/>
      <w:spacing w:before="240"/>
      <w:jc w:val="left"/>
      <w:outlineLvl w:val="2"/>
    </w:pPr>
    <w:rPr>
      <w:b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-Accent1">
    <w:name w:val="Light Shading Accent 1"/>
    <w:basedOn w:val="TableNormal"/>
    <w:uiPriority w:val="60"/>
    <w:rsid w:val="00712F18"/>
    <w:rPr>
      <w:rFonts w:cs="ArialMT"/>
      <w:color w:val="365F91" w:themeColor="accent1" w:themeShade="BF"/>
      <w:sz w:val="24"/>
      <w:szCs w:val="24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MediumShading1-Accent2">
    <w:name w:val="Medium Shading 1 Accent 2"/>
    <w:basedOn w:val="TableNormal"/>
    <w:uiPriority w:val="63"/>
    <w:rsid w:val="00712F18"/>
    <w:rPr>
      <w:rFonts w:cs="ArialMT"/>
      <w:color w:val="auto"/>
      <w:sz w:val="24"/>
      <w:szCs w:val="24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eGrid">
    <w:name w:val="Table Grid"/>
    <w:basedOn w:val="TableNormal"/>
    <w:uiPriority w:val="59"/>
    <w:rsid w:val="00E20822"/>
    <w:rPr>
      <w:rFonts w:ascii="Cambria" w:hAnsi="Cambria"/>
      <w:color w:val="auto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E20822"/>
    <w:pPr>
      <w:spacing w:after="0"/>
    </w:pPr>
    <w:rPr>
      <w:sz w:val="16"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20822"/>
    <w:rPr>
      <w:rFonts w:ascii="Arial" w:hAnsi="Arial"/>
      <w:color w:val="auto"/>
      <w:sz w:val="16"/>
    </w:rPr>
  </w:style>
  <w:style w:type="character" w:styleId="FootnoteReference">
    <w:name w:val="footnote reference"/>
    <w:basedOn w:val="DefaultParagraphFont"/>
    <w:uiPriority w:val="99"/>
    <w:unhideWhenUsed/>
    <w:rsid w:val="00E20822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E2082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20822"/>
    <w:pPr>
      <w:spacing w:after="0" w:line="288" w:lineRule="auto"/>
      <w:jc w:val="lef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E20822"/>
    <w:rPr>
      <w:rFonts w:ascii="Arial" w:hAnsi="Arial"/>
      <w:color w:val="auto"/>
      <w:sz w:val="16"/>
      <w:szCs w:val="20"/>
    </w:rPr>
  </w:style>
  <w:style w:type="paragraph" w:styleId="Footer">
    <w:name w:val="footer"/>
    <w:basedOn w:val="Normal"/>
    <w:link w:val="FooterChar"/>
    <w:uiPriority w:val="99"/>
    <w:unhideWhenUsed/>
    <w:rsid w:val="00E20822"/>
    <w:pPr>
      <w:spacing w:after="0"/>
      <w:jc w:val="left"/>
    </w:pPr>
    <w:rPr>
      <w:sz w:val="16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E20822"/>
    <w:rPr>
      <w:rFonts w:ascii="Arial" w:hAnsi="Arial"/>
      <w:color w:val="auto"/>
      <w:sz w:val="16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E20822"/>
    <w:rPr>
      <w:rFonts w:ascii="Arial" w:hAnsi="Arial"/>
      <w:b/>
      <w:color w:val="auto"/>
      <w:sz w:val="40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E20822"/>
    <w:rPr>
      <w:rFonts w:ascii="Arial" w:hAnsi="Arial"/>
      <w:b/>
      <w:caps/>
      <w:color w:val="auto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20822"/>
    <w:rPr>
      <w:rFonts w:ascii="Arial" w:hAnsi="Arial"/>
      <w:b/>
      <w:color w:val="auto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E20822"/>
    <w:pPr>
      <w:spacing w:after="240"/>
      <w:ind w:left="720"/>
      <w:contextualSpacing/>
    </w:pPr>
    <w:rPr>
      <w:rFonts w:eastAsiaTheme="minorHAnsi" w:cstheme="minorBidi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20822"/>
    <w:rPr>
      <w:rFonts w:ascii="Arial" w:eastAsiaTheme="minorHAnsi" w:hAnsi="Arial" w:cstheme="minorBidi"/>
      <w:color w:val="auto"/>
      <w:sz w:val="20"/>
    </w:rPr>
  </w:style>
  <w:style w:type="paragraph" w:customStyle="1" w:styleId="Default">
    <w:name w:val="Default"/>
    <w:rsid w:val="00E2082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2082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082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0822"/>
    <w:rPr>
      <w:rFonts w:ascii="Arial" w:hAnsi="Arial"/>
      <w:color w:val="auto"/>
      <w:sz w:val="20"/>
      <w:szCs w:val="20"/>
    </w:rPr>
  </w:style>
  <w:style w:type="paragraph" w:styleId="CommentSubject">
    <w:name w:val="annotation subject"/>
    <w:basedOn w:val="Normal"/>
    <w:link w:val="CommentSubjectChar"/>
    <w:uiPriority w:val="99"/>
    <w:semiHidden/>
    <w:unhideWhenUsed/>
    <w:rsid w:val="00E20822"/>
    <w:rPr>
      <w:b/>
      <w:bCs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E20822"/>
    <w:rPr>
      <w:rFonts w:ascii="Arial" w:hAnsi="Arial"/>
      <w:b/>
      <w:bCs/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0822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822"/>
    <w:rPr>
      <w:rFonts w:ascii="Lucida Grande" w:hAnsi="Lucida Grande" w:cs="Lucida Grande"/>
      <w:color w:val="auto"/>
      <w:sz w:val="18"/>
      <w:szCs w:val="18"/>
    </w:rPr>
  </w:style>
  <w:style w:type="character" w:styleId="PageNumber">
    <w:name w:val="page number"/>
    <w:basedOn w:val="DefaultParagraphFont"/>
    <w:uiPriority w:val="99"/>
    <w:unhideWhenUsed/>
    <w:rsid w:val="00E20822"/>
    <w:rPr>
      <w:b/>
    </w:rPr>
  </w:style>
  <w:style w:type="character" w:styleId="FollowedHyperlink">
    <w:name w:val="FollowedHyperlink"/>
    <w:basedOn w:val="DefaultParagraphFont"/>
    <w:uiPriority w:val="99"/>
    <w:semiHidden/>
    <w:unhideWhenUsed/>
    <w:rsid w:val="00E20822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E20822"/>
    <w:rPr>
      <w:rFonts w:ascii="Arial" w:hAnsi="Arial" w:cs="Arial"/>
      <w:color w:val="auto"/>
      <w:sz w:val="21"/>
      <w:szCs w:val="21"/>
    </w:rPr>
  </w:style>
  <w:style w:type="paragraph" w:customStyle="1" w:styleId="BasicParagraph">
    <w:name w:val="[Basic Paragraph]"/>
    <w:basedOn w:val="Normal"/>
    <w:uiPriority w:val="99"/>
    <w:rsid w:val="00E20822"/>
    <w:pPr>
      <w:widowControl w:val="0"/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-Roman" w:eastAsia="Cambria" w:hAnsi="Times-Roman" w:cs="Times-Roman"/>
      <w:color w:val="000000"/>
      <w:szCs w:val="24"/>
    </w:rPr>
  </w:style>
  <w:style w:type="paragraph" w:customStyle="1" w:styleId="H1">
    <w:name w:val="H1"/>
    <w:basedOn w:val="Normal"/>
    <w:link w:val="H1Char"/>
    <w:qFormat/>
    <w:rsid w:val="00E20822"/>
    <w:pPr>
      <w:spacing w:before="360" w:after="240"/>
      <w:jc w:val="left"/>
      <w:outlineLvl w:val="0"/>
    </w:pPr>
    <w:rPr>
      <w:b/>
      <w:sz w:val="40"/>
      <w:szCs w:val="52"/>
    </w:rPr>
  </w:style>
  <w:style w:type="paragraph" w:customStyle="1" w:styleId="Bullet1">
    <w:name w:val="Bullet 1"/>
    <w:basedOn w:val="Normal"/>
    <w:rsid w:val="00E20822"/>
    <w:pPr>
      <w:numPr>
        <w:numId w:val="3"/>
      </w:numPr>
      <w:spacing w:before="60"/>
    </w:pPr>
    <w:rPr>
      <w:rFonts w:eastAsia="Times New Roman"/>
      <w:color w:val="000000"/>
    </w:rPr>
  </w:style>
  <w:style w:type="paragraph" w:customStyle="1" w:styleId="RefItem1">
    <w:name w:val="Ref Item 1"/>
    <w:basedOn w:val="Normal"/>
    <w:rsid w:val="00E20822"/>
    <w:pPr>
      <w:jc w:val="left"/>
    </w:pPr>
    <w:rPr>
      <w:color w:val="000000"/>
      <w:szCs w:val="24"/>
      <w:lang w:eastAsia="it-IT"/>
    </w:rPr>
  </w:style>
  <w:style w:type="paragraph" w:customStyle="1" w:styleId="RefTitre">
    <w:name w:val="Ref Titre"/>
    <w:basedOn w:val="Normal"/>
    <w:rsid w:val="00E20822"/>
    <w:pPr>
      <w:jc w:val="left"/>
    </w:pPr>
    <w:rPr>
      <w:rFonts w:eastAsia="Times New Roman"/>
      <w:b/>
      <w:bCs/>
      <w:sz w:val="26"/>
      <w:szCs w:val="26"/>
    </w:rPr>
  </w:style>
  <w:style w:type="paragraph" w:customStyle="1" w:styleId="Header1">
    <w:name w:val="Header 1"/>
    <w:basedOn w:val="Header"/>
    <w:rsid w:val="00E20822"/>
    <w:rPr>
      <w:b/>
      <w:sz w:val="24"/>
      <w:szCs w:val="24"/>
    </w:rPr>
  </w:style>
  <w:style w:type="character" w:customStyle="1" w:styleId="Pantone485">
    <w:name w:val="Pantone 485"/>
    <w:basedOn w:val="DefaultParagraphFont"/>
    <w:uiPriority w:val="1"/>
    <w:qFormat/>
    <w:rsid w:val="00E20822"/>
    <w:rPr>
      <w:rFonts w:cs="Caecilia-Light"/>
      <w:color w:val="DC281E"/>
      <w:szCs w:val="16"/>
    </w:rPr>
  </w:style>
  <w:style w:type="character" w:customStyle="1" w:styleId="H1Char">
    <w:name w:val="H1 Char"/>
    <w:basedOn w:val="DefaultParagraphFont"/>
    <w:link w:val="H1"/>
    <w:rsid w:val="00E20822"/>
    <w:rPr>
      <w:rFonts w:ascii="Arial" w:hAnsi="Arial"/>
      <w:b/>
      <w:color w:val="auto"/>
      <w:sz w:val="40"/>
      <w:szCs w:val="52"/>
    </w:rPr>
  </w:style>
  <w:style w:type="table" w:customStyle="1" w:styleId="TableGray">
    <w:name w:val="Table Gray"/>
    <w:basedOn w:val="TableNormal"/>
    <w:uiPriority w:val="99"/>
    <w:rsid w:val="00E20822"/>
    <w:rPr>
      <w:rFonts w:asciiTheme="minorHAnsi" w:hAnsiTheme="minorHAnsi"/>
      <w:color w:val="auto"/>
      <w:sz w:val="20"/>
      <w:szCs w:val="20"/>
    </w:rPr>
    <w:tblPr>
      <w:tblCellMar>
        <w:top w:w="142" w:type="dxa"/>
        <w:left w:w="142" w:type="dxa"/>
        <w:bottom w:w="142" w:type="dxa"/>
        <w:right w:w="142" w:type="dxa"/>
      </w:tblCellMar>
    </w:tblPr>
    <w:tcPr>
      <w:shd w:val="clear" w:color="auto" w:fill="D9D9D9" w:themeFill="background1" w:themeFillShade="D9"/>
    </w:tcPr>
  </w:style>
  <w:style w:type="paragraph" w:customStyle="1" w:styleId="Bullet2">
    <w:name w:val="Bullet 2"/>
    <w:basedOn w:val="ListParagraph"/>
    <w:rsid w:val="00E20822"/>
    <w:pPr>
      <w:numPr>
        <w:numId w:val="4"/>
      </w:numPr>
      <w:tabs>
        <w:tab w:val="left" w:pos="7230"/>
      </w:tabs>
      <w:spacing w:before="240"/>
    </w:pPr>
    <w:rPr>
      <w:rFonts w:cs="Arial"/>
    </w:rPr>
  </w:style>
  <w:style w:type="paragraph" w:customStyle="1" w:styleId="ListNumber1">
    <w:name w:val="List Number 1"/>
    <w:basedOn w:val="Normal"/>
    <w:rsid w:val="00E20822"/>
    <w:pPr>
      <w:numPr>
        <w:ilvl w:val="1"/>
        <w:numId w:val="1"/>
      </w:numPr>
      <w:contextualSpacing/>
    </w:pPr>
    <w:rPr>
      <w:rFonts w:eastAsiaTheme="minorHAnsi" w:cstheme="minorHAnsi"/>
      <w:szCs w:val="22"/>
    </w:rPr>
  </w:style>
  <w:style w:type="paragraph" w:customStyle="1" w:styleId="NormalNo">
    <w:name w:val="Normal + No"/>
    <w:basedOn w:val="Normal"/>
    <w:qFormat/>
    <w:rsid w:val="00E20822"/>
    <w:pPr>
      <w:numPr>
        <w:numId w:val="2"/>
      </w:numPr>
    </w:pPr>
    <w:rPr>
      <w:rFonts w:eastAsia="MS Mincho"/>
      <w:b/>
      <w:sz w:val="22"/>
    </w:rPr>
  </w:style>
  <w:style w:type="paragraph" w:customStyle="1" w:styleId="Bullet3">
    <w:name w:val="Bullet 3"/>
    <w:basedOn w:val="ListParagraph"/>
    <w:qFormat/>
    <w:rsid w:val="00E20822"/>
    <w:pPr>
      <w:numPr>
        <w:numId w:val="5"/>
      </w:numPr>
      <w:spacing w:before="120" w:after="120"/>
      <w:ind w:right="425"/>
    </w:pPr>
    <w:rPr>
      <w:rFonts w:cs="Arial"/>
      <w:i/>
      <w:iCs/>
    </w:rPr>
  </w:style>
  <w:style w:type="paragraph" w:customStyle="1" w:styleId="Indent">
    <w:name w:val="Indent"/>
    <w:basedOn w:val="Normal"/>
    <w:qFormat/>
    <w:rsid w:val="00E20822"/>
    <w:pPr>
      <w:ind w:left="567"/>
    </w:pPr>
    <w:rPr>
      <w:rFonts w:cs="Arial"/>
      <w:b/>
    </w:rPr>
  </w:style>
  <w:style w:type="paragraph" w:customStyle="1" w:styleId="TitreTableau">
    <w:name w:val="Titre Tableau"/>
    <w:basedOn w:val="Normal"/>
    <w:qFormat/>
    <w:rsid w:val="00E20822"/>
    <w:pPr>
      <w:spacing w:before="120"/>
      <w:jc w:val="center"/>
    </w:pPr>
    <w:rPr>
      <w:rFonts w:cs="Arial"/>
      <w:b/>
      <w:bCs/>
      <w:color w:val="FFFFFF" w:themeColor="background1"/>
      <w:lang w:val="en-CA"/>
    </w:rPr>
  </w:style>
  <w:style w:type="paragraph" w:customStyle="1" w:styleId="BulletTableau">
    <w:name w:val="Bullet Tableau"/>
    <w:basedOn w:val="Bullet2"/>
    <w:qFormat/>
    <w:rsid w:val="00E20822"/>
    <w:pPr>
      <w:keepNext/>
      <w:keepLines/>
      <w:framePr w:hSpace="141" w:wrap="around" w:vAnchor="text" w:hAnchor="margin" w:y="402"/>
      <w:numPr>
        <w:numId w:val="6"/>
      </w:numPr>
      <w:spacing w:beforeLines="60" w:before="60" w:afterLines="20" w:after="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crc.org/eng/assets/files/publications/icrc-002-4200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lients\Croix%20Rouge\ICRC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ICRC_Template.dotx</Template>
  <TotalTime>224</TotalTime>
  <Pages>2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Pantaleo Creti</dc:creator>
  <cp:keywords/>
  <dc:description/>
  <cp:lastModifiedBy>Florence MAROT</cp:lastModifiedBy>
  <cp:revision>32</cp:revision>
  <cp:lastPrinted>2015-09-24T19:51:00Z</cp:lastPrinted>
  <dcterms:created xsi:type="dcterms:W3CDTF">2015-05-27T10:00:00Z</dcterms:created>
  <dcterms:modified xsi:type="dcterms:W3CDTF">2016-04-05T07:35:00Z</dcterms:modified>
</cp:coreProperties>
</file>