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35" w:rsidRPr="0036622C" w:rsidRDefault="0047485B" w:rsidP="001D22FF">
      <w:pPr>
        <w:pStyle w:val="H1"/>
      </w:pPr>
      <w:r>
        <w:t>G</w:t>
      </w:r>
      <w:r w:rsidR="00F01D35" w:rsidRPr="0036622C">
        <w:t>eographic targeting</w:t>
      </w:r>
      <w:r>
        <w:t xml:space="preserve"> template</w:t>
      </w:r>
    </w:p>
    <w:p w:rsidR="00C544A6" w:rsidRDefault="00C544A6" w:rsidP="00C13C48">
      <w:r>
        <w:t>This tool lists some of the</w:t>
      </w:r>
      <w:r w:rsidR="00F0423F">
        <w:t xml:space="preserve"> key</w:t>
      </w:r>
      <w:r w:rsidR="00F0423F" w:rsidRPr="00F03551">
        <w:t xml:space="preserve"> elements </w:t>
      </w:r>
      <w:r w:rsidR="00F0423F">
        <w:t>to be considered</w:t>
      </w:r>
      <w:r w:rsidR="00F0423F" w:rsidRPr="00F03551">
        <w:t xml:space="preserve"> when selecting intervention areas for a CTP in emergencies. </w:t>
      </w:r>
      <w:r w:rsidR="003929E2">
        <w:t>All your</w:t>
      </w:r>
      <w:r w:rsidR="00FD7068">
        <w:t xml:space="preserve"> decisions</w:t>
      </w:r>
      <w:r w:rsidR="003929E2">
        <w:t xml:space="preserve"> on targeting will need to be clearly communicated with internal and external actors as well as the affected population in your BCA plan.</w:t>
      </w:r>
      <w:r w:rsidR="00261FE9">
        <w:t xml:space="preserve"> </w:t>
      </w:r>
      <w:r w:rsidR="003929E2">
        <w:t>They will also have to consider the local markets and intended</w:t>
      </w:r>
      <w:r w:rsidR="00261FE9">
        <w:t xml:space="preserve"> beneficiary access to </w:t>
      </w:r>
      <w:r w:rsidR="003929E2">
        <w:t>them, as well as coverage and access to potential cash transfer delivery agents and methods.</w:t>
      </w:r>
    </w:p>
    <w:p w:rsidR="00C544A6" w:rsidRPr="00372E19" w:rsidRDefault="00C544A6" w:rsidP="00C13C48">
      <w:r w:rsidRPr="00372E19">
        <w:t>Geographic targeting in an emergency refers to the identification of specific</w:t>
      </w:r>
      <w:r>
        <w:t xml:space="preserve"> </w:t>
      </w:r>
      <w:r w:rsidRPr="00372E19">
        <w:t xml:space="preserve">administrative units or livelihood zones </w:t>
      </w:r>
      <w:r>
        <w:t xml:space="preserve">or similar boundaries </w:t>
      </w:r>
      <w:r w:rsidRPr="00372E19">
        <w:t>for your emergency response. You will have identified these during module 2 when planning your assessment. The geographic locations affected by an emergency are identified primarily through secondary data</w:t>
      </w:r>
      <w:r>
        <w:t xml:space="preserve"> and information on where the affected population is.</w:t>
      </w:r>
      <w:r w:rsidRPr="00372E19">
        <w:t xml:space="preserve"> </w:t>
      </w:r>
    </w:p>
    <w:p w:rsidR="00C544A6" w:rsidRPr="00EB3A06" w:rsidRDefault="00C544A6" w:rsidP="00C13C48">
      <w:pPr>
        <w:rPr>
          <w:rFonts w:cs="Helvetica"/>
          <w:bCs/>
          <w:color w:val="000000"/>
        </w:rPr>
      </w:pPr>
      <w:r w:rsidRPr="006A2FFC">
        <w:rPr>
          <w:rFonts w:cs="Helvetica"/>
          <w:bCs/>
          <w:color w:val="000000"/>
        </w:rPr>
        <w:t xml:space="preserve">Geographical targeting is usually the first level of targeting required. In an emergency </w:t>
      </w:r>
      <w:r w:rsidRPr="00EB3A06">
        <w:rPr>
          <w:rFonts w:cs="Helvetica"/>
          <w:bCs/>
          <w:color w:val="000000"/>
        </w:rPr>
        <w:t>response operation, you will need to have identified the affected population and area to be able to narrow down your intervention area based on multiple factors such as:</w:t>
      </w:r>
    </w:p>
    <w:p w:rsidR="00C544A6" w:rsidRPr="00EB3A06" w:rsidRDefault="00C544A6" w:rsidP="00961549">
      <w:pPr>
        <w:pStyle w:val="Bullet2"/>
      </w:pPr>
      <w:r w:rsidRPr="00EB3A06">
        <w:t xml:space="preserve">the scale of the emergency, </w:t>
      </w:r>
    </w:p>
    <w:p w:rsidR="00C544A6" w:rsidRPr="00EB3A06" w:rsidRDefault="00C544A6" w:rsidP="00961549">
      <w:pPr>
        <w:pStyle w:val="Bullet2"/>
      </w:pPr>
      <w:r w:rsidRPr="00EB3A06">
        <w:t>absolute and relative numbers of affected and</w:t>
      </w:r>
      <w:r w:rsidRPr="00EB3A06">
        <w:rPr>
          <w:color w:val="000000"/>
        </w:rPr>
        <w:t xml:space="preserve"> vulnerable population</w:t>
      </w:r>
    </w:p>
    <w:p w:rsidR="00C544A6" w:rsidRPr="00EB3A06" w:rsidRDefault="00C544A6" w:rsidP="00961549">
      <w:pPr>
        <w:pStyle w:val="Bullet2"/>
      </w:pPr>
      <w:r w:rsidRPr="00EB3A06">
        <w:t>logistics and financial resources</w:t>
      </w:r>
    </w:p>
    <w:p w:rsidR="00C544A6" w:rsidRPr="00EB3A06" w:rsidRDefault="00C544A6" w:rsidP="00961549">
      <w:pPr>
        <w:pStyle w:val="Bullet2"/>
      </w:pPr>
      <w:r w:rsidRPr="00EB3A06">
        <w:t>presence of other actors</w:t>
      </w:r>
    </w:p>
    <w:p w:rsidR="00C544A6" w:rsidRPr="00EB3A06" w:rsidRDefault="00C544A6" w:rsidP="00961549">
      <w:pPr>
        <w:pStyle w:val="Bullet2"/>
      </w:pPr>
      <w:r w:rsidRPr="00EB3A06">
        <w:t>presence of existing National Society or Movement responses in addition to CTP</w:t>
      </w:r>
    </w:p>
    <w:p w:rsidR="00C544A6" w:rsidRPr="00EB3A06" w:rsidRDefault="00C544A6" w:rsidP="00961549">
      <w:pPr>
        <w:pStyle w:val="Bullet2"/>
      </w:pPr>
      <w:r w:rsidRPr="00EB3A06">
        <w:t>Movement added value (going to areas where other actors cannot easily go)</w:t>
      </w:r>
    </w:p>
    <w:p w:rsidR="00C544A6" w:rsidRDefault="00772F29" w:rsidP="00C13C48">
      <w:r w:rsidRPr="00772F29">
        <w:t xml:space="preserve">These last two factors are particularly important for the Movement, as geographical targeting will be influenced by </w:t>
      </w:r>
      <w:r w:rsidR="00200119">
        <w:t xml:space="preserve">existing programming areas and </w:t>
      </w:r>
      <w:r w:rsidR="004751A1">
        <w:t>the</w:t>
      </w:r>
      <w:r w:rsidR="00200119">
        <w:t xml:space="preserve"> capacity to expand to new areas.</w:t>
      </w:r>
    </w:p>
    <w:p w:rsidR="00F01D35" w:rsidRDefault="00F0423F" w:rsidP="009D0A13">
      <w:pPr>
        <w:pStyle w:val="Heading3"/>
      </w:pPr>
      <w:r w:rsidRPr="001D3C80">
        <w:t>Selec</w:t>
      </w:r>
      <w:r>
        <w:t>ting large administrative units</w:t>
      </w:r>
    </w:p>
    <w:p w:rsidR="00396352" w:rsidRDefault="00F0423F" w:rsidP="00C13C48">
      <w:r>
        <w:t>The first selection can focus on large</w:t>
      </w:r>
      <w:r w:rsidRPr="001D3C80">
        <w:t xml:space="preserve"> administrative units (regions, provinces or districts) </w:t>
      </w:r>
      <w:r>
        <w:t>and</w:t>
      </w:r>
      <w:r w:rsidRPr="001D3C80">
        <w:t xml:space="preserve"> be based </w:t>
      </w:r>
      <w:r>
        <w:t xml:space="preserve">on criteria such as: </w:t>
      </w:r>
    </w:p>
    <w:p w:rsidR="00396352" w:rsidRDefault="00030314" w:rsidP="00961549">
      <w:pPr>
        <w:pStyle w:val="Bullet2"/>
      </w:pPr>
      <w:proofErr w:type="gramStart"/>
      <w:r>
        <w:t>a</w:t>
      </w:r>
      <w:r w:rsidR="00F0423F">
        <w:t>bsolute</w:t>
      </w:r>
      <w:proofErr w:type="gramEnd"/>
      <w:r w:rsidR="00F0423F">
        <w:t xml:space="preserve"> and relative numbers of </w:t>
      </w:r>
      <w:r>
        <w:t xml:space="preserve">the </w:t>
      </w:r>
      <w:r w:rsidR="00F0423F">
        <w:t>affected population (e.g. number/percentage of people displaced; number/percentage of houses damaged; etc.)</w:t>
      </w:r>
    </w:p>
    <w:p w:rsidR="00396352" w:rsidRDefault="00030314" w:rsidP="00961549">
      <w:pPr>
        <w:pStyle w:val="Bullet2"/>
      </w:pPr>
      <w:proofErr w:type="gramStart"/>
      <w:r>
        <w:t>a</w:t>
      </w:r>
      <w:r w:rsidR="00F0423F">
        <w:t>bsolute</w:t>
      </w:r>
      <w:proofErr w:type="gramEnd"/>
      <w:r w:rsidR="00F0423F">
        <w:t xml:space="preserve"> and relative numbers of vulnerable</w:t>
      </w:r>
      <w:r>
        <w:t xml:space="preserve"> groups within the</w:t>
      </w:r>
      <w:r w:rsidR="00F0423F">
        <w:t xml:space="preserve"> population (e.g.</w:t>
      </w:r>
      <w:r>
        <w:t>,</w:t>
      </w:r>
      <w:r w:rsidR="00F0423F">
        <w:t xml:space="preserve"> poor, food insecure, vulnerable to future disasters, etc.)</w:t>
      </w:r>
    </w:p>
    <w:p w:rsidR="00397578" w:rsidRDefault="00F0423F" w:rsidP="00C13C48">
      <w:r>
        <w:t xml:space="preserve">This information can be obtained from </w:t>
      </w:r>
      <w:r w:rsidRPr="001D3C80">
        <w:t xml:space="preserve">government </w:t>
      </w:r>
      <w:r>
        <w:t>sources (population censuses, poverty surveys and disaster</w:t>
      </w:r>
      <w:r w:rsidRPr="001D3C80">
        <w:t xml:space="preserve"> updates</w:t>
      </w:r>
      <w:r>
        <w:t>)</w:t>
      </w:r>
      <w:r w:rsidRPr="001D3C80">
        <w:t xml:space="preserve">, </w:t>
      </w:r>
      <w:r>
        <w:t>relief actors</w:t>
      </w:r>
      <w:r w:rsidRPr="001D3C80">
        <w:t>’ assessment</w:t>
      </w:r>
      <w:r>
        <w:t>s</w:t>
      </w:r>
      <w:r w:rsidRPr="001D3C80">
        <w:t xml:space="preserve"> and situation </w:t>
      </w:r>
      <w:r>
        <w:t xml:space="preserve">analysis </w:t>
      </w:r>
      <w:r w:rsidRPr="001D3C80">
        <w:t xml:space="preserve">monitoring </w:t>
      </w:r>
      <w:r>
        <w:t>systems</w:t>
      </w:r>
      <w:r w:rsidR="00397578">
        <w:t>.  You will have administrative boundaries and information about the emergency affected areas. You will also need to factor in population movements as people may leave the conflict or disaster area in search</w:t>
      </w:r>
      <w:r w:rsidR="001923FE">
        <w:t xml:space="preserve"> for safety, including crossing international borders.</w:t>
      </w:r>
    </w:p>
    <w:p w:rsidR="00397578" w:rsidRPr="00397578" w:rsidRDefault="00397578" w:rsidP="009D0A13">
      <w:pPr>
        <w:pStyle w:val="NormalItalic"/>
      </w:pPr>
      <w:r w:rsidRPr="00397578">
        <w:t>Rapid onset scenarios</w:t>
      </w:r>
    </w:p>
    <w:p w:rsidR="00397578" w:rsidRDefault="003A5884" w:rsidP="00C13C48">
      <w:r w:rsidRPr="00C13C48">
        <w:t>Geographical targeting is easier for rapid onset scenarios, where the affected area is usually identified.</w:t>
      </w:r>
      <w:r>
        <w:t xml:space="preserve"> </w:t>
      </w:r>
      <w:r w:rsidR="00030314">
        <w:t>Recently, t</w:t>
      </w:r>
      <w:r w:rsidR="00F0423F">
        <w:t xml:space="preserve">he Philippines </w:t>
      </w:r>
      <w:r w:rsidR="00030314">
        <w:t xml:space="preserve">Red Cross </w:t>
      </w:r>
      <w:r w:rsidR="00F0423F">
        <w:t>has used a ranking table to target flood-affected provinces. Each affected province was ranked according to three criteria:</w:t>
      </w:r>
      <w:r w:rsidR="00F0423F" w:rsidRPr="00FD2AF5">
        <w:t xml:space="preserve"> </w:t>
      </w:r>
    </w:p>
    <w:p w:rsidR="00397578" w:rsidRDefault="00F0423F" w:rsidP="00961549">
      <w:pPr>
        <w:pStyle w:val="Bullet2"/>
      </w:pPr>
      <w:r>
        <w:t xml:space="preserve">total affected population, </w:t>
      </w:r>
    </w:p>
    <w:p w:rsidR="00397578" w:rsidRDefault="00F0423F" w:rsidP="00961549">
      <w:pPr>
        <w:pStyle w:val="Bullet2"/>
      </w:pPr>
      <w:r>
        <w:t xml:space="preserve">percentage of the </w:t>
      </w:r>
      <w:r w:rsidRPr="001D3C80">
        <w:t>population</w:t>
      </w:r>
      <w:r>
        <w:t xml:space="preserve"> affected</w:t>
      </w:r>
      <w:r w:rsidRPr="001D3C80">
        <w:t xml:space="preserve">, and </w:t>
      </w:r>
    </w:p>
    <w:p w:rsidR="00397578" w:rsidRDefault="00F0423F" w:rsidP="00961549">
      <w:pPr>
        <w:pStyle w:val="Bullet2"/>
      </w:pPr>
      <w:r w:rsidRPr="001D3C80">
        <w:t>poverty</w:t>
      </w:r>
      <w:r>
        <w:t xml:space="preserve"> incidence</w:t>
      </w:r>
    </w:p>
    <w:p w:rsidR="00396352" w:rsidRDefault="00F0423F" w:rsidP="00C13C48">
      <w:r>
        <w:t>No weight was given to these criteria.</w:t>
      </w:r>
    </w:p>
    <w:p w:rsidR="00396352" w:rsidRPr="0039173E" w:rsidRDefault="00F0423F" w:rsidP="00C13C48">
      <w:r>
        <w:t>Such</w:t>
      </w:r>
      <w:r w:rsidR="00030314">
        <w:t xml:space="preserve"> a</w:t>
      </w:r>
      <w:r>
        <w:t xml:space="preserve"> table can help you understand better which the most affected and worst-off areas</w:t>
      </w:r>
      <w:r w:rsidR="00030314">
        <w:t xml:space="preserve"> are</w:t>
      </w:r>
      <w:r>
        <w:t xml:space="preserve"> but</w:t>
      </w:r>
      <w:r w:rsidR="00030314">
        <w:t>,</w:t>
      </w:r>
      <w:r>
        <w:t xml:space="preserve"> with three different ranks, it might be difficult to choose a priority province. </w:t>
      </w:r>
      <w:r w:rsidR="00030314">
        <w:t>T</w:t>
      </w:r>
      <w:r>
        <w:t>o establish a final rank you could</w:t>
      </w:r>
      <w:r w:rsidR="00030314">
        <w:t>,</w:t>
      </w:r>
      <w:r>
        <w:t xml:space="preserve"> for instance</w:t>
      </w:r>
      <w:r w:rsidR="00030314">
        <w:t>,</w:t>
      </w:r>
      <w:r>
        <w:t xml:space="preserve"> sum the ranks of</w:t>
      </w:r>
      <w:r w:rsidR="00030314">
        <w:t xml:space="preserve"> each province for each criterion</w:t>
      </w:r>
      <w:r>
        <w:t xml:space="preserve">. The lower the rank sum, the higher the final rank. The table below reflects the suggested rationale. </w:t>
      </w:r>
    </w:p>
    <w:p w:rsidR="0074132D" w:rsidRPr="0074132D" w:rsidRDefault="00DC0D69" w:rsidP="00814394">
      <w:pPr>
        <w:pStyle w:val="Heading3"/>
        <w:spacing w:after="240"/>
        <w:jc w:val="center"/>
      </w:pPr>
      <w:r>
        <w:lastRenderedPageBreak/>
        <w:t>R</w:t>
      </w:r>
      <w:r w:rsidR="0074132D" w:rsidRPr="0074132D">
        <w:t>anking table</w:t>
      </w:r>
      <w:r>
        <w:t xml:space="preserve"> example</w:t>
      </w:r>
    </w:p>
    <w:tbl>
      <w:tblPr>
        <w:tblStyle w:val="TableGrid"/>
        <w:tblW w:w="5000" w:type="pct"/>
        <w:jc w:val="center"/>
        <w:tblLook w:val="04A0" w:firstRow="1" w:lastRow="0" w:firstColumn="1" w:lastColumn="0" w:noHBand="0" w:noVBand="1"/>
      </w:tblPr>
      <w:tblGrid>
        <w:gridCol w:w="1413"/>
        <w:gridCol w:w="1404"/>
        <w:gridCol w:w="1121"/>
        <w:gridCol w:w="849"/>
        <w:gridCol w:w="772"/>
        <w:gridCol w:w="849"/>
        <w:gridCol w:w="941"/>
        <w:gridCol w:w="798"/>
        <w:gridCol w:w="817"/>
        <w:gridCol w:w="884"/>
      </w:tblGrid>
      <w:tr w:rsidR="00814394" w:rsidRPr="002B0B56" w:rsidTr="00814394">
        <w:trPr>
          <w:jc w:val="center"/>
        </w:trPr>
        <w:tc>
          <w:tcPr>
            <w:tcW w:w="0" w:type="pct"/>
            <w:vMerge w:val="restart"/>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Province</w:t>
            </w:r>
          </w:p>
        </w:tc>
        <w:tc>
          <w:tcPr>
            <w:tcW w:w="0" w:type="pct"/>
            <w:vMerge w:val="restart"/>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Pop</w:t>
            </w:r>
          </w:p>
        </w:tc>
        <w:tc>
          <w:tcPr>
            <w:tcW w:w="0" w:type="pct"/>
            <w:gridSpan w:val="4"/>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Affected pop</w:t>
            </w:r>
            <w:r w:rsidR="00030314" w:rsidRPr="002B0B56">
              <w:rPr>
                <w:rFonts w:cs="Arial"/>
                <w:b/>
                <w:color w:val="FFFFFF" w:themeColor="background1"/>
              </w:rPr>
              <w:t>ulation</w:t>
            </w:r>
          </w:p>
        </w:tc>
        <w:tc>
          <w:tcPr>
            <w:tcW w:w="0" w:type="pct"/>
            <w:gridSpan w:val="2"/>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Poverty</w:t>
            </w:r>
          </w:p>
        </w:tc>
        <w:tc>
          <w:tcPr>
            <w:tcW w:w="0" w:type="pct"/>
            <w:vMerge w:val="restart"/>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Rank sum</w:t>
            </w:r>
          </w:p>
        </w:tc>
        <w:tc>
          <w:tcPr>
            <w:tcW w:w="0" w:type="pct"/>
            <w:vMerge w:val="restart"/>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Final rank</w:t>
            </w:r>
          </w:p>
        </w:tc>
      </w:tr>
      <w:tr w:rsidR="00814394" w:rsidRPr="002B0B56" w:rsidTr="00DD6C42">
        <w:trPr>
          <w:jc w:val="center"/>
        </w:trPr>
        <w:tc>
          <w:tcPr>
            <w:tcW w:w="0" w:type="pct"/>
            <w:vMerge/>
            <w:tcBorders>
              <w:bottom w:val="single" w:sz="4" w:space="0" w:color="auto"/>
            </w:tcBorders>
            <w:shd w:val="clear" w:color="auto" w:fill="DC281E"/>
            <w:vAlign w:val="center"/>
          </w:tcPr>
          <w:p w:rsidR="00396352" w:rsidRPr="002B0B56" w:rsidRDefault="00396352" w:rsidP="00814394">
            <w:pPr>
              <w:spacing w:before="120"/>
              <w:jc w:val="center"/>
              <w:rPr>
                <w:rFonts w:cs="Arial"/>
                <w:b/>
                <w:color w:val="FFFFFF" w:themeColor="background1"/>
              </w:rPr>
            </w:pPr>
          </w:p>
        </w:tc>
        <w:tc>
          <w:tcPr>
            <w:tcW w:w="0" w:type="pct"/>
            <w:vMerge/>
            <w:tcBorders>
              <w:bottom w:val="single" w:sz="4" w:space="0" w:color="auto"/>
            </w:tcBorders>
            <w:shd w:val="clear" w:color="auto" w:fill="DC281E"/>
            <w:vAlign w:val="center"/>
          </w:tcPr>
          <w:p w:rsidR="00396352" w:rsidRPr="002B0B56" w:rsidRDefault="00396352" w:rsidP="00814394">
            <w:pPr>
              <w:spacing w:before="120"/>
              <w:jc w:val="center"/>
              <w:rPr>
                <w:rFonts w:cs="Arial"/>
                <w:b/>
                <w:color w:val="FFFFFF" w:themeColor="background1"/>
              </w:rPr>
            </w:pPr>
          </w:p>
        </w:tc>
        <w:tc>
          <w:tcPr>
            <w:tcW w:w="0" w:type="pct"/>
            <w:tcBorders>
              <w:bottom w:val="single" w:sz="4" w:space="0" w:color="auto"/>
            </w:tcBorders>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w:t>
            </w:r>
          </w:p>
        </w:tc>
        <w:tc>
          <w:tcPr>
            <w:tcW w:w="0" w:type="pct"/>
            <w:tcBorders>
              <w:bottom w:val="single" w:sz="4" w:space="0" w:color="auto"/>
            </w:tcBorders>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Rank</w:t>
            </w:r>
          </w:p>
        </w:tc>
        <w:tc>
          <w:tcPr>
            <w:tcW w:w="0" w:type="pct"/>
            <w:tcBorders>
              <w:bottom w:val="single" w:sz="4" w:space="0" w:color="auto"/>
            </w:tcBorders>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w:t>
            </w:r>
          </w:p>
        </w:tc>
        <w:tc>
          <w:tcPr>
            <w:tcW w:w="0" w:type="pct"/>
            <w:tcBorders>
              <w:bottom w:val="single" w:sz="4" w:space="0" w:color="auto"/>
            </w:tcBorders>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Rank</w:t>
            </w:r>
          </w:p>
        </w:tc>
        <w:tc>
          <w:tcPr>
            <w:tcW w:w="0" w:type="pct"/>
            <w:tcBorders>
              <w:bottom w:val="single" w:sz="4" w:space="0" w:color="auto"/>
            </w:tcBorders>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w:t>
            </w:r>
          </w:p>
        </w:tc>
        <w:tc>
          <w:tcPr>
            <w:tcW w:w="0" w:type="pct"/>
            <w:tcBorders>
              <w:bottom w:val="single" w:sz="4" w:space="0" w:color="auto"/>
            </w:tcBorders>
            <w:shd w:val="clear" w:color="auto" w:fill="DC281E"/>
            <w:vAlign w:val="center"/>
          </w:tcPr>
          <w:p w:rsidR="00396352" w:rsidRPr="002B0B56" w:rsidRDefault="00F0423F" w:rsidP="00814394">
            <w:pPr>
              <w:spacing w:before="120"/>
              <w:jc w:val="center"/>
              <w:rPr>
                <w:rFonts w:cs="Arial"/>
                <w:b/>
                <w:color w:val="FFFFFF" w:themeColor="background1"/>
              </w:rPr>
            </w:pPr>
            <w:r w:rsidRPr="002B0B56">
              <w:rPr>
                <w:rFonts w:cs="Arial"/>
                <w:b/>
                <w:color w:val="FFFFFF" w:themeColor="background1"/>
              </w:rPr>
              <w:t>Rank</w:t>
            </w:r>
          </w:p>
        </w:tc>
        <w:tc>
          <w:tcPr>
            <w:tcW w:w="0" w:type="pct"/>
            <w:vMerge/>
            <w:tcBorders>
              <w:bottom w:val="single" w:sz="4" w:space="0" w:color="auto"/>
            </w:tcBorders>
            <w:shd w:val="clear" w:color="auto" w:fill="DC281E"/>
            <w:vAlign w:val="center"/>
          </w:tcPr>
          <w:p w:rsidR="00396352" w:rsidRPr="002B0B56" w:rsidRDefault="00396352" w:rsidP="00814394">
            <w:pPr>
              <w:spacing w:before="120"/>
              <w:jc w:val="center"/>
              <w:rPr>
                <w:rFonts w:cs="Arial"/>
                <w:b/>
                <w:color w:val="FFFFFF" w:themeColor="background1"/>
              </w:rPr>
            </w:pPr>
          </w:p>
        </w:tc>
        <w:tc>
          <w:tcPr>
            <w:tcW w:w="0" w:type="pct"/>
            <w:vMerge/>
            <w:tcBorders>
              <w:bottom w:val="single" w:sz="4" w:space="0" w:color="auto"/>
            </w:tcBorders>
            <w:shd w:val="clear" w:color="auto" w:fill="DC281E"/>
            <w:vAlign w:val="center"/>
          </w:tcPr>
          <w:p w:rsidR="00396352" w:rsidRPr="002B0B56" w:rsidRDefault="00396352" w:rsidP="00814394">
            <w:pPr>
              <w:spacing w:before="120"/>
              <w:jc w:val="center"/>
              <w:rPr>
                <w:rFonts w:cs="Arial"/>
                <w:b/>
                <w:color w:val="FFFFFF" w:themeColor="background1"/>
              </w:rPr>
            </w:pPr>
          </w:p>
        </w:tc>
      </w:tr>
      <w:tr w:rsidR="00DD6C4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ind w:left="-250" w:firstLine="250"/>
              <w:rPr>
                <w:rFonts w:cs="Arial"/>
              </w:rPr>
            </w:pPr>
            <w:proofErr w:type="spellStart"/>
            <w:r w:rsidRPr="002B0B56">
              <w:rPr>
                <w:rFonts w:cs="Arial"/>
              </w:rPr>
              <w:t>Bulacan</w:t>
            </w:r>
            <w:proofErr w:type="spellEnd"/>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2,934,433</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821,794</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1</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28</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3</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6.7</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6</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10</w:t>
            </w:r>
          </w:p>
        </w:tc>
        <w:tc>
          <w:tcPr>
            <w:tcW w:w="449" w:type="pct"/>
            <w:shd w:val="solid" w:color="A6A6A6" w:themeColor="background1" w:themeShade="A6" w:fill="A6A6A6"/>
          </w:tcPr>
          <w:p w:rsidR="00396352" w:rsidRPr="002B0B56" w:rsidRDefault="00F0423F" w:rsidP="00814394">
            <w:pPr>
              <w:spacing w:before="60" w:after="60"/>
              <w:ind w:right="284"/>
              <w:jc w:val="right"/>
              <w:rPr>
                <w:rFonts w:cs="Arial"/>
                <w:b/>
              </w:rPr>
            </w:pPr>
            <w:r w:rsidRPr="002B0B56">
              <w:rPr>
                <w:rFonts w:cs="Arial"/>
                <w:b/>
              </w:rPr>
              <w:t>2</w:t>
            </w:r>
          </w:p>
        </w:tc>
      </w:tr>
      <w:tr w:rsidR="00DD6C4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Pampanga</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2,014,019</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682,131</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2</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34</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2</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6.4</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7</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11</w:t>
            </w:r>
          </w:p>
        </w:tc>
        <w:tc>
          <w:tcPr>
            <w:tcW w:w="449" w:type="pct"/>
            <w:shd w:val="solid" w:color="A6A6A6" w:themeColor="background1" w:themeShade="A6" w:fill="A6A6A6"/>
          </w:tcPr>
          <w:p w:rsidR="00396352" w:rsidRPr="002B0B56" w:rsidRDefault="00F0423F" w:rsidP="00814394">
            <w:pPr>
              <w:spacing w:before="60" w:after="60"/>
              <w:ind w:right="284"/>
              <w:jc w:val="right"/>
              <w:rPr>
                <w:rFonts w:cs="Arial"/>
                <w:b/>
              </w:rPr>
            </w:pPr>
            <w:r w:rsidRPr="002B0B56">
              <w:rPr>
                <w:rFonts w:cs="Arial"/>
                <w:b/>
              </w:rPr>
              <w:t>3</w:t>
            </w:r>
          </w:p>
        </w:tc>
      </w:tr>
      <w:tr w:rsidR="00DD6C4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proofErr w:type="spellStart"/>
            <w:r w:rsidRPr="002B0B56">
              <w:rPr>
                <w:rFonts w:cs="Arial"/>
              </w:rPr>
              <w:t>Ilocos</w:t>
            </w:r>
            <w:proofErr w:type="spellEnd"/>
            <w:r w:rsidRPr="002B0B56">
              <w:rPr>
                <w:rFonts w:cs="Arial"/>
              </w:rPr>
              <w:t xml:space="preserve"> Sur</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658,687</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92,441</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7</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14</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4</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17.1</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2</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13</w:t>
            </w:r>
          </w:p>
        </w:tc>
        <w:tc>
          <w:tcPr>
            <w:tcW w:w="449" w:type="pct"/>
            <w:shd w:val="solid" w:color="A6A6A6" w:themeColor="background1" w:themeShade="A6" w:fill="A6A6A6"/>
          </w:tcPr>
          <w:p w:rsidR="00396352" w:rsidRPr="002B0B56" w:rsidRDefault="00F0423F" w:rsidP="00814394">
            <w:pPr>
              <w:spacing w:before="60" w:after="60"/>
              <w:ind w:right="284"/>
              <w:jc w:val="right"/>
              <w:rPr>
                <w:rFonts w:cs="Arial"/>
                <w:b/>
              </w:rPr>
            </w:pPr>
            <w:r w:rsidRPr="002B0B56">
              <w:rPr>
                <w:rFonts w:cs="Arial"/>
                <w:b/>
              </w:rPr>
              <w:t>5</w:t>
            </w:r>
          </w:p>
        </w:tc>
      </w:tr>
      <w:tr w:rsidR="00DD6C4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La Union</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741,906</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18,397</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10</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2</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8</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19.8</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1</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19</w:t>
            </w:r>
          </w:p>
        </w:tc>
        <w:tc>
          <w:tcPr>
            <w:tcW w:w="449" w:type="pct"/>
            <w:shd w:val="solid" w:color="A6A6A6" w:themeColor="background1" w:themeShade="A6" w:fill="A6A6A6"/>
          </w:tcPr>
          <w:p w:rsidR="00396352" w:rsidRPr="002B0B56" w:rsidRDefault="00396352" w:rsidP="00814394">
            <w:pPr>
              <w:spacing w:before="60" w:after="60"/>
              <w:ind w:right="284"/>
              <w:jc w:val="right"/>
              <w:rPr>
                <w:rFonts w:cs="Arial"/>
                <w:b/>
              </w:rPr>
            </w:pPr>
          </w:p>
        </w:tc>
      </w:tr>
      <w:tr w:rsidR="00DD6C4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proofErr w:type="spellStart"/>
            <w:r w:rsidRPr="002B0B56">
              <w:rPr>
                <w:rFonts w:cs="Arial"/>
              </w:rPr>
              <w:t>Pangasinan</w:t>
            </w:r>
            <w:proofErr w:type="spellEnd"/>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2,779,862</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327,685</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4</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12</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5</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17</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3</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12</w:t>
            </w:r>
          </w:p>
        </w:tc>
        <w:tc>
          <w:tcPr>
            <w:tcW w:w="449" w:type="pct"/>
            <w:shd w:val="solid" w:color="A6A6A6" w:themeColor="background1" w:themeShade="A6" w:fill="A6A6A6"/>
          </w:tcPr>
          <w:p w:rsidR="00396352" w:rsidRPr="002B0B56" w:rsidRDefault="00F0423F" w:rsidP="00814394">
            <w:pPr>
              <w:spacing w:before="60" w:after="60"/>
              <w:ind w:right="284"/>
              <w:jc w:val="right"/>
              <w:rPr>
                <w:rFonts w:cs="Arial"/>
                <w:b/>
              </w:rPr>
            </w:pPr>
            <w:r w:rsidRPr="002B0B56">
              <w:rPr>
                <w:rFonts w:cs="Arial"/>
                <w:b/>
              </w:rPr>
              <w:t>4</w:t>
            </w:r>
          </w:p>
        </w:tc>
      </w:tr>
      <w:tr w:rsidR="00DD6C4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Bataan</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687,482</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420,750</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3</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61</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1</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7.3</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5</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9</w:t>
            </w:r>
          </w:p>
        </w:tc>
        <w:tc>
          <w:tcPr>
            <w:tcW w:w="449" w:type="pct"/>
            <w:shd w:val="solid" w:color="A6A6A6" w:themeColor="background1" w:themeShade="A6" w:fill="A6A6A6"/>
          </w:tcPr>
          <w:p w:rsidR="00396352" w:rsidRPr="002B0B56" w:rsidRDefault="00F0423F" w:rsidP="00814394">
            <w:pPr>
              <w:spacing w:before="60" w:after="60"/>
              <w:ind w:right="284"/>
              <w:jc w:val="right"/>
              <w:rPr>
                <w:rFonts w:cs="Arial"/>
                <w:b/>
              </w:rPr>
            </w:pPr>
            <w:r w:rsidRPr="002B0B56">
              <w:rPr>
                <w:rFonts w:cs="Arial"/>
                <w:b/>
              </w:rPr>
              <w:t>1</w:t>
            </w:r>
          </w:p>
        </w:tc>
      </w:tr>
      <w:tr w:rsidR="00DD6C4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Cavite</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3,090,691</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266,479</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5</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9</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6</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4.1</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9</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20</w:t>
            </w:r>
          </w:p>
        </w:tc>
        <w:tc>
          <w:tcPr>
            <w:tcW w:w="449" w:type="pct"/>
            <w:shd w:val="solid" w:color="A6A6A6" w:themeColor="background1" w:themeShade="A6" w:fill="A6A6A6"/>
          </w:tcPr>
          <w:p w:rsidR="00396352" w:rsidRPr="002B0B56" w:rsidRDefault="00396352" w:rsidP="00814394">
            <w:pPr>
              <w:spacing w:before="60" w:after="60"/>
              <w:ind w:right="284"/>
              <w:jc w:val="right"/>
              <w:rPr>
                <w:rFonts w:cs="Arial"/>
              </w:rPr>
            </w:pPr>
          </w:p>
        </w:tc>
      </w:tr>
      <w:tr w:rsidR="00DD6C4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Laguna</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2,669,847</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78,870</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8</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3</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7</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6.3</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8</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23</w:t>
            </w:r>
          </w:p>
        </w:tc>
        <w:tc>
          <w:tcPr>
            <w:tcW w:w="449" w:type="pct"/>
            <w:shd w:val="solid" w:color="A6A6A6" w:themeColor="background1" w:themeShade="A6" w:fill="A6A6A6"/>
          </w:tcPr>
          <w:p w:rsidR="00396352" w:rsidRPr="002B0B56" w:rsidRDefault="00396352" w:rsidP="00814394">
            <w:pPr>
              <w:spacing w:before="60" w:after="60"/>
              <w:ind w:right="284"/>
              <w:jc w:val="right"/>
              <w:rPr>
                <w:rFonts w:cs="Arial"/>
              </w:rPr>
            </w:pPr>
          </w:p>
        </w:tc>
      </w:tr>
      <w:tr w:rsidR="00DD6C4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Rizal</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2,484,840</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52,858</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9</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2</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8</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7.6</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4</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21</w:t>
            </w:r>
          </w:p>
        </w:tc>
        <w:tc>
          <w:tcPr>
            <w:tcW w:w="449" w:type="pct"/>
            <w:shd w:val="solid" w:color="A6A6A6" w:themeColor="background1" w:themeShade="A6" w:fill="A6A6A6"/>
          </w:tcPr>
          <w:p w:rsidR="00396352" w:rsidRPr="002B0B56" w:rsidRDefault="00396352" w:rsidP="00814394">
            <w:pPr>
              <w:spacing w:before="60" w:after="60"/>
              <w:ind w:right="284"/>
              <w:jc w:val="right"/>
              <w:rPr>
                <w:rFonts w:cs="Arial"/>
              </w:rPr>
            </w:pPr>
          </w:p>
        </w:tc>
      </w:tr>
      <w:tr w:rsidR="00DD6C42" w:rsidRPr="002B0B56" w:rsidTr="00DD6C42">
        <w:trPr>
          <w:jc w:val="center"/>
        </w:trPr>
        <w:tc>
          <w:tcPr>
            <w:tcW w:w="717" w:type="pct"/>
            <w:shd w:val="solid" w:color="A6A6A6" w:themeColor="background1" w:themeShade="A6" w:fill="A6A6A6"/>
          </w:tcPr>
          <w:p w:rsidR="00396352" w:rsidRPr="002B0B56" w:rsidRDefault="00F0423F" w:rsidP="00814394">
            <w:pPr>
              <w:spacing w:before="60" w:after="60"/>
              <w:rPr>
                <w:rFonts w:cs="Arial"/>
              </w:rPr>
            </w:pPr>
            <w:r w:rsidRPr="002B0B56">
              <w:rPr>
                <w:rFonts w:cs="Arial"/>
              </w:rPr>
              <w:t>NCR</w:t>
            </w:r>
          </w:p>
        </w:tc>
        <w:tc>
          <w:tcPr>
            <w:tcW w:w="713" w:type="pct"/>
            <w:shd w:val="solid" w:color="A6A6A6" w:themeColor="background1" w:themeShade="A6" w:fill="A6A6A6"/>
          </w:tcPr>
          <w:p w:rsidR="00396352" w:rsidRPr="002B0B56" w:rsidRDefault="00F0423F" w:rsidP="00814394">
            <w:pPr>
              <w:spacing w:before="60" w:after="60"/>
              <w:ind w:right="170"/>
              <w:jc w:val="right"/>
              <w:rPr>
                <w:rFonts w:cs="Arial"/>
              </w:rPr>
            </w:pPr>
            <w:r w:rsidRPr="002B0B56">
              <w:rPr>
                <w:rFonts w:cs="Arial"/>
              </w:rPr>
              <w:t>11,855,975</w:t>
            </w:r>
          </w:p>
        </w:tc>
        <w:tc>
          <w:tcPr>
            <w:tcW w:w="569" w:type="pct"/>
            <w:shd w:val="clear" w:color="auto" w:fill="F3F3F3"/>
          </w:tcPr>
          <w:p w:rsidR="00396352" w:rsidRPr="002B0B56" w:rsidRDefault="00F0423F" w:rsidP="00494A02">
            <w:pPr>
              <w:spacing w:before="60" w:after="60"/>
              <w:ind w:right="113"/>
              <w:jc w:val="right"/>
              <w:rPr>
                <w:rFonts w:cs="Arial"/>
              </w:rPr>
            </w:pPr>
            <w:r w:rsidRPr="002B0B56">
              <w:rPr>
                <w:rFonts w:cs="Arial"/>
              </w:rPr>
              <w:t>234,884</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6</w:t>
            </w:r>
          </w:p>
        </w:tc>
        <w:tc>
          <w:tcPr>
            <w:tcW w:w="392" w:type="pct"/>
            <w:shd w:val="clear" w:color="auto" w:fill="F3F3F3"/>
          </w:tcPr>
          <w:p w:rsidR="00396352" w:rsidRPr="002B0B56" w:rsidRDefault="00030314" w:rsidP="00814394">
            <w:pPr>
              <w:tabs>
                <w:tab w:val="left" w:pos="601"/>
              </w:tabs>
              <w:spacing w:before="60" w:after="60"/>
              <w:ind w:right="284"/>
              <w:jc w:val="right"/>
              <w:rPr>
                <w:rFonts w:cs="Arial"/>
              </w:rPr>
            </w:pPr>
            <w:r w:rsidRPr="002B0B56">
              <w:rPr>
                <w:rFonts w:cs="Arial"/>
              </w:rPr>
              <w:t>2</w:t>
            </w:r>
          </w:p>
        </w:tc>
        <w:tc>
          <w:tcPr>
            <w:tcW w:w="431" w:type="pct"/>
            <w:shd w:val="clear" w:color="auto" w:fill="E6E6E6"/>
          </w:tcPr>
          <w:p w:rsidR="00396352" w:rsidRPr="002B0B56" w:rsidRDefault="00F0423F" w:rsidP="00814394">
            <w:pPr>
              <w:spacing w:before="60" w:after="60"/>
              <w:ind w:right="284"/>
              <w:jc w:val="right"/>
              <w:rPr>
                <w:rFonts w:cs="Arial"/>
              </w:rPr>
            </w:pPr>
            <w:r w:rsidRPr="002B0B56">
              <w:rPr>
                <w:rFonts w:cs="Arial"/>
              </w:rPr>
              <w:t>8</w:t>
            </w:r>
          </w:p>
        </w:tc>
        <w:tc>
          <w:tcPr>
            <w:tcW w:w="478" w:type="pct"/>
            <w:shd w:val="clear" w:color="auto" w:fill="F3F3F3"/>
          </w:tcPr>
          <w:p w:rsidR="00396352" w:rsidRPr="002B0B56" w:rsidRDefault="00030314" w:rsidP="00814394">
            <w:pPr>
              <w:spacing w:before="60" w:after="60"/>
              <w:ind w:right="284"/>
              <w:jc w:val="right"/>
              <w:rPr>
                <w:rFonts w:cs="Arial"/>
              </w:rPr>
            </w:pPr>
            <w:r w:rsidRPr="002B0B56">
              <w:rPr>
                <w:rFonts w:cs="Arial"/>
              </w:rPr>
              <w:t>3.8</w:t>
            </w:r>
          </w:p>
        </w:tc>
        <w:tc>
          <w:tcPr>
            <w:tcW w:w="405" w:type="pct"/>
            <w:shd w:val="clear" w:color="auto" w:fill="E6E6E6"/>
          </w:tcPr>
          <w:p w:rsidR="00396352" w:rsidRPr="002B0B56" w:rsidRDefault="00F0423F" w:rsidP="00814394">
            <w:pPr>
              <w:spacing w:before="60" w:after="60"/>
              <w:ind w:right="284"/>
              <w:jc w:val="right"/>
              <w:rPr>
                <w:rFonts w:cs="Arial"/>
              </w:rPr>
            </w:pPr>
            <w:r w:rsidRPr="002B0B56">
              <w:rPr>
                <w:rFonts w:cs="Arial"/>
              </w:rPr>
              <w:t>10</w:t>
            </w:r>
          </w:p>
        </w:tc>
        <w:tc>
          <w:tcPr>
            <w:tcW w:w="415" w:type="pct"/>
            <w:shd w:val="solid" w:color="A6A6A6" w:themeColor="background1" w:themeShade="A6" w:fill="A6A6A6"/>
          </w:tcPr>
          <w:p w:rsidR="00396352" w:rsidRPr="002B0B56" w:rsidRDefault="00F0423F" w:rsidP="00494A02">
            <w:pPr>
              <w:spacing w:before="60" w:after="60"/>
              <w:ind w:right="227"/>
              <w:jc w:val="right"/>
              <w:rPr>
                <w:rFonts w:cs="Arial"/>
              </w:rPr>
            </w:pPr>
            <w:r w:rsidRPr="002B0B56">
              <w:rPr>
                <w:rFonts w:cs="Arial"/>
              </w:rPr>
              <w:t>24</w:t>
            </w:r>
          </w:p>
        </w:tc>
        <w:tc>
          <w:tcPr>
            <w:tcW w:w="449" w:type="pct"/>
            <w:shd w:val="solid" w:color="A6A6A6" w:themeColor="background1" w:themeShade="A6" w:fill="A6A6A6"/>
          </w:tcPr>
          <w:p w:rsidR="00396352" w:rsidRPr="002B0B56" w:rsidRDefault="00396352" w:rsidP="00814394">
            <w:pPr>
              <w:spacing w:before="60" w:after="60"/>
              <w:ind w:right="284"/>
              <w:jc w:val="right"/>
              <w:rPr>
                <w:rFonts w:cs="Arial"/>
              </w:rPr>
            </w:pPr>
          </w:p>
        </w:tc>
      </w:tr>
    </w:tbl>
    <w:p w:rsidR="00396352" w:rsidRPr="0039173E" w:rsidRDefault="00AD3E13" w:rsidP="00814394">
      <w:pPr>
        <w:spacing w:before="240"/>
      </w:pPr>
      <w:r>
        <w:t>When making</w:t>
      </w:r>
      <w:r w:rsidR="00F0423F" w:rsidRPr="0039173E">
        <w:t xml:space="preserve"> the final decision, it is crucial to consider not only the final rank as established above, but also the expected gaps in the response. An early coordination meeting with key response actors is recommended to understand the response plans and gaps.</w:t>
      </w:r>
    </w:p>
    <w:p w:rsidR="00397578" w:rsidRPr="00397578" w:rsidRDefault="00397578" w:rsidP="009D0A13">
      <w:pPr>
        <w:pStyle w:val="NormalItalic"/>
      </w:pPr>
      <w:r>
        <w:t>Slow onset scenarios</w:t>
      </w:r>
    </w:p>
    <w:p w:rsidR="00397578" w:rsidRDefault="003A5884" w:rsidP="00CD3CD2">
      <w:r>
        <w:t>Geographical targeting for slow onset and protracted emergencies may be more complex as the directly affected population usually covers a bigger geographical area so you will need other information to narrow down intervention areas. L</w:t>
      </w:r>
      <w:r w:rsidR="00397578">
        <w:t xml:space="preserve">ooking at tools from the food security sector </w:t>
      </w:r>
      <w:r w:rsidR="00AD3E13">
        <w:t>is</w:t>
      </w:r>
      <w:r w:rsidR="00397578">
        <w:t xml:space="preserve"> a useful way of identifying livelihood zones. One particular useful source is related to food security classification systems, which uses multiple indicators to classify the severity of food insecurity at national level </w:t>
      </w:r>
      <w:r w:rsidR="00397578" w:rsidRPr="001D3C80">
        <w:t>(</w:t>
      </w:r>
      <w:r w:rsidR="00397578">
        <w:t>see IPC box</w:t>
      </w:r>
      <w:r w:rsidR="00397578" w:rsidRPr="001D3C80">
        <w:t>).</w:t>
      </w:r>
    </w:p>
    <w:tbl>
      <w:tblPr>
        <w:tblStyle w:val="TableGrid"/>
        <w:tblpPr w:leftFromText="141" w:rightFromText="141" w:vertAnchor="text" w:horzAnchor="margin" w:tblpX="108" w:tblpY="55"/>
        <w:tblW w:w="4894" w:type="pct"/>
        <w:shd w:val="solid" w:color="F2F2F2" w:themeColor="background1" w:themeShade="F2" w:fill="auto"/>
        <w:tblLook w:val="04A0" w:firstRow="1" w:lastRow="0" w:firstColumn="1" w:lastColumn="0" w:noHBand="0" w:noVBand="1"/>
      </w:tblPr>
      <w:tblGrid>
        <w:gridCol w:w="9639"/>
      </w:tblGrid>
      <w:tr w:rsidR="00CD3CD2" w:rsidRPr="009E7425" w:rsidTr="00E95EEC">
        <w:trPr>
          <w:trHeight w:val="2258"/>
        </w:trPr>
        <w:tc>
          <w:tcPr>
            <w:tcW w:w="5000" w:type="pct"/>
            <w:shd w:val="solid" w:color="F2F2F2" w:themeColor="background1" w:themeShade="F2" w:fill="auto"/>
          </w:tcPr>
          <w:p w:rsidR="00CD3CD2" w:rsidRDefault="00CD3CD2" w:rsidP="00CD3CD2">
            <w:pPr>
              <w:spacing w:before="120"/>
              <w:rPr>
                <w:b/>
              </w:rPr>
            </w:pPr>
            <w:r>
              <w:rPr>
                <w:b/>
              </w:rPr>
              <w:t>F</w:t>
            </w:r>
            <w:r w:rsidRPr="009E7425">
              <w:rPr>
                <w:b/>
              </w:rPr>
              <w:t>ood security integ</w:t>
            </w:r>
            <w:r>
              <w:rPr>
                <w:b/>
              </w:rPr>
              <w:t>rated phase c</w:t>
            </w:r>
            <w:r w:rsidRPr="009E7425">
              <w:rPr>
                <w:b/>
              </w:rPr>
              <w:t xml:space="preserve">lassification (IPC) </w:t>
            </w:r>
          </w:p>
          <w:p w:rsidR="00CD3CD2" w:rsidRPr="009E7425" w:rsidRDefault="00CD3CD2" w:rsidP="00CD3CD2">
            <w:r>
              <w:t>Existing early-</w:t>
            </w:r>
            <w:r w:rsidRPr="009E7425">
              <w:t xml:space="preserve">warning and situation analysis classification systems can be very helpful to identify the areas </w:t>
            </w:r>
            <w:r>
              <w:t xml:space="preserve">that are the </w:t>
            </w:r>
            <w:r w:rsidRPr="009E7425">
              <w:t xml:space="preserve">most affected and </w:t>
            </w:r>
            <w:r>
              <w:t xml:space="preserve">that have </w:t>
            </w:r>
            <w:r w:rsidRPr="009E7425">
              <w:t>the greatest needs. Th</w:t>
            </w:r>
            <w:r>
              <w:t>ese</w:t>
            </w:r>
            <w:r w:rsidRPr="009E7425">
              <w:t xml:space="preserve"> systems are more or less regularly updated and are commonly used to prioritize </w:t>
            </w:r>
            <w:r>
              <w:t>regions or provinces</w:t>
            </w:r>
            <w:r w:rsidRPr="009E7425">
              <w:t xml:space="preserve"> in slow onset emergencies. </w:t>
            </w:r>
          </w:p>
          <w:p w:rsidR="00CD3CD2" w:rsidRPr="009E7425" w:rsidRDefault="00CD3CD2" w:rsidP="00CD3CD2">
            <w:pPr>
              <w:rPr>
                <w:b/>
              </w:rPr>
            </w:pPr>
            <w:r w:rsidRPr="009E7425">
              <w:t>The IPC</w:t>
            </w:r>
            <w:r w:rsidRPr="009E7425">
              <w:rPr>
                <w:b/>
              </w:rPr>
              <w:t xml:space="preserve"> </w:t>
            </w:r>
            <w:r w:rsidRPr="009E7425">
              <w:t>is a widely used categorisation system that classifies areas into five phases according to their level</w:t>
            </w:r>
            <w:r>
              <w:t>s</w:t>
            </w:r>
            <w:r w:rsidRPr="009E7425">
              <w:t xml:space="preserve"> of food insecurity: minimal, stressed, crisis, emergency and famine. IPC is based on international standards and makes it possible to compare the severity of the food security situation in different areas. Updated IPC maps for different countries can be found at: </w:t>
            </w:r>
            <w:hyperlink r:id="rId8" w:history="1">
              <w:r>
                <w:rPr>
                  <w:rStyle w:val="Hyperlink"/>
                </w:rPr>
                <w:t>http://www.ipcinfo.org</w:t>
              </w:r>
            </w:hyperlink>
            <w:r>
              <w:t xml:space="preserve"> </w:t>
            </w:r>
          </w:p>
        </w:tc>
      </w:tr>
    </w:tbl>
    <w:p w:rsidR="00CD3CD2" w:rsidRDefault="00397578" w:rsidP="00CD3CD2">
      <w:pPr>
        <w:spacing w:before="240"/>
      </w:pPr>
      <w:r w:rsidRPr="001D3C80">
        <w:t xml:space="preserve">The </w:t>
      </w:r>
      <w:r>
        <w:t>choice of the criteria and how to weight them will depend on the specific context, the</w:t>
      </w:r>
      <w:r w:rsidRPr="001D3C80">
        <w:t xml:space="preserve"> type of </w:t>
      </w:r>
      <w:r>
        <w:t>emergency, and the objective of the intervention.</w:t>
      </w:r>
      <w:r w:rsidRPr="001D3C80">
        <w:t xml:space="preserve"> </w:t>
      </w:r>
    </w:p>
    <w:p w:rsidR="00396352" w:rsidRPr="0039173E" w:rsidRDefault="00F0423F" w:rsidP="009D0A13">
      <w:pPr>
        <w:pStyle w:val="Heading3"/>
      </w:pPr>
      <w:r w:rsidRPr="0039173E">
        <w:t>Narrow down the selection (municipalities, villages, communities)</w:t>
      </w:r>
    </w:p>
    <w:p w:rsidR="00396352" w:rsidRDefault="00F0423F" w:rsidP="00C13C48">
      <w:r w:rsidRPr="0039173E">
        <w:t>Depending on the context and the resources available, it might be necessary to narrow down the geographic</w:t>
      </w:r>
      <w:r w:rsidR="00A158CA">
        <w:t>al</w:t>
      </w:r>
      <w:r w:rsidRPr="0039173E">
        <w:t xml:space="preserve"> targeting. To do that, you can use a similar approach, adapting the table presented above to your context and needs (</w:t>
      </w:r>
      <w:r w:rsidRPr="00DC0D69">
        <w:t xml:space="preserve">see </w:t>
      </w:r>
      <w:r w:rsidR="00DC0D69">
        <w:t xml:space="preserve">the </w:t>
      </w:r>
      <w:r w:rsidRPr="00DC0D69">
        <w:t>geographic</w:t>
      </w:r>
      <w:r w:rsidR="00A158CA">
        <w:t>al</w:t>
      </w:r>
      <w:r w:rsidRPr="00DC0D69">
        <w:t xml:space="preserve"> selection ranking </w:t>
      </w:r>
      <w:r w:rsidR="00DC0D69" w:rsidRPr="00DC0D69">
        <w:t>table below</w:t>
      </w:r>
      <w:r w:rsidRPr="00DC0D69">
        <w:t xml:space="preserve"> for an example). You will use basically the sam</w:t>
      </w:r>
      <w:r>
        <w:t>e criteria to which you can add:</w:t>
      </w:r>
    </w:p>
    <w:p w:rsidR="00396352" w:rsidRPr="00DA6F3F" w:rsidRDefault="00F0423F" w:rsidP="00961549">
      <w:pPr>
        <w:pStyle w:val="Bullet2"/>
      </w:pPr>
      <w:r w:rsidRPr="00DA6F3F">
        <w:t xml:space="preserve">access to market and services (under-served areas) </w:t>
      </w:r>
    </w:p>
    <w:p w:rsidR="00396352" w:rsidRPr="00DA6F3F" w:rsidRDefault="00F0423F" w:rsidP="00961549">
      <w:pPr>
        <w:pStyle w:val="Bullet2"/>
      </w:pPr>
      <w:proofErr w:type="gramStart"/>
      <w:r w:rsidRPr="00DA6F3F">
        <w:t>quantified</w:t>
      </w:r>
      <w:proofErr w:type="gramEnd"/>
      <w:r w:rsidRPr="00DA6F3F">
        <w:t xml:space="preserve"> losses</w:t>
      </w:r>
      <w:r>
        <w:t xml:space="preserve"> (e.g.</w:t>
      </w:r>
      <w:r w:rsidR="007254BA">
        <w:t>,</w:t>
      </w:r>
      <w:r>
        <w:t xml:space="preserve"> number of houses damaged or flooded, livestock lost, etc.)</w:t>
      </w:r>
    </w:p>
    <w:p w:rsidR="00396352" w:rsidRPr="00DA6F3F" w:rsidRDefault="00A158CA" w:rsidP="00961549">
      <w:pPr>
        <w:pStyle w:val="Bullet2"/>
      </w:pPr>
      <w:r>
        <w:t xml:space="preserve">the capacity of </w:t>
      </w:r>
      <w:r w:rsidR="00F0423F" w:rsidRPr="00DA6F3F">
        <w:t>local author</w:t>
      </w:r>
      <w:r w:rsidR="00F0423F">
        <w:t xml:space="preserve">ities and communities </w:t>
      </w:r>
      <w:r w:rsidR="00F0423F" w:rsidRPr="00DA6F3F">
        <w:t>to respond</w:t>
      </w:r>
    </w:p>
    <w:p w:rsidR="00396352" w:rsidRDefault="00F0423F" w:rsidP="00961549">
      <w:pPr>
        <w:pStyle w:val="Bullet2"/>
      </w:pPr>
      <w:r w:rsidRPr="00DA6F3F">
        <w:t xml:space="preserve">your own experience in the area and capacity to </w:t>
      </w:r>
      <w:r w:rsidR="00A158CA" w:rsidRPr="00DA6F3F">
        <w:t>mobil</w:t>
      </w:r>
      <w:r w:rsidR="00A158CA">
        <w:t>ize</w:t>
      </w:r>
      <w:r>
        <w:t xml:space="preserve"> resources and staff locally</w:t>
      </w:r>
    </w:p>
    <w:p w:rsidR="00F01D35" w:rsidRDefault="00FF04EC" w:rsidP="00DB6932">
      <w:pPr>
        <w:spacing w:after="0"/>
      </w:pPr>
      <w:r w:rsidRPr="00E777C7">
        <w:lastRenderedPageBreak/>
        <w:t xml:space="preserve">At a lower administrative level, it is very important to involve local authorities and sometimes community representatives. A meeting with them can help you agree on context-relevant criteria and have access to information </w:t>
      </w:r>
      <w:r w:rsidR="00A158CA">
        <w:t xml:space="preserve">that is </w:t>
      </w:r>
      <w:r w:rsidRPr="00E777C7">
        <w:t>not available</w:t>
      </w:r>
      <w:r w:rsidR="00A158CA">
        <w:t xml:space="preserve"> easily otherwise</w:t>
      </w:r>
      <w:r w:rsidRPr="00E777C7">
        <w:t>.</w:t>
      </w:r>
    </w:p>
    <w:p w:rsidR="009A5B82" w:rsidRPr="00FF04EC" w:rsidRDefault="009A5B82" w:rsidP="00FC5411">
      <w:pPr>
        <w:spacing w:after="0"/>
      </w:pPr>
    </w:p>
    <w:tbl>
      <w:tblPr>
        <w:tblStyle w:val="TableGrid"/>
        <w:tblpPr w:leftFromText="141" w:rightFromText="141" w:vertAnchor="text" w:horzAnchor="margin" w:tblpX="108" w:tblpYSpec="bottom"/>
        <w:tblW w:w="4877" w:type="pct"/>
        <w:shd w:val="solid" w:color="F2F2F2" w:themeColor="background1" w:themeShade="F2" w:fill="auto"/>
        <w:tblLook w:val="04A0" w:firstRow="1" w:lastRow="0" w:firstColumn="1" w:lastColumn="0" w:noHBand="0" w:noVBand="1"/>
      </w:tblPr>
      <w:tblGrid>
        <w:gridCol w:w="9606"/>
      </w:tblGrid>
      <w:tr w:rsidR="009A5B82" w:rsidRPr="00DA6F3F" w:rsidTr="00FB729F">
        <w:tc>
          <w:tcPr>
            <w:tcW w:w="5000" w:type="pct"/>
            <w:shd w:val="solid" w:color="F2F2F2" w:themeColor="background1" w:themeShade="F2" w:fill="auto"/>
          </w:tcPr>
          <w:p w:rsidR="009A5B82" w:rsidRPr="00DA6F3F" w:rsidRDefault="009A5B82" w:rsidP="00DB6932">
            <w:pPr>
              <w:spacing w:before="120"/>
              <w:rPr>
                <w:b/>
              </w:rPr>
            </w:pPr>
            <w:r>
              <w:rPr>
                <w:b/>
              </w:rPr>
              <w:t>Efficiency versus</w:t>
            </w:r>
            <w:r w:rsidRPr="00DA6F3F">
              <w:rPr>
                <w:b/>
              </w:rPr>
              <w:t xml:space="preserve"> needs</w:t>
            </w:r>
          </w:p>
          <w:p w:rsidR="009A5B82" w:rsidRPr="00DA6F3F" w:rsidRDefault="009A5B82" w:rsidP="009A5B82">
            <w:r w:rsidRPr="00DA6F3F">
              <w:t>When selecting intervention areas, a balance must be sought between efficiency and needs. Selecting villages that are contiguous instead of scattered or disperse can increase</w:t>
            </w:r>
            <w:r>
              <w:t xml:space="preserve"> the efficiency of the response by minimiz</w:t>
            </w:r>
            <w:r w:rsidRPr="00DA6F3F">
              <w:t>ing operational costs and enhancin</w:t>
            </w:r>
            <w:r>
              <w:t>g the speed of community mobiliz</w:t>
            </w:r>
            <w:r w:rsidRPr="00DA6F3F">
              <w:t>ation and assistance delivery. On the other hand, scattered and disperse</w:t>
            </w:r>
            <w:r>
              <w:t>d</w:t>
            </w:r>
            <w:r w:rsidRPr="00DA6F3F">
              <w:t xml:space="preserve"> villages should not be overlooked, as their needs are likely to be greater.</w:t>
            </w:r>
          </w:p>
        </w:tc>
      </w:tr>
    </w:tbl>
    <w:p w:rsidR="00EB3A06" w:rsidRPr="00464A59" w:rsidRDefault="00EB3A06" w:rsidP="00FC5411">
      <w:pPr>
        <w:pStyle w:val="Heading3"/>
        <w:spacing w:before="120"/>
      </w:pPr>
      <w:r>
        <w:t>B</w:t>
      </w:r>
      <w:r w:rsidRPr="00464A59">
        <w:t xml:space="preserve">lanket </w:t>
      </w:r>
      <w:r>
        <w:t>targeting</w:t>
      </w:r>
    </w:p>
    <w:p w:rsidR="00EB3A06" w:rsidRPr="00952CEA" w:rsidRDefault="00EB3A06" w:rsidP="00C13C48">
      <w:r>
        <w:t xml:space="preserve">Once you have narrowed down your geographical area of operation, your next decision will be to decide whether a blanket approach where everyone in the community is targeted is appropriate. This means providing CTP to all the population in that geographical area. This is especially appropriate to meet immediate needs after a rapid onset disaster or when access to the population is constrained by security issues and markets are functioning to supply the goods and/or services.  Blanket targeting </w:t>
      </w:r>
      <w:r w:rsidR="00A92683">
        <w:t>can speed</w:t>
      </w:r>
      <w:r>
        <w:t xml:space="preserve"> up the response and is suitable for </w:t>
      </w:r>
      <w:r w:rsidRPr="00225156">
        <w:rPr>
          <w:rFonts w:cs="Arial"/>
        </w:rPr>
        <w:t xml:space="preserve">shelter, food security, </w:t>
      </w:r>
      <w:proofErr w:type="spellStart"/>
      <w:r w:rsidRPr="00225156">
        <w:rPr>
          <w:rFonts w:cs="Arial"/>
        </w:rPr>
        <w:t>WaSH</w:t>
      </w:r>
      <w:proofErr w:type="spellEnd"/>
      <w:r w:rsidRPr="00225156">
        <w:rPr>
          <w:rFonts w:cs="Arial"/>
        </w:rPr>
        <w:t xml:space="preserve"> and nutrition needs</w:t>
      </w:r>
      <w:r w:rsidRPr="00225156">
        <w:t>. I</w:t>
      </w:r>
      <w:r>
        <w:t xml:space="preserve">t suits both one off distributions and repeat distributions. </w:t>
      </w:r>
    </w:p>
    <w:p w:rsidR="00EB3A06" w:rsidRDefault="00EB3A06" w:rsidP="00C13C48">
      <w:r>
        <w:t>In CTP, d</w:t>
      </w:r>
      <w:r w:rsidRPr="001D0023">
        <w:t xml:space="preserve">ecisions on </w:t>
      </w:r>
      <w:r>
        <w:t xml:space="preserve">blanket targeting at </w:t>
      </w:r>
      <w:r w:rsidRPr="001D0023">
        <w:t xml:space="preserve">lower-level </w:t>
      </w:r>
      <w:r>
        <w:t xml:space="preserve">geographical </w:t>
      </w:r>
      <w:r w:rsidRPr="001D0023">
        <w:t xml:space="preserve">administrative units </w:t>
      </w:r>
      <w:r>
        <w:t xml:space="preserve">must consider </w:t>
      </w:r>
      <w:r w:rsidRPr="001D0023">
        <w:t>market</w:t>
      </w:r>
      <w:r>
        <w:t>s</w:t>
      </w:r>
      <w:r w:rsidRPr="001D0023">
        <w:t>, services, level of losses, local and or</w:t>
      </w:r>
      <w:r>
        <w:t>ganisational capacity to respond. This type of targeting is appropriate for meeting immediate needs while further assessments are carried out.</w:t>
      </w:r>
    </w:p>
    <w:p w:rsidR="00EB3A06" w:rsidRDefault="00EB3A06" w:rsidP="00C13C48">
      <w:r>
        <w:t>G</w:t>
      </w:r>
      <w:r w:rsidRPr="001653AE">
        <w:t xml:space="preserve">eographic targeting </w:t>
      </w:r>
      <w:r>
        <w:t xml:space="preserve">is </w:t>
      </w:r>
      <w:r w:rsidRPr="001653AE">
        <w:t>complemented with household/individual targeting</w:t>
      </w:r>
      <w:r>
        <w:t>, which involves developing targeting criteria.</w:t>
      </w:r>
    </w:p>
    <w:p w:rsidR="00EB3A06" w:rsidRDefault="00EB3A06" w:rsidP="00C13C48">
      <w:r w:rsidRPr="00F03551">
        <w:t>The process will involve identifying areas that have been particularly affected or where needs are greatest. You should rely primarily on the assessment findings and information available from early warning and monitoring systems.</w:t>
      </w:r>
    </w:p>
    <w:p w:rsidR="002A3740" w:rsidRPr="00EB3A06" w:rsidRDefault="002A3740" w:rsidP="00C13C48">
      <w:pPr>
        <w:sectPr w:rsidR="002A3740" w:rsidRPr="00EB3A06" w:rsidSect="001D22FF">
          <w:headerReference w:type="default" r:id="rId9"/>
          <w:footerReference w:type="even" r:id="rId10"/>
          <w:footerReference w:type="default" r:id="rId11"/>
          <w:pgSz w:w="11900" w:h="16840"/>
          <w:pgMar w:top="1134" w:right="1134" w:bottom="1134" w:left="1134" w:header="708" w:footer="708" w:gutter="0"/>
          <w:cols w:space="708"/>
          <w:docGrid w:linePitch="299"/>
        </w:sectPr>
      </w:pPr>
    </w:p>
    <w:p w:rsidR="00DC0D69" w:rsidRPr="00DC0D69" w:rsidRDefault="00DC0D69" w:rsidP="00C13C48">
      <w:pPr>
        <w:pStyle w:val="Heading3"/>
        <w:spacing w:after="240"/>
        <w:jc w:val="center"/>
      </w:pPr>
      <w:r w:rsidRPr="00DC0D69">
        <w:lastRenderedPageBreak/>
        <w:t>Geographic</w:t>
      </w:r>
      <w:r w:rsidR="00A92683">
        <w:t>al</w:t>
      </w:r>
      <w:r w:rsidRPr="00DC0D69">
        <w:t xml:space="preserve"> selection ranking table </w:t>
      </w:r>
      <w:r w:rsidRPr="00DC0D69">
        <w:br/>
        <w:t>(</w:t>
      </w:r>
      <w:r>
        <w:t>smaller</w:t>
      </w:r>
      <w:r w:rsidRPr="00DC0D69">
        <w:t xml:space="preserve"> administrative units)</w:t>
      </w:r>
    </w:p>
    <w:tbl>
      <w:tblPr>
        <w:tblW w:w="5000" w:type="pct"/>
        <w:tblLook w:val="04A0" w:firstRow="1" w:lastRow="0" w:firstColumn="1" w:lastColumn="0" w:noHBand="0" w:noVBand="1"/>
      </w:tblPr>
      <w:tblGrid>
        <w:gridCol w:w="1273"/>
        <w:gridCol w:w="981"/>
        <w:gridCol w:w="981"/>
        <w:gridCol w:w="981"/>
        <w:gridCol w:w="843"/>
        <w:gridCol w:w="982"/>
        <w:gridCol w:w="1491"/>
        <w:gridCol w:w="891"/>
        <w:gridCol w:w="1191"/>
        <w:gridCol w:w="1595"/>
        <w:gridCol w:w="1795"/>
        <w:gridCol w:w="1172"/>
      </w:tblGrid>
      <w:tr w:rsidR="00DB6932" w:rsidRPr="00044107" w:rsidTr="00DB6932">
        <w:trPr>
          <w:trHeight w:val="20"/>
        </w:trPr>
        <w:tc>
          <w:tcPr>
            <w:tcW w:w="0" w:type="pct"/>
            <w:vMerge w:val="restart"/>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044107" w:rsidRDefault="00DC0D69" w:rsidP="00DB6932">
            <w:pPr>
              <w:spacing w:before="120"/>
              <w:jc w:val="center"/>
              <w:rPr>
                <w:rFonts w:eastAsia="Times New Roman" w:cs="Arial"/>
                <w:b/>
                <w:color w:val="FFFFFF" w:themeColor="background1"/>
              </w:rPr>
            </w:pPr>
            <w:r w:rsidRPr="00044107">
              <w:rPr>
                <w:rFonts w:eastAsia="Times New Roman" w:cs="Arial"/>
                <w:b/>
                <w:color w:val="FFFFFF" w:themeColor="background1"/>
              </w:rPr>
              <w:t>Area</w:t>
            </w:r>
          </w:p>
        </w:tc>
        <w:tc>
          <w:tcPr>
            <w:tcW w:w="0" w:type="pct"/>
            <w:vMerge w:val="restart"/>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r w:rsidRPr="00044107">
              <w:rPr>
                <w:rFonts w:eastAsia="Times New Roman" w:cs="Arial"/>
                <w:b/>
                <w:color w:val="FFFFFF" w:themeColor="background1"/>
              </w:rPr>
              <w:t>Total number HHs</w:t>
            </w:r>
          </w:p>
        </w:tc>
        <w:tc>
          <w:tcPr>
            <w:tcW w:w="0" w:type="pct"/>
            <w:gridSpan w:val="2"/>
            <w:tcBorders>
              <w:top w:val="single" w:sz="4" w:space="0" w:color="auto"/>
              <w:left w:val="nil"/>
              <w:bottom w:val="single" w:sz="4" w:space="0" w:color="auto"/>
              <w:right w:val="single" w:sz="4" w:space="0" w:color="auto"/>
            </w:tcBorders>
            <w:shd w:val="clear" w:color="auto" w:fill="DC281E"/>
            <w:noWrap/>
            <w:vAlign w:val="center"/>
            <w:hideMark/>
          </w:tcPr>
          <w:p w:rsidR="00506206" w:rsidRPr="00044107" w:rsidRDefault="00506206" w:rsidP="00DB6932">
            <w:pPr>
              <w:spacing w:before="120"/>
              <w:jc w:val="center"/>
              <w:rPr>
                <w:rFonts w:eastAsia="Times New Roman"/>
                <w:b/>
                <w:color w:val="FFFFFF" w:themeColor="background1"/>
              </w:rPr>
            </w:pPr>
            <w:r w:rsidRPr="00044107">
              <w:rPr>
                <w:rFonts w:eastAsia="Times New Roman"/>
                <w:b/>
                <w:color w:val="FFFFFF" w:themeColor="background1"/>
              </w:rPr>
              <w:t xml:space="preserve">Affected </w:t>
            </w:r>
            <w:r w:rsidR="0071018D" w:rsidRPr="00044107">
              <w:rPr>
                <w:rFonts w:eastAsia="Times New Roman"/>
                <w:b/>
                <w:color w:val="FFFFFF" w:themeColor="background1"/>
              </w:rPr>
              <w:t>HHs</w:t>
            </w:r>
          </w:p>
        </w:tc>
        <w:tc>
          <w:tcPr>
            <w:tcW w:w="0" w:type="pct"/>
            <w:gridSpan w:val="2"/>
            <w:tcBorders>
              <w:top w:val="single" w:sz="4" w:space="0" w:color="auto"/>
              <w:left w:val="nil"/>
              <w:bottom w:val="single" w:sz="4" w:space="0" w:color="auto"/>
              <w:right w:val="single" w:sz="4" w:space="0" w:color="auto"/>
            </w:tcBorders>
            <w:shd w:val="clear" w:color="auto" w:fill="DC281E"/>
            <w:noWrap/>
            <w:vAlign w:val="center"/>
            <w:hideMark/>
          </w:tcPr>
          <w:p w:rsidR="00506206" w:rsidRPr="00044107" w:rsidRDefault="00506206" w:rsidP="00DB6932">
            <w:pPr>
              <w:spacing w:before="120"/>
              <w:jc w:val="center"/>
              <w:rPr>
                <w:rFonts w:eastAsia="Times New Roman" w:cstheme="majorHAnsi"/>
                <w:b/>
                <w:color w:val="FFFFFF" w:themeColor="background1"/>
              </w:rPr>
            </w:pPr>
            <w:r w:rsidRPr="00044107">
              <w:rPr>
                <w:rFonts w:eastAsia="Times New Roman" w:cstheme="majorHAnsi"/>
                <w:b/>
                <w:color w:val="FFFFFF" w:themeColor="background1"/>
              </w:rPr>
              <w:t xml:space="preserve">% affected </w:t>
            </w:r>
            <w:r w:rsidR="0071018D" w:rsidRPr="00044107">
              <w:rPr>
                <w:rFonts w:eastAsia="Times New Roman" w:cstheme="majorHAnsi"/>
                <w:b/>
                <w:color w:val="FFFFFF" w:themeColor="background1"/>
              </w:rPr>
              <w:t>HHs</w:t>
            </w:r>
          </w:p>
        </w:tc>
        <w:tc>
          <w:tcPr>
            <w:tcW w:w="0" w:type="pct"/>
            <w:gridSpan w:val="3"/>
            <w:tcBorders>
              <w:top w:val="single" w:sz="4" w:space="0" w:color="auto"/>
              <w:left w:val="nil"/>
              <w:bottom w:val="single" w:sz="4" w:space="0" w:color="auto"/>
              <w:right w:val="single" w:sz="4" w:space="0" w:color="auto"/>
            </w:tcBorders>
            <w:shd w:val="clear" w:color="auto" w:fill="DC281E"/>
            <w:noWrap/>
            <w:vAlign w:val="center"/>
            <w:hideMark/>
          </w:tcPr>
          <w:p w:rsidR="00506206" w:rsidRPr="00044107" w:rsidRDefault="00506206" w:rsidP="00DB6932">
            <w:pPr>
              <w:spacing w:before="120"/>
              <w:jc w:val="center"/>
              <w:rPr>
                <w:rFonts w:eastAsia="Times New Roman" w:cstheme="majorHAnsi"/>
                <w:b/>
                <w:color w:val="FFFFFF" w:themeColor="background1"/>
              </w:rPr>
            </w:pPr>
            <w:r w:rsidRPr="00044107">
              <w:rPr>
                <w:rFonts w:eastAsia="Times New Roman" w:cstheme="majorHAnsi"/>
                <w:b/>
                <w:color w:val="FFFFFF" w:themeColor="background1"/>
              </w:rPr>
              <w:t>Losses</w:t>
            </w:r>
            <w:r w:rsidR="0071018D" w:rsidRPr="00044107">
              <w:rPr>
                <w:rFonts w:eastAsia="Times New Roman" w:cstheme="majorHAnsi"/>
                <w:b/>
                <w:color w:val="FFFFFF" w:themeColor="background1"/>
              </w:rPr>
              <w:t xml:space="preserve"> (</w:t>
            </w:r>
            <w:r w:rsidR="00E74F02" w:rsidRPr="00044107">
              <w:rPr>
                <w:rFonts w:eastAsia="Times New Roman" w:cstheme="majorHAnsi"/>
                <w:b/>
                <w:color w:val="FFFFFF" w:themeColor="background1"/>
              </w:rPr>
              <w:t>houses</w:t>
            </w:r>
            <w:r w:rsidR="0071018D" w:rsidRPr="00044107">
              <w:rPr>
                <w:rFonts w:eastAsia="Times New Roman" w:cstheme="majorHAnsi"/>
                <w:b/>
                <w:color w:val="FFFFFF" w:themeColor="background1"/>
              </w:rPr>
              <w:t>, income, livestock)</w:t>
            </w:r>
          </w:p>
        </w:tc>
        <w:tc>
          <w:tcPr>
            <w:tcW w:w="0" w:type="pct"/>
            <w:tcBorders>
              <w:top w:val="single" w:sz="4" w:space="0" w:color="auto"/>
              <w:left w:val="nil"/>
              <w:bottom w:val="single" w:sz="4" w:space="0" w:color="auto"/>
              <w:right w:val="single" w:sz="4" w:space="0" w:color="auto"/>
            </w:tcBorders>
            <w:shd w:val="clear" w:color="auto" w:fill="DC281E"/>
            <w:noWrap/>
            <w:vAlign w:val="center"/>
            <w:hideMark/>
          </w:tcPr>
          <w:p w:rsidR="00506206" w:rsidRPr="00044107" w:rsidRDefault="00506206" w:rsidP="00DB6932">
            <w:pPr>
              <w:spacing w:before="120"/>
              <w:jc w:val="center"/>
              <w:rPr>
                <w:rFonts w:eastAsia="Times New Roman"/>
                <w:b/>
                <w:color w:val="FFFFFF" w:themeColor="background1"/>
              </w:rPr>
            </w:pPr>
            <w:r w:rsidRPr="00044107">
              <w:rPr>
                <w:rFonts w:eastAsia="Times New Roman"/>
                <w:b/>
                <w:color w:val="FFFFFF" w:themeColor="background1"/>
              </w:rPr>
              <w:t>Local capacity</w:t>
            </w:r>
          </w:p>
        </w:tc>
        <w:tc>
          <w:tcPr>
            <w:tcW w:w="0" w:type="pct"/>
            <w:tcBorders>
              <w:top w:val="single" w:sz="4" w:space="0" w:color="auto"/>
              <w:left w:val="nil"/>
              <w:bottom w:val="single" w:sz="4" w:space="0" w:color="auto"/>
              <w:right w:val="single" w:sz="4" w:space="0" w:color="auto"/>
            </w:tcBorders>
            <w:shd w:val="clear" w:color="auto" w:fill="DC281E"/>
            <w:noWrap/>
            <w:vAlign w:val="center"/>
            <w:hideMark/>
          </w:tcPr>
          <w:p w:rsidR="00506206" w:rsidRPr="00044107" w:rsidRDefault="00506206" w:rsidP="00DB6932">
            <w:pPr>
              <w:spacing w:before="120"/>
              <w:jc w:val="center"/>
              <w:rPr>
                <w:rFonts w:eastAsia="Times New Roman"/>
                <w:b/>
                <w:color w:val="FFFFFF" w:themeColor="background1"/>
              </w:rPr>
            </w:pPr>
            <w:r w:rsidRPr="00044107">
              <w:rPr>
                <w:rFonts w:eastAsia="Times New Roman"/>
                <w:b/>
                <w:color w:val="FFFFFF" w:themeColor="background1"/>
              </w:rPr>
              <w:t>Agency capacity</w:t>
            </w:r>
          </w:p>
        </w:tc>
        <w:tc>
          <w:tcPr>
            <w:tcW w:w="0" w:type="pct"/>
            <w:vMerge w:val="restart"/>
            <w:tcBorders>
              <w:top w:val="single" w:sz="4" w:space="0" w:color="auto"/>
              <w:left w:val="nil"/>
              <w:right w:val="single" w:sz="4" w:space="0" w:color="auto"/>
            </w:tcBorders>
            <w:shd w:val="clear" w:color="auto" w:fill="DC281E"/>
            <w:noWrap/>
            <w:vAlign w:val="center"/>
            <w:hideMark/>
          </w:tcPr>
          <w:p w:rsidR="00506206" w:rsidRPr="00044107" w:rsidRDefault="00E74F02" w:rsidP="00DB6932">
            <w:pPr>
              <w:spacing w:before="120"/>
              <w:jc w:val="center"/>
              <w:rPr>
                <w:rFonts w:eastAsia="Times New Roman"/>
                <w:b/>
                <w:color w:val="FFFFFF" w:themeColor="background1"/>
              </w:rPr>
            </w:pPr>
            <w:r w:rsidRPr="00044107">
              <w:rPr>
                <w:rFonts w:eastAsia="Times New Roman"/>
                <w:b/>
                <w:color w:val="FFFFFF" w:themeColor="background1"/>
              </w:rPr>
              <w:t>Rank sum</w:t>
            </w:r>
          </w:p>
        </w:tc>
      </w:tr>
      <w:tr w:rsidR="00DB6932" w:rsidRPr="00044107" w:rsidTr="00044107">
        <w:trPr>
          <w:trHeight w:val="20"/>
        </w:trPr>
        <w:tc>
          <w:tcPr>
            <w:tcW w:w="0" w:type="pct"/>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p>
        </w:tc>
        <w:tc>
          <w:tcPr>
            <w:tcW w:w="0" w:type="pct"/>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p>
        </w:tc>
        <w:tc>
          <w:tcPr>
            <w:tcW w:w="0" w:type="pct"/>
            <w:tcBorders>
              <w:top w:val="nil"/>
              <w:left w:val="nil"/>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r w:rsidRPr="00044107">
              <w:rPr>
                <w:rFonts w:eastAsia="Times New Roman" w:cs="Arial"/>
                <w:b/>
                <w:color w:val="FFFFFF" w:themeColor="background1"/>
              </w:rPr>
              <w:t>#</w:t>
            </w:r>
          </w:p>
        </w:tc>
        <w:tc>
          <w:tcPr>
            <w:tcW w:w="0" w:type="pct"/>
            <w:tcBorders>
              <w:top w:val="nil"/>
              <w:left w:val="nil"/>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r w:rsidRPr="00044107">
              <w:rPr>
                <w:rFonts w:eastAsia="Times New Roman" w:cs="Arial"/>
                <w:b/>
                <w:color w:val="FFFFFF" w:themeColor="background1"/>
              </w:rPr>
              <w:t>Rank</w:t>
            </w:r>
          </w:p>
        </w:tc>
        <w:tc>
          <w:tcPr>
            <w:tcW w:w="0" w:type="pct"/>
            <w:tcBorders>
              <w:top w:val="nil"/>
              <w:left w:val="nil"/>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r w:rsidRPr="00044107">
              <w:rPr>
                <w:rFonts w:eastAsia="Times New Roman" w:cs="Arial"/>
                <w:b/>
                <w:color w:val="FFFFFF" w:themeColor="background1"/>
              </w:rPr>
              <w:t>%</w:t>
            </w:r>
          </w:p>
        </w:tc>
        <w:tc>
          <w:tcPr>
            <w:tcW w:w="0" w:type="pct"/>
            <w:tcBorders>
              <w:top w:val="nil"/>
              <w:left w:val="nil"/>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r w:rsidRPr="00044107">
              <w:rPr>
                <w:rFonts w:eastAsia="Times New Roman" w:cs="Arial"/>
                <w:b/>
                <w:color w:val="FFFFFF" w:themeColor="background1"/>
              </w:rPr>
              <w:t>Rank</w:t>
            </w:r>
          </w:p>
        </w:tc>
        <w:tc>
          <w:tcPr>
            <w:tcW w:w="0" w:type="pct"/>
            <w:tcBorders>
              <w:top w:val="nil"/>
              <w:left w:val="nil"/>
              <w:bottom w:val="single" w:sz="4" w:space="0" w:color="auto"/>
              <w:right w:val="single" w:sz="4" w:space="0" w:color="auto"/>
            </w:tcBorders>
            <w:shd w:val="clear" w:color="auto" w:fill="DC281E"/>
            <w:vAlign w:val="center"/>
            <w:hideMark/>
          </w:tcPr>
          <w:p w:rsidR="00506206" w:rsidRPr="00044107" w:rsidRDefault="0071018D" w:rsidP="00DB6932">
            <w:pPr>
              <w:spacing w:before="120"/>
              <w:jc w:val="center"/>
              <w:rPr>
                <w:rFonts w:eastAsia="Times New Roman" w:cs="Arial"/>
                <w:b/>
                <w:color w:val="FFFFFF" w:themeColor="background1"/>
              </w:rPr>
            </w:pPr>
            <w:r w:rsidRPr="00044107">
              <w:rPr>
                <w:rFonts w:eastAsia="Times New Roman" w:cs="Arial"/>
                <w:b/>
                <w:color w:val="FFFFFF" w:themeColor="background1"/>
              </w:rPr>
              <w:t>#</w:t>
            </w:r>
          </w:p>
        </w:tc>
        <w:tc>
          <w:tcPr>
            <w:tcW w:w="0" w:type="pct"/>
            <w:tcBorders>
              <w:top w:val="nil"/>
              <w:left w:val="nil"/>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r w:rsidRPr="00044107">
              <w:rPr>
                <w:rFonts w:eastAsia="Times New Roman" w:cs="Arial"/>
                <w:b/>
                <w:color w:val="FFFFFF" w:themeColor="background1"/>
              </w:rPr>
              <w:t>%</w:t>
            </w:r>
          </w:p>
        </w:tc>
        <w:tc>
          <w:tcPr>
            <w:tcW w:w="0" w:type="pct"/>
            <w:tcBorders>
              <w:top w:val="nil"/>
              <w:left w:val="nil"/>
              <w:bottom w:val="single" w:sz="4" w:space="0" w:color="auto"/>
              <w:right w:val="single" w:sz="4" w:space="0" w:color="auto"/>
            </w:tcBorders>
            <w:shd w:val="clear" w:color="auto" w:fill="DC281E"/>
            <w:vAlign w:val="center"/>
            <w:hideMark/>
          </w:tcPr>
          <w:p w:rsidR="00506206" w:rsidRPr="00044107" w:rsidRDefault="00506206" w:rsidP="00DB6932">
            <w:pPr>
              <w:spacing w:before="120"/>
              <w:jc w:val="center"/>
              <w:rPr>
                <w:rFonts w:eastAsia="Times New Roman" w:cs="Arial"/>
                <w:b/>
                <w:color w:val="FFFFFF" w:themeColor="background1"/>
              </w:rPr>
            </w:pPr>
            <w:r w:rsidRPr="00044107">
              <w:rPr>
                <w:rFonts w:eastAsia="Times New Roman" w:cs="Arial"/>
                <w:b/>
                <w:color w:val="FFFFFF" w:themeColor="background1"/>
              </w:rPr>
              <w:t>Rank</w:t>
            </w:r>
          </w:p>
        </w:tc>
        <w:tc>
          <w:tcPr>
            <w:tcW w:w="0" w:type="pct"/>
            <w:tcBorders>
              <w:top w:val="nil"/>
              <w:left w:val="nil"/>
              <w:bottom w:val="single" w:sz="4" w:space="0" w:color="auto"/>
              <w:right w:val="single" w:sz="4" w:space="0" w:color="auto"/>
            </w:tcBorders>
            <w:shd w:val="clear" w:color="auto" w:fill="DC281E"/>
            <w:vAlign w:val="center"/>
            <w:hideMark/>
          </w:tcPr>
          <w:p w:rsidR="00506206" w:rsidRPr="00044107" w:rsidRDefault="0071018D" w:rsidP="00DB6932">
            <w:pPr>
              <w:spacing w:before="120"/>
              <w:jc w:val="center"/>
              <w:rPr>
                <w:rFonts w:eastAsia="Times New Roman" w:cs="Arial"/>
                <w:b/>
                <w:color w:val="FFFFFF" w:themeColor="background1"/>
              </w:rPr>
            </w:pPr>
            <w:r w:rsidRPr="00044107">
              <w:rPr>
                <w:rFonts w:eastAsia="Times New Roman" w:cs="Arial"/>
                <w:b/>
                <w:color w:val="FFFFFF" w:themeColor="background1"/>
              </w:rPr>
              <w:t>Rank</w:t>
            </w:r>
            <w:r w:rsidR="00E74F02" w:rsidRPr="00044107">
              <w:rPr>
                <w:rStyle w:val="FootnoteReference"/>
                <w:rFonts w:eastAsia="Times New Roman" w:cs="Arial"/>
                <w:b/>
                <w:color w:val="FFFFFF" w:themeColor="background1"/>
              </w:rPr>
              <w:footnoteReference w:id="1"/>
            </w:r>
          </w:p>
        </w:tc>
        <w:tc>
          <w:tcPr>
            <w:tcW w:w="0" w:type="pct"/>
            <w:tcBorders>
              <w:top w:val="nil"/>
              <w:left w:val="nil"/>
              <w:bottom w:val="single" w:sz="4" w:space="0" w:color="auto"/>
              <w:right w:val="single" w:sz="4" w:space="0" w:color="auto"/>
            </w:tcBorders>
            <w:shd w:val="clear" w:color="auto" w:fill="DC281E"/>
            <w:vAlign w:val="center"/>
            <w:hideMark/>
          </w:tcPr>
          <w:p w:rsidR="00506206" w:rsidRPr="00044107" w:rsidRDefault="0071018D" w:rsidP="00DB6932">
            <w:pPr>
              <w:spacing w:before="120"/>
              <w:jc w:val="center"/>
              <w:rPr>
                <w:rFonts w:eastAsia="Times New Roman" w:cs="Arial"/>
                <w:b/>
                <w:color w:val="FFFFFF" w:themeColor="background1"/>
              </w:rPr>
            </w:pPr>
            <w:r w:rsidRPr="00044107">
              <w:rPr>
                <w:rFonts w:eastAsia="Times New Roman" w:cs="Arial"/>
                <w:b/>
                <w:color w:val="FFFFFF" w:themeColor="background1"/>
              </w:rPr>
              <w:t>Rank</w:t>
            </w:r>
            <w:r w:rsidR="00E74F02" w:rsidRPr="00044107">
              <w:rPr>
                <w:rStyle w:val="FootnoteReference"/>
                <w:rFonts w:eastAsia="Times New Roman" w:cs="Arial"/>
                <w:b/>
                <w:color w:val="FFFFFF" w:themeColor="background1"/>
              </w:rPr>
              <w:footnoteReference w:id="2"/>
            </w:r>
          </w:p>
        </w:tc>
        <w:tc>
          <w:tcPr>
            <w:tcW w:w="0" w:type="pct"/>
            <w:vMerge/>
            <w:tcBorders>
              <w:left w:val="nil"/>
              <w:bottom w:val="single" w:sz="4" w:space="0" w:color="auto"/>
              <w:right w:val="single" w:sz="4" w:space="0" w:color="auto"/>
            </w:tcBorders>
            <w:shd w:val="clear" w:color="auto" w:fill="DC281E"/>
            <w:noWrap/>
            <w:vAlign w:val="center"/>
            <w:hideMark/>
          </w:tcPr>
          <w:p w:rsidR="00506206" w:rsidRPr="00044107" w:rsidRDefault="00506206" w:rsidP="00DB6932">
            <w:pPr>
              <w:spacing w:before="120"/>
              <w:jc w:val="center"/>
              <w:rPr>
                <w:rFonts w:ascii="Verdana" w:eastAsia="Times New Roman" w:hAnsi="Verdana"/>
                <w:b/>
                <w:color w:val="FFFFFF" w:themeColor="background1"/>
              </w:rPr>
            </w:pPr>
          </w:p>
        </w:tc>
      </w:tr>
      <w:tr w:rsidR="00506206" w:rsidRPr="003473A0" w:rsidTr="00044107">
        <w:trPr>
          <w:trHeight w:val="567"/>
        </w:trPr>
        <w:tc>
          <w:tcPr>
            <w:tcW w:w="481"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1</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29"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0"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23"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9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4"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506206" w:rsidRPr="003473A0" w:rsidTr="00044107">
        <w:trPr>
          <w:trHeight w:val="567"/>
        </w:trPr>
        <w:tc>
          <w:tcPr>
            <w:tcW w:w="481"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2</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29"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0"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23"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9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4"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506206" w:rsidRPr="003473A0" w:rsidTr="00044107">
        <w:trPr>
          <w:trHeight w:val="567"/>
        </w:trPr>
        <w:tc>
          <w:tcPr>
            <w:tcW w:w="481"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3</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29"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0"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23"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9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4"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506206" w:rsidRPr="003473A0" w:rsidTr="00044107">
        <w:trPr>
          <w:trHeight w:val="567"/>
        </w:trPr>
        <w:tc>
          <w:tcPr>
            <w:tcW w:w="481"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4</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29"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0"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23"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9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4"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506206" w:rsidRPr="003473A0" w:rsidTr="00044107">
        <w:trPr>
          <w:trHeight w:val="567"/>
        </w:trPr>
        <w:tc>
          <w:tcPr>
            <w:tcW w:w="481"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5</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29"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0"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23"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9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4"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506206" w:rsidRPr="003473A0" w:rsidTr="00044107">
        <w:trPr>
          <w:trHeight w:val="567"/>
        </w:trPr>
        <w:tc>
          <w:tcPr>
            <w:tcW w:w="481"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6</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29"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0"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23"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9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4"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506206" w:rsidRPr="003473A0" w:rsidTr="00044107">
        <w:trPr>
          <w:trHeight w:val="567"/>
        </w:trPr>
        <w:tc>
          <w:tcPr>
            <w:tcW w:w="481"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7</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29"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0"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23"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9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4"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506206" w:rsidRPr="003473A0" w:rsidTr="00044107">
        <w:trPr>
          <w:trHeight w:val="567"/>
        </w:trPr>
        <w:tc>
          <w:tcPr>
            <w:tcW w:w="481"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8</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29"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0"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23"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9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4"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r w:rsidR="00506206" w:rsidRPr="003473A0" w:rsidTr="00044107">
        <w:trPr>
          <w:trHeight w:val="567"/>
        </w:trPr>
        <w:tc>
          <w:tcPr>
            <w:tcW w:w="481"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473A0" w:rsidRDefault="003473A0" w:rsidP="00DB6932">
            <w:pPr>
              <w:spacing w:after="0"/>
              <w:jc w:val="center"/>
              <w:rPr>
                <w:rFonts w:ascii="Verdana" w:eastAsia="Times New Roman" w:hAnsi="Verdana"/>
              </w:rPr>
            </w:pPr>
            <w:r w:rsidRPr="003473A0">
              <w:rPr>
                <w:rFonts w:ascii="Verdana" w:eastAsia="Times New Roman" w:hAnsi="Verdana"/>
              </w:rPr>
              <w:t>9</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29"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78"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488"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292"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0" w:type="pct"/>
            <w:tcBorders>
              <w:top w:val="nil"/>
              <w:left w:val="nil"/>
              <w:bottom w:val="single" w:sz="4" w:space="0" w:color="auto"/>
              <w:right w:val="single" w:sz="4" w:space="0" w:color="auto"/>
            </w:tcBorders>
            <w:shd w:val="clear" w:color="000000" w:fill="F2F2F2"/>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23"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590" w:type="pct"/>
            <w:tcBorders>
              <w:top w:val="nil"/>
              <w:left w:val="nil"/>
              <w:bottom w:val="single" w:sz="4" w:space="0" w:color="auto"/>
              <w:right w:val="single" w:sz="4" w:space="0" w:color="auto"/>
            </w:tcBorders>
            <w:shd w:val="clear" w:color="auto" w:fill="auto"/>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c>
          <w:tcPr>
            <w:tcW w:w="394"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473A0" w:rsidRDefault="003473A0" w:rsidP="003473A0">
            <w:pPr>
              <w:spacing w:after="0"/>
              <w:jc w:val="left"/>
              <w:rPr>
                <w:rFonts w:ascii="Verdana" w:eastAsia="Times New Roman" w:hAnsi="Verdana"/>
              </w:rPr>
            </w:pPr>
            <w:r w:rsidRPr="003473A0">
              <w:rPr>
                <w:rFonts w:ascii="Verdana" w:eastAsia="Times New Roman" w:hAnsi="Verdana"/>
              </w:rPr>
              <w:t> </w:t>
            </w:r>
          </w:p>
        </w:tc>
      </w:tr>
    </w:tbl>
    <w:p w:rsidR="00E74F02" w:rsidRDefault="00E74F02"/>
    <w:sectPr w:rsidR="00E74F02" w:rsidSect="003473A0">
      <w:pgSz w:w="1684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A6" w:rsidRDefault="007C6DA6" w:rsidP="00FF04EC">
      <w:pPr>
        <w:spacing w:after="0"/>
      </w:pPr>
      <w:r>
        <w:separator/>
      </w:r>
    </w:p>
  </w:endnote>
  <w:endnote w:type="continuationSeparator" w:id="0">
    <w:p w:rsidR="007C6DA6" w:rsidRDefault="007C6DA6" w:rsidP="00FF04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2D" w:rsidRDefault="00BF4E8F" w:rsidP="00396352">
    <w:pPr>
      <w:pStyle w:val="Footer"/>
      <w:framePr w:wrap="around" w:vAnchor="text" w:hAnchor="margin" w:xAlign="right" w:y="1"/>
      <w:rPr>
        <w:rStyle w:val="PageNumber"/>
      </w:rPr>
    </w:pPr>
    <w:r>
      <w:rPr>
        <w:rStyle w:val="PageNumber"/>
      </w:rPr>
      <w:fldChar w:fldCharType="begin"/>
    </w:r>
    <w:r w:rsidR="0074132D">
      <w:rPr>
        <w:rStyle w:val="PageNumber"/>
      </w:rPr>
      <w:instrText xml:space="preserve">PAGE  </w:instrText>
    </w:r>
    <w:r>
      <w:rPr>
        <w:rStyle w:val="PageNumber"/>
      </w:rPr>
      <w:fldChar w:fldCharType="end"/>
    </w:r>
  </w:p>
  <w:p w:rsidR="0074132D" w:rsidRDefault="0074132D" w:rsidP="00FF04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FF" w:rsidRPr="00B45C74" w:rsidRDefault="001D22F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44107">
      <w:rPr>
        <w:b/>
        <w:noProof/>
        <w:color w:val="808080" w:themeColor="background1" w:themeShade="80"/>
        <w:sz w:val="18"/>
        <w:szCs w:val="18"/>
      </w:rPr>
      <w:t>4</w:t>
    </w:r>
    <w:r w:rsidRPr="00B45C74">
      <w:rPr>
        <w:b/>
        <w:color w:val="808080" w:themeColor="background1" w:themeShade="80"/>
        <w:sz w:val="18"/>
        <w:szCs w:val="18"/>
      </w:rPr>
      <w:fldChar w:fldCharType="end"/>
    </w:r>
  </w:p>
  <w:p w:rsidR="001D22FF" w:rsidRPr="003A3500" w:rsidRDefault="001D22FF" w:rsidP="00ED1B2B">
    <w:pPr>
      <w:pStyle w:val="Footer"/>
    </w:pPr>
    <w:r w:rsidRPr="00107E15">
      <w:rPr>
        <w:b/>
      </w:rPr>
      <w:t xml:space="preserve">Module </w:t>
    </w:r>
    <w:r>
      <w:rPr>
        <w:b/>
      </w:rPr>
      <w:t>3</w:t>
    </w:r>
    <w:r w:rsidRPr="00107E15">
      <w:rPr>
        <w:b/>
      </w:rPr>
      <w:t>.</w:t>
    </w:r>
    <w:r w:rsidRPr="00107E15">
      <w:t xml:space="preserve"> Step </w:t>
    </w:r>
    <w:r>
      <w:t>3</w:t>
    </w:r>
    <w:r w:rsidRPr="00107E15">
      <w:t>.</w:t>
    </w:r>
    <w:r>
      <w:t xml:space="preserve"> Sub-step 1. </w:t>
    </w:r>
    <w:r w:rsidRPr="00107E15">
      <w:rPr>
        <w:i/>
      </w:rPr>
      <w:fldChar w:fldCharType="begin"/>
    </w:r>
    <w:r w:rsidRPr="00107E15">
      <w:rPr>
        <w:i/>
      </w:rPr>
      <w:instrText xml:space="preserve"> STYLEREF  H1 \t  \* MERGEFORMAT </w:instrText>
    </w:r>
    <w:r w:rsidRPr="00107E15">
      <w:rPr>
        <w:i/>
      </w:rPr>
      <w:fldChar w:fldCharType="separate"/>
    </w:r>
    <w:r w:rsidR="00044107" w:rsidRPr="00044107">
      <w:rPr>
        <w:bCs/>
        <w:noProof/>
      </w:rPr>
      <w:t>Geographic targeting template</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A6" w:rsidRDefault="007C6DA6" w:rsidP="00FF04EC">
      <w:pPr>
        <w:spacing w:after="0"/>
      </w:pPr>
      <w:r>
        <w:separator/>
      </w:r>
    </w:p>
  </w:footnote>
  <w:footnote w:type="continuationSeparator" w:id="0">
    <w:p w:rsidR="007C6DA6" w:rsidRDefault="007C6DA6" w:rsidP="00FF04EC">
      <w:pPr>
        <w:spacing w:after="0"/>
      </w:pPr>
      <w:r>
        <w:continuationSeparator/>
      </w:r>
    </w:p>
  </w:footnote>
  <w:footnote w:id="1">
    <w:p w:rsidR="0074132D" w:rsidRPr="00C13C48" w:rsidRDefault="0074132D" w:rsidP="00C13C48">
      <w:pPr>
        <w:pStyle w:val="FootnoteText"/>
        <w:rPr>
          <w:szCs w:val="16"/>
        </w:rPr>
      </w:pPr>
      <w:r w:rsidRPr="009139AB">
        <w:rPr>
          <w:rStyle w:val="FootnoteReference"/>
          <w:szCs w:val="16"/>
        </w:rPr>
        <w:footnoteRef/>
      </w:r>
      <w:r w:rsidRPr="00C13C48">
        <w:rPr>
          <w:szCs w:val="16"/>
        </w:rPr>
        <w:t xml:space="preserve"> Rank the lowest local capacity to respond as 1</w:t>
      </w:r>
    </w:p>
  </w:footnote>
  <w:footnote w:id="2">
    <w:p w:rsidR="0074132D" w:rsidRPr="009139AB" w:rsidRDefault="0074132D" w:rsidP="00C13C48">
      <w:pPr>
        <w:pStyle w:val="FootnoteText"/>
        <w:rPr>
          <w:i/>
          <w:szCs w:val="16"/>
        </w:rPr>
      </w:pPr>
      <w:r w:rsidRPr="009139AB">
        <w:rPr>
          <w:rStyle w:val="FootnoteReference"/>
          <w:i/>
          <w:szCs w:val="16"/>
        </w:rPr>
        <w:footnoteRef/>
      </w:r>
      <w:r w:rsidRPr="009139AB">
        <w:rPr>
          <w:i/>
          <w:szCs w:val="16"/>
        </w:rPr>
        <w:t xml:space="preserve"> Rank the highest agency capacity as 1</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FF" w:rsidRPr="00074036" w:rsidRDefault="001D22FF"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F655A"/>
    <w:multiLevelType w:val="hybridMultilevel"/>
    <w:tmpl w:val="E9DAD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5575CA0"/>
    <w:multiLevelType w:val="hybridMultilevel"/>
    <w:tmpl w:val="6D96B6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4ED518DF"/>
    <w:multiLevelType w:val="hybridMultilevel"/>
    <w:tmpl w:val="91C0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615D0840"/>
    <w:multiLevelType w:val="hybridMultilevel"/>
    <w:tmpl w:val="83F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D13543"/>
    <w:multiLevelType w:val="hybridMultilevel"/>
    <w:tmpl w:val="051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450ED"/>
    <w:multiLevelType w:val="hybridMultilevel"/>
    <w:tmpl w:val="24D8C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2"/>
  </w:num>
  <w:num w:numId="5">
    <w:abstractNumId w:val="8"/>
  </w:num>
  <w:num w:numId="6">
    <w:abstractNumId w:val="4"/>
  </w:num>
  <w:num w:numId="7">
    <w:abstractNumId w:val="0"/>
  </w:num>
  <w:num w:numId="8">
    <w:abstractNumId w:val="5"/>
  </w:num>
  <w:num w:numId="9">
    <w:abstractNumId w:val="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35"/>
    <w:rsid w:val="00030314"/>
    <w:rsid w:val="000336A0"/>
    <w:rsid w:val="00044107"/>
    <w:rsid w:val="00067098"/>
    <w:rsid w:val="001453D8"/>
    <w:rsid w:val="001923FE"/>
    <w:rsid w:val="001D22FF"/>
    <w:rsid w:val="001F5E2E"/>
    <w:rsid w:val="00200119"/>
    <w:rsid w:val="00213DC9"/>
    <w:rsid w:val="00261FE9"/>
    <w:rsid w:val="0028732B"/>
    <w:rsid w:val="002A3740"/>
    <w:rsid w:val="002B0B56"/>
    <w:rsid w:val="00311BDB"/>
    <w:rsid w:val="003473A0"/>
    <w:rsid w:val="003929E2"/>
    <w:rsid w:val="00396352"/>
    <w:rsid w:val="00397578"/>
    <w:rsid w:val="003A5884"/>
    <w:rsid w:val="003B2FD0"/>
    <w:rsid w:val="003D0338"/>
    <w:rsid w:val="003D40FB"/>
    <w:rsid w:val="0047485B"/>
    <w:rsid w:val="004751A1"/>
    <w:rsid w:val="00481A34"/>
    <w:rsid w:val="00494A02"/>
    <w:rsid w:val="004A77F2"/>
    <w:rsid w:val="004A7B53"/>
    <w:rsid w:val="00506206"/>
    <w:rsid w:val="006F40CC"/>
    <w:rsid w:val="0071018D"/>
    <w:rsid w:val="007254BA"/>
    <w:rsid w:val="0073031C"/>
    <w:rsid w:val="0074132D"/>
    <w:rsid w:val="0075206E"/>
    <w:rsid w:val="00761EFA"/>
    <w:rsid w:val="00772F29"/>
    <w:rsid w:val="007C6DA6"/>
    <w:rsid w:val="007F1E4E"/>
    <w:rsid w:val="00814394"/>
    <w:rsid w:val="00857B4D"/>
    <w:rsid w:val="008C6F6D"/>
    <w:rsid w:val="008E18F9"/>
    <w:rsid w:val="009139AB"/>
    <w:rsid w:val="00961549"/>
    <w:rsid w:val="009A5B82"/>
    <w:rsid w:val="009A7BA1"/>
    <w:rsid w:val="009B6A5E"/>
    <w:rsid w:val="009D0A13"/>
    <w:rsid w:val="00A158CA"/>
    <w:rsid w:val="00A92683"/>
    <w:rsid w:val="00AD3E13"/>
    <w:rsid w:val="00BF4191"/>
    <w:rsid w:val="00BF4E8F"/>
    <w:rsid w:val="00C13C48"/>
    <w:rsid w:val="00C544A6"/>
    <w:rsid w:val="00CC2D79"/>
    <w:rsid w:val="00CD3CD2"/>
    <w:rsid w:val="00DB6932"/>
    <w:rsid w:val="00DC0D69"/>
    <w:rsid w:val="00DD6C42"/>
    <w:rsid w:val="00DF235B"/>
    <w:rsid w:val="00E034CE"/>
    <w:rsid w:val="00E74F02"/>
    <w:rsid w:val="00E95EEC"/>
    <w:rsid w:val="00EB3A06"/>
    <w:rsid w:val="00ED237F"/>
    <w:rsid w:val="00F01D35"/>
    <w:rsid w:val="00F0423F"/>
    <w:rsid w:val="00F06EFA"/>
    <w:rsid w:val="00FB729F"/>
    <w:rsid w:val="00FC5411"/>
    <w:rsid w:val="00FD7068"/>
    <w:rsid w:val="00FF04E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07"/>
    <w:pPr>
      <w:spacing w:after="120"/>
      <w:jc w:val="both"/>
    </w:pPr>
    <w:rPr>
      <w:rFonts w:ascii="Arial" w:hAnsi="Arial" w:cs="Times New Roman"/>
    </w:rPr>
  </w:style>
  <w:style w:type="paragraph" w:styleId="Heading1">
    <w:name w:val="heading 1"/>
    <w:basedOn w:val="H1"/>
    <w:next w:val="Normal"/>
    <w:link w:val="Heading1Char"/>
    <w:uiPriority w:val="9"/>
    <w:rsid w:val="00044107"/>
  </w:style>
  <w:style w:type="paragraph" w:styleId="Heading2">
    <w:name w:val="heading 2"/>
    <w:basedOn w:val="Normal"/>
    <w:next w:val="Normal"/>
    <w:link w:val="Heading2Char"/>
    <w:uiPriority w:val="9"/>
    <w:unhideWhenUsed/>
    <w:qFormat/>
    <w:rsid w:val="0004410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44107"/>
    <w:pPr>
      <w:keepNext/>
      <w:spacing w:before="240"/>
      <w:jc w:val="left"/>
      <w:outlineLvl w:val="2"/>
    </w:pPr>
    <w:rPr>
      <w:b/>
      <w:sz w:val="22"/>
      <w:szCs w:val="24"/>
    </w:rPr>
  </w:style>
  <w:style w:type="character" w:default="1" w:styleId="DefaultParagraphFont">
    <w:name w:val="Default Paragraph Font"/>
    <w:uiPriority w:val="1"/>
    <w:semiHidden/>
    <w:unhideWhenUsed/>
    <w:rsid w:val="000441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4107"/>
  </w:style>
  <w:style w:type="table" w:styleId="TableGrid">
    <w:name w:val="Table Grid"/>
    <w:basedOn w:val="TableNormal"/>
    <w:uiPriority w:val="59"/>
    <w:rsid w:val="00044107"/>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1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07"/>
    <w:rPr>
      <w:rFonts w:ascii="Lucida Grande" w:hAnsi="Lucida Grande" w:cs="Lucida Grande"/>
      <w:sz w:val="18"/>
      <w:szCs w:val="18"/>
    </w:rPr>
  </w:style>
  <w:style w:type="paragraph" w:styleId="ListParagraph">
    <w:name w:val="List Paragraph"/>
    <w:basedOn w:val="Normal"/>
    <w:link w:val="ListParagraphChar"/>
    <w:uiPriority w:val="34"/>
    <w:qFormat/>
    <w:rsid w:val="00044107"/>
    <w:pPr>
      <w:spacing w:after="240"/>
      <w:ind w:left="720"/>
      <w:contextualSpacing/>
    </w:pPr>
    <w:rPr>
      <w:rFonts w:eastAsiaTheme="minorHAnsi" w:cstheme="minorBidi"/>
      <w:szCs w:val="22"/>
    </w:rPr>
  </w:style>
  <w:style w:type="character" w:styleId="Hyperlink">
    <w:name w:val="Hyperlink"/>
    <w:basedOn w:val="DefaultParagraphFont"/>
    <w:uiPriority w:val="99"/>
    <w:unhideWhenUsed/>
    <w:rsid w:val="00044107"/>
    <w:rPr>
      <w:color w:val="0000FF" w:themeColor="hyperlink"/>
      <w:u w:val="single"/>
    </w:rPr>
  </w:style>
  <w:style w:type="paragraph" w:styleId="Header">
    <w:name w:val="header"/>
    <w:basedOn w:val="Normal"/>
    <w:link w:val="HeaderChar"/>
    <w:uiPriority w:val="99"/>
    <w:unhideWhenUsed/>
    <w:rsid w:val="00044107"/>
    <w:pPr>
      <w:spacing w:after="0" w:line="288" w:lineRule="auto"/>
      <w:jc w:val="left"/>
    </w:pPr>
    <w:rPr>
      <w:sz w:val="16"/>
    </w:rPr>
  </w:style>
  <w:style w:type="character" w:customStyle="1" w:styleId="HeaderChar">
    <w:name w:val="Header Char"/>
    <w:basedOn w:val="DefaultParagraphFont"/>
    <w:link w:val="Header"/>
    <w:uiPriority w:val="99"/>
    <w:rsid w:val="00044107"/>
    <w:rPr>
      <w:rFonts w:ascii="Arial" w:hAnsi="Arial" w:cs="Times New Roman"/>
      <w:sz w:val="16"/>
    </w:rPr>
  </w:style>
  <w:style w:type="paragraph" w:styleId="Footer">
    <w:name w:val="footer"/>
    <w:basedOn w:val="Normal"/>
    <w:link w:val="FooterChar"/>
    <w:uiPriority w:val="99"/>
    <w:unhideWhenUsed/>
    <w:rsid w:val="00044107"/>
    <w:pPr>
      <w:spacing w:after="0"/>
      <w:jc w:val="left"/>
    </w:pPr>
    <w:rPr>
      <w:sz w:val="16"/>
      <w:szCs w:val="18"/>
    </w:rPr>
  </w:style>
  <w:style w:type="character" w:customStyle="1" w:styleId="FooterChar">
    <w:name w:val="Footer Char"/>
    <w:basedOn w:val="DefaultParagraphFont"/>
    <w:link w:val="Footer"/>
    <w:uiPriority w:val="99"/>
    <w:rsid w:val="00044107"/>
    <w:rPr>
      <w:rFonts w:ascii="Arial" w:hAnsi="Arial" w:cs="Times New Roman"/>
      <w:sz w:val="16"/>
      <w:szCs w:val="18"/>
    </w:rPr>
  </w:style>
  <w:style w:type="character" w:styleId="PageNumber">
    <w:name w:val="page number"/>
    <w:basedOn w:val="DefaultParagraphFont"/>
    <w:uiPriority w:val="99"/>
    <w:unhideWhenUsed/>
    <w:rsid w:val="00044107"/>
    <w:rPr>
      <w:b/>
    </w:rPr>
  </w:style>
  <w:style w:type="paragraph" w:styleId="FootnoteText">
    <w:name w:val="footnote text"/>
    <w:basedOn w:val="Normal"/>
    <w:link w:val="FootnoteTextChar"/>
    <w:uiPriority w:val="99"/>
    <w:unhideWhenUsed/>
    <w:rsid w:val="00044107"/>
    <w:pPr>
      <w:spacing w:after="0"/>
    </w:pPr>
    <w:rPr>
      <w:sz w:val="16"/>
      <w:szCs w:val="22"/>
    </w:rPr>
  </w:style>
  <w:style w:type="character" w:customStyle="1" w:styleId="FootnoteTextChar">
    <w:name w:val="Footnote Text Char"/>
    <w:basedOn w:val="DefaultParagraphFont"/>
    <w:link w:val="FootnoteText"/>
    <w:uiPriority w:val="99"/>
    <w:rsid w:val="00044107"/>
    <w:rPr>
      <w:rFonts w:ascii="Arial" w:hAnsi="Arial" w:cs="Times New Roman"/>
      <w:sz w:val="16"/>
      <w:szCs w:val="22"/>
    </w:rPr>
  </w:style>
  <w:style w:type="character" w:styleId="FootnoteReference">
    <w:name w:val="footnote reference"/>
    <w:basedOn w:val="DefaultParagraphFont"/>
    <w:uiPriority w:val="99"/>
    <w:unhideWhenUsed/>
    <w:rsid w:val="00044107"/>
    <w:rPr>
      <w:vertAlign w:val="superscript"/>
    </w:rPr>
  </w:style>
  <w:style w:type="character" w:customStyle="1" w:styleId="ListParagraphChar">
    <w:name w:val="List Paragraph Char"/>
    <w:basedOn w:val="DefaultParagraphFont"/>
    <w:link w:val="ListParagraph"/>
    <w:uiPriority w:val="34"/>
    <w:rsid w:val="00044107"/>
    <w:rPr>
      <w:rFonts w:ascii="Arial" w:eastAsiaTheme="minorHAnsi" w:hAnsi="Arial" w:cstheme="minorBidi"/>
      <w:szCs w:val="22"/>
    </w:rPr>
  </w:style>
  <w:style w:type="character" w:customStyle="1" w:styleId="Heading1Char">
    <w:name w:val="Heading 1 Char"/>
    <w:basedOn w:val="DefaultParagraphFont"/>
    <w:link w:val="Heading1"/>
    <w:uiPriority w:val="9"/>
    <w:rsid w:val="00044107"/>
    <w:rPr>
      <w:rFonts w:ascii="Arial" w:hAnsi="Arial" w:cs="Times New Roman"/>
      <w:b/>
      <w:sz w:val="40"/>
      <w:szCs w:val="52"/>
    </w:rPr>
  </w:style>
  <w:style w:type="character" w:customStyle="1" w:styleId="Heading2Char">
    <w:name w:val="Heading 2 Char"/>
    <w:basedOn w:val="DefaultParagraphFont"/>
    <w:link w:val="Heading2"/>
    <w:uiPriority w:val="9"/>
    <w:rsid w:val="00044107"/>
    <w:rPr>
      <w:rFonts w:ascii="Arial" w:hAnsi="Arial" w:cs="Times New Roman"/>
      <w:b/>
      <w:caps/>
      <w:sz w:val="24"/>
      <w:szCs w:val="26"/>
    </w:rPr>
  </w:style>
  <w:style w:type="character" w:customStyle="1" w:styleId="Heading3Char">
    <w:name w:val="Heading 3 Char"/>
    <w:basedOn w:val="DefaultParagraphFont"/>
    <w:link w:val="Heading3"/>
    <w:uiPriority w:val="9"/>
    <w:rsid w:val="00044107"/>
    <w:rPr>
      <w:rFonts w:ascii="Arial" w:hAnsi="Arial" w:cs="Times New Roman"/>
      <w:b/>
      <w:sz w:val="22"/>
      <w:szCs w:val="24"/>
    </w:rPr>
  </w:style>
  <w:style w:type="paragraph" w:customStyle="1" w:styleId="Default">
    <w:name w:val="Default"/>
    <w:rsid w:val="00044107"/>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44107"/>
    <w:rPr>
      <w:sz w:val="18"/>
      <w:szCs w:val="18"/>
    </w:rPr>
  </w:style>
  <w:style w:type="paragraph" w:styleId="CommentText">
    <w:name w:val="annotation text"/>
    <w:basedOn w:val="Normal"/>
    <w:link w:val="CommentTextChar"/>
    <w:uiPriority w:val="99"/>
    <w:semiHidden/>
    <w:unhideWhenUsed/>
    <w:rsid w:val="001D22FF"/>
  </w:style>
  <w:style w:type="character" w:customStyle="1" w:styleId="CommentTextChar">
    <w:name w:val="Comment Text Char"/>
    <w:basedOn w:val="DefaultParagraphFont"/>
    <w:link w:val="CommentText"/>
    <w:uiPriority w:val="99"/>
    <w:semiHidden/>
    <w:rsid w:val="001D22FF"/>
    <w:rPr>
      <w:rFonts w:ascii="Arial" w:hAnsi="Arial" w:cs="Times New Roman"/>
    </w:rPr>
  </w:style>
  <w:style w:type="paragraph" w:styleId="CommentSubject">
    <w:name w:val="annotation subject"/>
    <w:basedOn w:val="Normal"/>
    <w:link w:val="CommentSubjectChar"/>
    <w:uiPriority w:val="99"/>
    <w:semiHidden/>
    <w:unhideWhenUsed/>
    <w:rsid w:val="00044107"/>
    <w:rPr>
      <w:b/>
      <w:bCs/>
    </w:rPr>
  </w:style>
  <w:style w:type="character" w:customStyle="1" w:styleId="CommentSubjectChar">
    <w:name w:val="Comment Subject Char"/>
    <w:basedOn w:val="DefaultParagraphFont"/>
    <w:link w:val="CommentSubject"/>
    <w:uiPriority w:val="99"/>
    <w:semiHidden/>
    <w:rsid w:val="00044107"/>
    <w:rPr>
      <w:rFonts w:ascii="Arial" w:hAnsi="Arial" w:cs="Times New Roman"/>
      <w:b/>
      <w:bCs/>
    </w:rPr>
  </w:style>
  <w:style w:type="character" w:styleId="FollowedHyperlink">
    <w:name w:val="FollowedHyperlink"/>
    <w:basedOn w:val="DefaultParagraphFont"/>
    <w:uiPriority w:val="99"/>
    <w:semiHidden/>
    <w:unhideWhenUsed/>
    <w:rsid w:val="00044107"/>
    <w:rPr>
      <w:color w:val="800080" w:themeColor="followedHyperlink"/>
      <w:u w:val="single"/>
    </w:rPr>
  </w:style>
  <w:style w:type="paragraph" w:styleId="Revision">
    <w:name w:val="Revision"/>
    <w:hidden/>
    <w:uiPriority w:val="99"/>
    <w:semiHidden/>
    <w:rsid w:val="00044107"/>
    <w:rPr>
      <w:rFonts w:ascii="Arial" w:hAnsi="Arial" w:cs="Arial"/>
      <w:sz w:val="21"/>
      <w:szCs w:val="21"/>
    </w:rPr>
  </w:style>
  <w:style w:type="paragraph" w:customStyle="1" w:styleId="BasicParagraph">
    <w:name w:val="[Basic Paragraph]"/>
    <w:basedOn w:val="Normal"/>
    <w:uiPriority w:val="99"/>
    <w:rsid w:val="0004410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44107"/>
    <w:pPr>
      <w:spacing w:before="360" w:after="240"/>
      <w:jc w:val="left"/>
      <w:outlineLvl w:val="0"/>
    </w:pPr>
    <w:rPr>
      <w:b/>
      <w:sz w:val="40"/>
      <w:szCs w:val="52"/>
    </w:rPr>
  </w:style>
  <w:style w:type="paragraph" w:customStyle="1" w:styleId="Bullet1">
    <w:name w:val="Bullet 1"/>
    <w:basedOn w:val="Normal"/>
    <w:rsid w:val="00044107"/>
    <w:pPr>
      <w:numPr>
        <w:numId w:val="9"/>
      </w:numPr>
      <w:spacing w:before="60"/>
    </w:pPr>
    <w:rPr>
      <w:rFonts w:eastAsia="Times New Roman"/>
      <w:color w:val="000000"/>
    </w:rPr>
  </w:style>
  <w:style w:type="paragraph" w:customStyle="1" w:styleId="RefItem1">
    <w:name w:val="Ref Item 1"/>
    <w:basedOn w:val="Normal"/>
    <w:rsid w:val="00044107"/>
    <w:pPr>
      <w:jc w:val="left"/>
    </w:pPr>
    <w:rPr>
      <w:color w:val="000000"/>
      <w:szCs w:val="24"/>
      <w:lang w:eastAsia="it-IT"/>
    </w:rPr>
  </w:style>
  <w:style w:type="paragraph" w:customStyle="1" w:styleId="RefTitre">
    <w:name w:val="Ref Titre"/>
    <w:basedOn w:val="Normal"/>
    <w:rsid w:val="00044107"/>
    <w:pPr>
      <w:jc w:val="left"/>
    </w:pPr>
    <w:rPr>
      <w:rFonts w:eastAsia="Times New Roman"/>
      <w:b/>
      <w:bCs/>
      <w:sz w:val="26"/>
      <w:szCs w:val="26"/>
    </w:rPr>
  </w:style>
  <w:style w:type="paragraph" w:customStyle="1" w:styleId="Header1">
    <w:name w:val="Header 1"/>
    <w:basedOn w:val="Header"/>
    <w:rsid w:val="00044107"/>
    <w:rPr>
      <w:b/>
      <w:sz w:val="24"/>
      <w:szCs w:val="24"/>
    </w:rPr>
  </w:style>
  <w:style w:type="character" w:customStyle="1" w:styleId="Pantone485">
    <w:name w:val="Pantone 485"/>
    <w:basedOn w:val="DefaultParagraphFont"/>
    <w:uiPriority w:val="1"/>
    <w:qFormat/>
    <w:rsid w:val="00044107"/>
    <w:rPr>
      <w:rFonts w:cs="Caecilia-Light"/>
      <w:color w:val="DC281E"/>
      <w:szCs w:val="16"/>
    </w:rPr>
  </w:style>
  <w:style w:type="character" w:customStyle="1" w:styleId="H1Char">
    <w:name w:val="H1 Char"/>
    <w:basedOn w:val="DefaultParagraphFont"/>
    <w:link w:val="H1"/>
    <w:rsid w:val="00044107"/>
    <w:rPr>
      <w:rFonts w:ascii="Arial" w:hAnsi="Arial" w:cs="Times New Roman"/>
      <w:b/>
      <w:sz w:val="40"/>
      <w:szCs w:val="52"/>
    </w:rPr>
  </w:style>
  <w:style w:type="table" w:customStyle="1" w:styleId="TableGray">
    <w:name w:val="Table Gray"/>
    <w:basedOn w:val="TableNormal"/>
    <w:uiPriority w:val="99"/>
    <w:rsid w:val="00044107"/>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44107"/>
    <w:pPr>
      <w:numPr>
        <w:numId w:val="10"/>
      </w:numPr>
      <w:tabs>
        <w:tab w:val="left" w:pos="7230"/>
      </w:tabs>
      <w:spacing w:before="120" w:after="120"/>
      <w:contextualSpacing w:val="0"/>
    </w:pPr>
    <w:rPr>
      <w:rFonts w:cs="Arial"/>
    </w:rPr>
  </w:style>
  <w:style w:type="paragraph" w:customStyle="1" w:styleId="ListNumber1">
    <w:name w:val="List Number 1"/>
    <w:basedOn w:val="Normal"/>
    <w:rsid w:val="00044107"/>
    <w:pPr>
      <w:numPr>
        <w:ilvl w:val="1"/>
        <w:numId w:val="7"/>
      </w:numPr>
      <w:contextualSpacing/>
    </w:pPr>
    <w:rPr>
      <w:rFonts w:eastAsiaTheme="minorHAnsi" w:cstheme="minorHAnsi"/>
      <w:szCs w:val="22"/>
    </w:rPr>
  </w:style>
  <w:style w:type="paragraph" w:customStyle="1" w:styleId="NormalNo">
    <w:name w:val="Normal + No"/>
    <w:basedOn w:val="Normal"/>
    <w:qFormat/>
    <w:rsid w:val="00044107"/>
    <w:pPr>
      <w:numPr>
        <w:numId w:val="8"/>
      </w:numPr>
    </w:pPr>
    <w:rPr>
      <w:rFonts w:eastAsia="MS Mincho"/>
      <w:b/>
      <w:sz w:val="22"/>
    </w:rPr>
  </w:style>
  <w:style w:type="paragraph" w:customStyle="1" w:styleId="Bullet3">
    <w:name w:val="Bullet 3"/>
    <w:basedOn w:val="ListParagraph"/>
    <w:qFormat/>
    <w:rsid w:val="00044107"/>
    <w:pPr>
      <w:numPr>
        <w:numId w:val="11"/>
      </w:numPr>
      <w:spacing w:before="120" w:after="120"/>
      <w:ind w:right="425"/>
    </w:pPr>
    <w:rPr>
      <w:rFonts w:cs="Arial"/>
      <w:i/>
      <w:iCs/>
    </w:rPr>
  </w:style>
  <w:style w:type="paragraph" w:customStyle="1" w:styleId="Indent">
    <w:name w:val="Indent"/>
    <w:basedOn w:val="Normal"/>
    <w:qFormat/>
    <w:rsid w:val="00044107"/>
    <w:pPr>
      <w:ind w:left="567"/>
    </w:pPr>
    <w:rPr>
      <w:rFonts w:cs="Arial"/>
      <w:b/>
    </w:rPr>
  </w:style>
  <w:style w:type="paragraph" w:customStyle="1" w:styleId="TitreTableau">
    <w:name w:val="Titre Tableau"/>
    <w:basedOn w:val="Normal"/>
    <w:qFormat/>
    <w:rsid w:val="00044107"/>
    <w:pPr>
      <w:spacing w:before="120"/>
      <w:jc w:val="center"/>
    </w:pPr>
    <w:rPr>
      <w:rFonts w:cs="Arial"/>
      <w:b/>
      <w:bCs/>
      <w:color w:val="FFFFFF" w:themeColor="background1"/>
      <w:lang w:val="en-CA"/>
    </w:rPr>
  </w:style>
  <w:style w:type="paragraph" w:customStyle="1" w:styleId="BulletTableau">
    <w:name w:val="Bullet Tableau"/>
    <w:basedOn w:val="Bullet2"/>
    <w:qFormat/>
    <w:rsid w:val="00044107"/>
    <w:pPr>
      <w:keepNext/>
      <w:keepLines/>
      <w:framePr w:hSpace="141" w:wrap="around" w:vAnchor="text" w:hAnchor="margin" w:y="402"/>
      <w:numPr>
        <w:numId w:val="12"/>
      </w:numPr>
      <w:spacing w:beforeLines="60" w:before="60" w:afterLines="20" w:after="20"/>
    </w:pPr>
  </w:style>
  <w:style w:type="paragraph" w:customStyle="1" w:styleId="NormalItalic">
    <w:name w:val="Normal Italic"/>
    <w:basedOn w:val="Normal"/>
    <w:qFormat/>
    <w:rsid w:val="009D0A13"/>
    <w:pPr>
      <w:keepNext/>
      <w:keepLines/>
      <w:spacing w:before="240" w:after="240"/>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07"/>
    <w:pPr>
      <w:spacing w:after="120"/>
      <w:jc w:val="both"/>
    </w:pPr>
    <w:rPr>
      <w:rFonts w:ascii="Arial" w:hAnsi="Arial" w:cs="Times New Roman"/>
    </w:rPr>
  </w:style>
  <w:style w:type="paragraph" w:styleId="Heading1">
    <w:name w:val="heading 1"/>
    <w:basedOn w:val="H1"/>
    <w:next w:val="Normal"/>
    <w:link w:val="Heading1Char"/>
    <w:uiPriority w:val="9"/>
    <w:rsid w:val="00044107"/>
  </w:style>
  <w:style w:type="paragraph" w:styleId="Heading2">
    <w:name w:val="heading 2"/>
    <w:basedOn w:val="Normal"/>
    <w:next w:val="Normal"/>
    <w:link w:val="Heading2Char"/>
    <w:uiPriority w:val="9"/>
    <w:unhideWhenUsed/>
    <w:qFormat/>
    <w:rsid w:val="0004410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44107"/>
    <w:pPr>
      <w:keepNext/>
      <w:spacing w:before="240"/>
      <w:jc w:val="left"/>
      <w:outlineLvl w:val="2"/>
    </w:pPr>
    <w:rPr>
      <w:b/>
      <w:sz w:val="22"/>
      <w:szCs w:val="24"/>
    </w:rPr>
  </w:style>
  <w:style w:type="character" w:default="1" w:styleId="DefaultParagraphFont">
    <w:name w:val="Default Paragraph Font"/>
    <w:uiPriority w:val="1"/>
    <w:semiHidden/>
    <w:unhideWhenUsed/>
    <w:rsid w:val="000441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4107"/>
  </w:style>
  <w:style w:type="table" w:styleId="TableGrid">
    <w:name w:val="Table Grid"/>
    <w:basedOn w:val="TableNormal"/>
    <w:uiPriority w:val="59"/>
    <w:rsid w:val="00044107"/>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1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07"/>
    <w:rPr>
      <w:rFonts w:ascii="Lucida Grande" w:hAnsi="Lucida Grande" w:cs="Lucida Grande"/>
      <w:sz w:val="18"/>
      <w:szCs w:val="18"/>
    </w:rPr>
  </w:style>
  <w:style w:type="paragraph" w:styleId="ListParagraph">
    <w:name w:val="List Paragraph"/>
    <w:basedOn w:val="Normal"/>
    <w:link w:val="ListParagraphChar"/>
    <w:uiPriority w:val="34"/>
    <w:qFormat/>
    <w:rsid w:val="00044107"/>
    <w:pPr>
      <w:spacing w:after="240"/>
      <w:ind w:left="720"/>
      <w:contextualSpacing/>
    </w:pPr>
    <w:rPr>
      <w:rFonts w:eastAsiaTheme="minorHAnsi" w:cstheme="minorBidi"/>
      <w:szCs w:val="22"/>
    </w:rPr>
  </w:style>
  <w:style w:type="character" w:styleId="Hyperlink">
    <w:name w:val="Hyperlink"/>
    <w:basedOn w:val="DefaultParagraphFont"/>
    <w:uiPriority w:val="99"/>
    <w:unhideWhenUsed/>
    <w:rsid w:val="00044107"/>
    <w:rPr>
      <w:color w:val="0000FF" w:themeColor="hyperlink"/>
      <w:u w:val="single"/>
    </w:rPr>
  </w:style>
  <w:style w:type="paragraph" w:styleId="Header">
    <w:name w:val="header"/>
    <w:basedOn w:val="Normal"/>
    <w:link w:val="HeaderChar"/>
    <w:uiPriority w:val="99"/>
    <w:unhideWhenUsed/>
    <w:rsid w:val="00044107"/>
    <w:pPr>
      <w:spacing w:after="0" w:line="288" w:lineRule="auto"/>
      <w:jc w:val="left"/>
    </w:pPr>
    <w:rPr>
      <w:sz w:val="16"/>
    </w:rPr>
  </w:style>
  <w:style w:type="character" w:customStyle="1" w:styleId="HeaderChar">
    <w:name w:val="Header Char"/>
    <w:basedOn w:val="DefaultParagraphFont"/>
    <w:link w:val="Header"/>
    <w:uiPriority w:val="99"/>
    <w:rsid w:val="00044107"/>
    <w:rPr>
      <w:rFonts w:ascii="Arial" w:hAnsi="Arial" w:cs="Times New Roman"/>
      <w:sz w:val="16"/>
    </w:rPr>
  </w:style>
  <w:style w:type="paragraph" w:styleId="Footer">
    <w:name w:val="footer"/>
    <w:basedOn w:val="Normal"/>
    <w:link w:val="FooterChar"/>
    <w:uiPriority w:val="99"/>
    <w:unhideWhenUsed/>
    <w:rsid w:val="00044107"/>
    <w:pPr>
      <w:spacing w:after="0"/>
      <w:jc w:val="left"/>
    </w:pPr>
    <w:rPr>
      <w:sz w:val="16"/>
      <w:szCs w:val="18"/>
    </w:rPr>
  </w:style>
  <w:style w:type="character" w:customStyle="1" w:styleId="FooterChar">
    <w:name w:val="Footer Char"/>
    <w:basedOn w:val="DefaultParagraphFont"/>
    <w:link w:val="Footer"/>
    <w:uiPriority w:val="99"/>
    <w:rsid w:val="00044107"/>
    <w:rPr>
      <w:rFonts w:ascii="Arial" w:hAnsi="Arial" w:cs="Times New Roman"/>
      <w:sz w:val="16"/>
      <w:szCs w:val="18"/>
    </w:rPr>
  </w:style>
  <w:style w:type="character" w:styleId="PageNumber">
    <w:name w:val="page number"/>
    <w:basedOn w:val="DefaultParagraphFont"/>
    <w:uiPriority w:val="99"/>
    <w:unhideWhenUsed/>
    <w:rsid w:val="00044107"/>
    <w:rPr>
      <w:b/>
    </w:rPr>
  </w:style>
  <w:style w:type="paragraph" w:styleId="FootnoteText">
    <w:name w:val="footnote text"/>
    <w:basedOn w:val="Normal"/>
    <w:link w:val="FootnoteTextChar"/>
    <w:uiPriority w:val="99"/>
    <w:unhideWhenUsed/>
    <w:rsid w:val="00044107"/>
    <w:pPr>
      <w:spacing w:after="0"/>
    </w:pPr>
    <w:rPr>
      <w:sz w:val="16"/>
      <w:szCs w:val="22"/>
    </w:rPr>
  </w:style>
  <w:style w:type="character" w:customStyle="1" w:styleId="FootnoteTextChar">
    <w:name w:val="Footnote Text Char"/>
    <w:basedOn w:val="DefaultParagraphFont"/>
    <w:link w:val="FootnoteText"/>
    <w:uiPriority w:val="99"/>
    <w:rsid w:val="00044107"/>
    <w:rPr>
      <w:rFonts w:ascii="Arial" w:hAnsi="Arial" w:cs="Times New Roman"/>
      <w:sz w:val="16"/>
      <w:szCs w:val="22"/>
    </w:rPr>
  </w:style>
  <w:style w:type="character" w:styleId="FootnoteReference">
    <w:name w:val="footnote reference"/>
    <w:basedOn w:val="DefaultParagraphFont"/>
    <w:uiPriority w:val="99"/>
    <w:unhideWhenUsed/>
    <w:rsid w:val="00044107"/>
    <w:rPr>
      <w:vertAlign w:val="superscript"/>
    </w:rPr>
  </w:style>
  <w:style w:type="character" w:customStyle="1" w:styleId="ListParagraphChar">
    <w:name w:val="List Paragraph Char"/>
    <w:basedOn w:val="DefaultParagraphFont"/>
    <w:link w:val="ListParagraph"/>
    <w:uiPriority w:val="34"/>
    <w:rsid w:val="00044107"/>
    <w:rPr>
      <w:rFonts w:ascii="Arial" w:eastAsiaTheme="minorHAnsi" w:hAnsi="Arial" w:cstheme="minorBidi"/>
      <w:szCs w:val="22"/>
    </w:rPr>
  </w:style>
  <w:style w:type="character" w:customStyle="1" w:styleId="Heading1Char">
    <w:name w:val="Heading 1 Char"/>
    <w:basedOn w:val="DefaultParagraphFont"/>
    <w:link w:val="Heading1"/>
    <w:uiPriority w:val="9"/>
    <w:rsid w:val="00044107"/>
    <w:rPr>
      <w:rFonts w:ascii="Arial" w:hAnsi="Arial" w:cs="Times New Roman"/>
      <w:b/>
      <w:sz w:val="40"/>
      <w:szCs w:val="52"/>
    </w:rPr>
  </w:style>
  <w:style w:type="character" w:customStyle="1" w:styleId="Heading2Char">
    <w:name w:val="Heading 2 Char"/>
    <w:basedOn w:val="DefaultParagraphFont"/>
    <w:link w:val="Heading2"/>
    <w:uiPriority w:val="9"/>
    <w:rsid w:val="00044107"/>
    <w:rPr>
      <w:rFonts w:ascii="Arial" w:hAnsi="Arial" w:cs="Times New Roman"/>
      <w:b/>
      <w:caps/>
      <w:sz w:val="24"/>
      <w:szCs w:val="26"/>
    </w:rPr>
  </w:style>
  <w:style w:type="character" w:customStyle="1" w:styleId="Heading3Char">
    <w:name w:val="Heading 3 Char"/>
    <w:basedOn w:val="DefaultParagraphFont"/>
    <w:link w:val="Heading3"/>
    <w:uiPriority w:val="9"/>
    <w:rsid w:val="00044107"/>
    <w:rPr>
      <w:rFonts w:ascii="Arial" w:hAnsi="Arial" w:cs="Times New Roman"/>
      <w:b/>
      <w:sz w:val="22"/>
      <w:szCs w:val="24"/>
    </w:rPr>
  </w:style>
  <w:style w:type="paragraph" w:customStyle="1" w:styleId="Default">
    <w:name w:val="Default"/>
    <w:rsid w:val="00044107"/>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44107"/>
    <w:rPr>
      <w:sz w:val="18"/>
      <w:szCs w:val="18"/>
    </w:rPr>
  </w:style>
  <w:style w:type="paragraph" w:styleId="CommentText">
    <w:name w:val="annotation text"/>
    <w:basedOn w:val="Normal"/>
    <w:link w:val="CommentTextChar"/>
    <w:uiPriority w:val="99"/>
    <w:semiHidden/>
    <w:unhideWhenUsed/>
    <w:rsid w:val="001D22FF"/>
  </w:style>
  <w:style w:type="character" w:customStyle="1" w:styleId="CommentTextChar">
    <w:name w:val="Comment Text Char"/>
    <w:basedOn w:val="DefaultParagraphFont"/>
    <w:link w:val="CommentText"/>
    <w:uiPriority w:val="99"/>
    <w:semiHidden/>
    <w:rsid w:val="001D22FF"/>
    <w:rPr>
      <w:rFonts w:ascii="Arial" w:hAnsi="Arial" w:cs="Times New Roman"/>
    </w:rPr>
  </w:style>
  <w:style w:type="paragraph" w:styleId="CommentSubject">
    <w:name w:val="annotation subject"/>
    <w:basedOn w:val="Normal"/>
    <w:link w:val="CommentSubjectChar"/>
    <w:uiPriority w:val="99"/>
    <w:semiHidden/>
    <w:unhideWhenUsed/>
    <w:rsid w:val="00044107"/>
    <w:rPr>
      <w:b/>
      <w:bCs/>
    </w:rPr>
  </w:style>
  <w:style w:type="character" w:customStyle="1" w:styleId="CommentSubjectChar">
    <w:name w:val="Comment Subject Char"/>
    <w:basedOn w:val="DefaultParagraphFont"/>
    <w:link w:val="CommentSubject"/>
    <w:uiPriority w:val="99"/>
    <w:semiHidden/>
    <w:rsid w:val="00044107"/>
    <w:rPr>
      <w:rFonts w:ascii="Arial" w:hAnsi="Arial" w:cs="Times New Roman"/>
      <w:b/>
      <w:bCs/>
    </w:rPr>
  </w:style>
  <w:style w:type="character" w:styleId="FollowedHyperlink">
    <w:name w:val="FollowedHyperlink"/>
    <w:basedOn w:val="DefaultParagraphFont"/>
    <w:uiPriority w:val="99"/>
    <w:semiHidden/>
    <w:unhideWhenUsed/>
    <w:rsid w:val="00044107"/>
    <w:rPr>
      <w:color w:val="800080" w:themeColor="followedHyperlink"/>
      <w:u w:val="single"/>
    </w:rPr>
  </w:style>
  <w:style w:type="paragraph" w:styleId="Revision">
    <w:name w:val="Revision"/>
    <w:hidden/>
    <w:uiPriority w:val="99"/>
    <w:semiHidden/>
    <w:rsid w:val="00044107"/>
    <w:rPr>
      <w:rFonts w:ascii="Arial" w:hAnsi="Arial" w:cs="Arial"/>
      <w:sz w:val="21"/>
      <w:szCs w:val="21"/>
    </w:rPr>
  </w:style>
  <w:style w:type="paragraph" w:customStyle="1" w:styleId="BasicParagraph">
    <w:name w:val="[Basic Paragraph]"/>
    <w:basedOn w:val="Normal"/>
    <w:uiPriority w:val="99"/>
    <w:rsid w:val="0004410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44107"/>
    <w:pPr>
      <w:spacing w:before="360" w:after="240"/>
      <w:jc w:val="left"/>
      <w:outlineLvl w:val="0"/>
    </w:pPr>
    <w:rPr>
      <w:b/>
      <w:sz w:val="40"/>
      <w:szCs w:val="52"/>
    </w:rPr>
  </w:style>
  <w:style w:type="paragraph" w:customStyle="1" w:styleId="Bullet1">
    <w:name w:val="Bullet 1"/>
    <w:basedOn w:val="Normal"/>
    <w:rsid w:val="00044107"/>
    <w:pPr>
      <w:numPr>
        <w:numId w:val="9"/>
      </w:numPr>
      <w:spacing w:before="60"/>
    </w:pPr>
    <w:rPr>
      <w:rFonts w:eastAsia="Times New Roman"/>
      <w:color w:val="000000"/>
    </w:rPr>
  </w:style>
  <w:style w:type="paragraph" w:customStyle="1" w:styleId="RefItem1">
    <w:name w:val="Ref Item 1"/>
    <w:basedOn w:val="Normal"/>
    <w:rsid w:val="00044107"/>
    <w:pPr>
      <w:jc w:val="left"/>
    </w:pPr>
    <w:rPr>
      <w:color w:val="000000"/>
      <w:szCs w:val="24"/>
      <w:lang w:eastAsia="it-IT"/>
    </w:rPr>
  </w:style>
  <w:style w:type="paragraph" w:customStyle="1" w:styleId="RefTitre">
    <w:name w:val="Ref Titre"/>
    <w:basedOn w:val="Normal"/>
    <w:rsid w:val="00044107"/>
    <w:pPr>
      <w:jc w:val="left"/>
    </w:pPr>
    <w:rPr>
      <w:rFonts w:eastAsia="Times New Roman"/>
      <w:b/>
      <w:bCs/>
      <w:sz w:val="26"/>
      <w:szCs w:val="26"/>
    </w:rPr>
  </w:style>
  <w:style w:type="paragraph" w:customStyle="1" w:styleId="Header1">
    <w:name w:val="Header 1"/>
    <w:basedOn w:val="Header"/>
    <w:rsid w:val="00044107"/>
    <w:rPr>
      <w:b/>
      <w:sz w:val="24"/>
      <w:szCs w:val="24"/>
    </w:rPr>
  </w:style>
  <w:style w:type="character" w:customStyle="1" w:styleId="Pantone485">
    <w:name w:val="Pantone 485"/>
    <w:basedOn w:val="DefaultParagraphFont"/>
    <w:uiPriority w:val="1"/>
    <w:qFormat/>
    <w:rsid w:val="00044107"/>
    <w:rPr>
      <w:rFonts w:cs="Caecilia-Light"/>
      <w:color w:val="DC281E"/>
      <w:szCs w:val="16"/>
    </w:rPr>
  </w:style>
  <w:style w:type="character" w:customStyle="1" w:styleId="H1Char">
    <w:name w:val="H1 Char"/>
    <w:basedOn w:val="DefaultParagraphFont"/>
    <w:link w:val="H1"/>
    <w:rsid w:val="00044107"/>
    <w:rPr>
      <w:rFonts w:ascii="Arial" w:hAnsi="Arial" w:cs="Times New Roman"/>
      <w:b/>
      <w:sz w:val="40"/>
      <w:szCs w:val="52"/>
    </w:rPr>
  </w:style>
  <w:style w:type="table" w:customStyle="1" w:styleId="TableGray">
    <w:name w:val="Table Gray"/>
    <w:basedOn w:val="TableNormal"/>
    <w:uiPriority w:val="99"/>
    <w:rsid w:val="00044107"/>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44107"/>
    <w:pPr>
      <w:numPr>
        <w:numId w:val="10"/>
      </w:numPr>
      <w:tabs>
        <w:tab w:val="left" w:pos="7230"/>
      </w:tabs>
      <w:spacing w:before="120" w:after="120"/>
      <w:contextualSpacing w:val="0"/>
    </w:pPr>
    <w:rPr>
      <w:rFonts w:cs="Arial"/>
    </w:rPr>
  </w:style>
  <w:style w:type="paragraph" w:customStyle="1" w:styleId="ListNumber1">
    <w:name w:val="List Number 1"/>
    <w:basedOn w:val="Normal"/>
    <w:rsid w:val="00044107"/>
    <w:pPr>
      <w:numPr>
        <w:ilvl w:val="1"/>
        <w:numId w:val="7"/>
      </w:numPr>
      <w:contextualSpacing/>
    </w:pPr>
    <w:rPr>
      <w:rFonts w:eastAsiaTheme="minorHAnsi" w:cstheme="minorHAnsi"/>
      <w:szCs w:val="22"/>
    </w:rPr>
  </w:style>
  <w:style w:type="paragraph" w:customStyle="1" w:styleId="NormalNo">
    <w:name w:val="Normal + No"/>
    <w:basedOn w:val="Normal"/>
    <w:qFormat/>
    <w:rsid w:val="00044107"/>
    <w:pPr>
      <w:numPr>
        <w:numId w:val="8"/>
      </w:numPr>
    </w:pPr>
    <w:rPr>
      <w:rFonts w:eastAsia="MS Mincho"/>
      <w:b/>
      <w:sz w:val="22"/>
    </w:rPr>
  </w:style>
  <w:style w:type="paragraph" w:customStyle="1" w:styleId="Bullet3">
    <w:name w:val="Bullet 3"/>
    <w:basedOn w:val="ListParagraph"/>
    <w:qFormat/>
    <w:rsid w:val="00044107"/>
    <w:pPr>
      <w:numPr>
        <w:numId w:val="11"/>
      </w:numPr>
      <w:spacing w:before="120" w:after="120"/>
      <w:ind w:right="425"/>
    </w:pPr>
    <w:rPr>
      <w:rFonts w:cs="Arial"/>
      <w:i/>
      <w:iCs/>
    </w:rPr>
  </w:style>
  <w:style w:type="paragraph" w:customStyle="1" w:styleId="Indent">
    <w:name w:val="Indent"/>
    <w:basedOn w:val="Normal"/>
    <w:qFormat/>
    <w:rsid w:val="00044107"/>
    <w:pPr>
      <w:ind w:left="567"/>
    </w:pPr>
    <w:rPr>
      <w:rFonts w:cs="Arial"/>
      <w:b/>
    </w:rPr>
  </w:style>
  <w:style w:type="paragraph" w:customStyle="1" w:styleId="TitreTableau">
    <w:name w:val="Titre Tableau"/>
    <w:basedOn w:val="Normal"/>
    <w:qFormat/>
    <w:rsid w:val="00044107"/>
    <w:pPr>
      <w:spacing w:before="120"/>
      <w:jc w:val="center"/>
    </w:pPr>
    <w:rPr>
      <w:rFonts w:cs="Arial"/>
      <w:b/>
      <w:bCs/>
      <w:color w:val="FFFFFF" w:themeColor="background1"/>
      <w:lang w:val="en-CA"/>
    </w:rPr>
  </w:style>
  <w:style w:type="paragraph" w:customStyle="1" w:styleId="BulletTableau">
    <w:name w:val="Bullet Tableau"/>
    <w:basedOn w:val="Bullet2"/>
    <w:qFormat/>
    <w:rsid w:val="00044107"/>
    <w:pPr>
      <w:keepNext/>
      <w:keepLines/>
      <w:framePr w:hSpace="141" w:wrap="around" w:vAnchor="text" w:hAnchor="margin" w:y="402"/>
      <w:numPr>
        <w:numId w:val="12"/>
      </w:numPr>
      <w:spacing w:beforeLines="60" w:before="60" w:afterLines="20" w:after="20"/>
    </w:pPr>
  </w:style>
  <w:style w:type="paragraph" w:customStyle="1" w:styleId="NormalItalic">
    <w:name w:val="Normal Italic"/>
    <w:basedOn w:val="Normal"/>
    <w:qFormat/>
    <w:rsid w:val="009D0A13"/>
    <w:pPr>
      <w:keepNext/>
      <w:keepLines/>
      <w:spacing w:before="240" w:after="24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97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info.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92</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34</cp:revision>
  <cp:lastPrinted>2015-09-29T00:01:00Z</cp:lastPrinted>
  <dcterms:created xsi:type="dcterms:W3CDTF">2015-06-02T16:38:00Z</dcterms:created>
  <dcterms:modified xsi:type="dcterms:W3CDTF">2015-10-05T01:11:00Z</dcterms:modified>
</cp:coreProperties>
</file>