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47" w:rsidRPr="0057115A" w:rsidRDefault="0057115A" w:rsidP="00A868FB">
      <w:pPr>
        <w:pStyle w:val="H1"/>
        <w:rPr>
          <w:lang w:val="es-ES"/>
        </w:rPr>
      </w:pPr>
      <w:r w:rsidRPr="0057115A">
        <w:rPr>
          <w:lang w:val="es-ES"/>
        </w:rPr>
        <w:t xml:space="preserve">Lista de verificación de requisitos de las transferencias a través de teléfonos móviles  </w:t>
      </w:r>
      <w:r>
        <w:rPr>
          <w:lang w:val="es-ES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2"/>
        <w:gridCol w:w="8"/>
        <w:gridCol w:w="6579"/>
      </w:tblGrid>
      <w:tr w:rsidR="003E2145" w:rsidRPr="00F56789" w:rsidTr="003E2145">
        <w:trPr>
          <w:trHeight w:val="461"/>
        </w:trPr>
        <w:tc>
          <w:tcPr>
            <w:tcW w:w="3052" w:type="dxa"/>
            <w:shd w:val="clear" w:color="BFBFBF" w:themeColor="background1" w:themeShade="BF" w:fill="DC281E"/>
            <w:vAlign w:val="center"/>
          </w:tcPr>
          <w:p w:rsidR="007C4704" w:rsidRPr="00F56789" w:rsidRDefault="00B920FE" w:rsidP="00B920FE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Servicio </w:t>
            </w:r>
          </w:p>
        </w:tc>
        <w:tc>
          <w:tcPr>
            <w:tcW w:w="6587" w:type="dxa"/>
            <w:gridSpan w:val="2"/>
            <w:shd w:val="clear" w:color="BFBFBF" w:themeColor="background1" w:themeShade="BF" w:fill="DC281E"/>
            <w:vAlign w:val="center"/>
          </w:tcPr>
          <w:p w:rsidR="007C4704" w:rsidRPr="00F56789" w:rsidRDefault="00B920FE" w:rsidP="00B920FE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Requisitos mínimos  </w:t>
            </w:r>
          </w:p>
        </w:tc>
      </w:tr>
      <w:tr w:rsidR="00432547" w:rsidRPr="00A6106C" w:rsidTr="00F56789">
        <w:tc>
          <w:tcPr>
            <w:tcW w:w="9639" w:type="dxa"/>
            <w:gridSpan w:val="3"/>
            <w:shd w:val="clear" w:color="auto" w:fill="A6A6A6"/>
            <w:vAlign w:val="center"/>
          </w:tcPr>
          <w:p w:rsidR="00432547" w:rsidRPr="00B920FE" w:rsidRDefault="00B920FE" w:rsidP="00A6106C">
            <w:pPr>
              <w:spacing w:before="120"/>
              <w:rPr>
                <w:rFonts w:cs="Arial"/>
                <w:lang w:val="es-ES"/>
              </w:rPr>
            </w:pPr>
            <w:r w:rsidRPr="00B920FE">
              <w:rPr>
                <w:rFonts w:cs="Arial"/>
                <w:b/>
                <w:lang w:val="es-ES"/>
              </w:rPr>
              <w:t>Características</w:t>
            </w:r>
            <w:r>
              <w:rPr>
                <w:rFonts w:cs="Arial"/>
                <w:b/>
                <w:lang w:val="es-ES"/>
              </w:rPr>
              <w:t xml:space="preserve"> </w:t>
            </w:r>
            <w:r w:rsidRPr="00B920FE">
              <w:rPr>
                <w:rFonts w:cs="Arial"/>
                <w:b/>
                <w:lang w:val="es-ES"/>
              </w:rPr>
              <w:t xml:space="preserve">de los </w:t>
            </w:r>
            <w:r>
              <w:rPr>
                <w:rFonts w:cs="Arial"/>
                <w:b/>
                <w:lang w:val="es-ES"/>
              </w:rPr>
              <w:t>p</w:t>
            </w:r>
            <w:r w:rsidRPr="00B920FE">
              <w:rPr>
                <w:rFonts w:cs="Arial"/>
                <w:b/>
                <w:lang w:val="es-ES"/>
              </w:rPr>
              <w:t>roductos de pago</w:t>
            </w:r>
            <w:r>
              <w:rPr>
                <w:rFonts w:cs="Arial"/>
                <w:b/>
                <w:lang w:val="es-ES"/>
              </w:rPr>
              <w:t xml:space="preserve">: </w:t>
            </w:r>
            <w:r w:rsidRPr="00B920FE">
              <w:rPr>
                <w:rFonts w:cs="Arial"/>
                <w:b/>
                <w:lang w:val="es-ES"/>
              </w:rPr>
              <w:t xml:space="preserve"> </w:t>
            </w:r>
            <w:r w:rsidRPr="00A6106C">
              <w:rPr>
                <w:rFonts w:cs="Arial"/>
                <w:b/>
                <w:lang w:val="es-ES"/>
              </w:rPr>
              <w:t>Corporativos</w:t>
            </w:r>
            <w:r>
              <w:rPr>
                <w:rFonts w:cs="Arial"/>
                <w:b/>
                <w:lang w:val="es-ES"/>
              </w:rPr>
              <w:t xml:space="preserve"> (ordenante) </w:t>
            </w:r>
            <w:r w:rsid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</w:tr>
      <w:tr w:rsidR="00432547" w:rsidRPr="00A6106C" w:rsidTr="00A45574">
        <w:tc>
          <w:tcPr>
            <w:tcW w:w="3052" w:type="dxa"/>
            <w:shd w:val="clear" w:color="auto" w:fill="E6E6E6"/>
            <w:vAlign w:val="center"/>
          </w:tcPr>
          <w:p w:rsidR="00432547" w:rsidRPr="00A6106C" w:rsidRDefault="004A5D39" w:rsidP="00A6106C">
            <w:pPr>
              <w:spacing w:before="120"/>
              <w:jc w:val="left"/>
              <w:rPr>
                <w:rFonts w:cs="Arial"/>
                <w:b/>
                <w:lang w:val="es-ES"/>
              </w:rPr>
            </w:pPr>
            <w:r w:rsidRPr="00A6106C">
              <w:rPr>
                <w:rFonts w:cs="Arial"/>
                <w:b/>
                <w:lang w:val="es-ES"/>
              </w:rPr>
              <w:t xml:space="preserve">Posibilidad de rastreo de las transacciones </w:t>
            </w:r>
            <w:r w:rsidR="00A6106C" w:rsidRP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A6106C" w:rsidRDefault="004A5D39" w:rsidP="00A6106C">
            <w:pPr>
              <w:spacing w:before="120"/>
              <w:jc w:val="left"/>
              <w:rPr>
                <w:rFonts w:cs="Arial"/>
                <w:lang w:val="es-ES"/>
              </w:rPr>
            </w:pPr>
            <w:r w:rsidRPr="00A6106C">
              <w:rPr>
                <w:rFonts w:cs="Arial"/>
                <w:lang w:val="es-ES"/>
              </w:rPr>
              <w:t>Detalles sobre cómo se verifican las transacciones antes del pago y cómo se informa al ordenante [</w:t>
            </w:r>
            <w:r w:rsidR="0033155F" w:rsidRPr="00A6106C">
              <w:rPr>
                <w:rFonts w:cs="Arial"/>
                <w:lang w:val="es-ES"/>
              </w:rPr>
              <w:t xml:space="preserve">la </w:t>
            </w:r>
            <w:r w:rsidRPr="00A6106C">
              <w:rPr>
                <w:rFonts w:cs="Arial"/>
                <w:lang w:val="es-ES"/>
              </w:rPr>
              <w:t xml:space="preserve">organización] una vez que se realizan los pagos  </w:t>
            </w:r>
            <w:r w:rsidR="004D5767" w:rsidRPr="00A6106C">
              <w:rPr>
                <w:rFonts w:cs="Arial"/>
                <w:color w:val="4F81BD" w:themeColor="accent1"/>
                <w:lang w:val="es-ES"/>
              </w:rPr>
              <w:br/>
            </w:r>
            <w:r w:rsidR="0033155F" w:rsidRPr="00A6106C">
              <w:rPr>
                <w:rFonts w:cs="Arial"/>
                <w:lang w:val="es-ES"/>
              </w:rPr>
              <w:t>Ejemplo</w:t>
            </w:r>
            <w:r w:rsidRPr="00A6106C">
              <w:rPr>
                <w:rFonts w:cs="Arial"/>
                <w:lang w:val="es-ES"/>
              </w:rPr>
              <w:t xml:space="preserve"> de</w:t>
            </w:r>
            <w:r w:rsidR="0033155F" w:rsidRPr="00A6106C">
              <w:rPr>
                <w:rFonts w:cs="Arial"/>
                <w:lang w:val="es-ES"/>
              </w:rPr>
              <w:t>l</w:t>
            </w:r>
            <w:r w:rsidRPr="00A6106C">
              <w:rPr>
                <w:rFonts w:cs="Arial"/>
                <w:lang w:val="es-ES"/>
              </w:rPr>
              <w:t xml:space="preserve"> extracto</w:t>
            </w:r>
            <w:r w:rsidRPr="00A6106C">
              <w:rPr>
                <w:lang w:val="es-ES"/>
              </w:rPr>
              <w:t> </w:t>
            </w:r>
            <w:r w:rsidRPr="00A6106C">
              <w:rPr>
                <w:rFonts w:cs="Arial"/>
                <w:lang w:val="es-ES"/>
              </w:rPr>
              <w:t>de</w:t>
            </w:r>
            <w:r w:rsidRPr="00A6106C">
              <w:rPr>
                <w:lang w:val="es-ES"/>
              </w:rPr>
              <w:t xml:space="preserve"> una </w:t>
            </w:r>
            <w:r w:rsidRPr="00A6106C">
              <w:rPr>
                <w:rFonts w:cs="Arial"/>
                <w:lang w:val="es-ES"/>
              </w:rPr>
              <w:t xml:space="preserve">transacción </w:t>
            </w:r>
            <w:r w:rsidR="00A6106C" w:rsidRPr="00A6106C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</w:tr>
      <w:tr w:rsidR="00432547" w:rsidRPr="00A6106C" w:rsidTr="00A45574">
        <w:tc>
          <w:tcPr>
            <w:tcW w:w="3052" w:type="dxa"/>
            <w:shd w:val="clear" w:color="auto" w:fill="E6E6E6"/>
            <w:vAlign w:val="center"/>
          </w:tcPr>
          <w:p w:rsidR="00432547" w:rsidRPr="00A6106C" w:rsidRDefault="004A5D39" w:rsidP="00A6106C">
            <w:pPr>
              <w:spacing w:before="120"/>
              <w:jc w:val="left"/>
              <w:rPr>
                <w:rFonts w:cs="Arial"/>
                <w:b/>
                <w:lang w:val="es-ES"/>
              </w:rPr>
            </w:pPr>
            <w:r w:rsidRPr="00A6106C">
              <w:rPr>
                <w:rFonts w:cs="Arial"/>
                <w:b/>
                <w:lang w:val="es-ES"/>
              </w:rPr>
              <w:t>Requisitos de registro y</w:t>
            </w:r>
            <w:r w:rsidRPr="00A6106C">
              <w:rPr>
                <w:b/>
                <w:lang w:val="es-ES"/>
              </w:rPr>
              <w:t> </w:t>
            </w:r>
            <w:r w:rsidRPr="00A6106C">
              <w:rPr>
                <w:rFonts w:cs="Arial"/>
                <w:b/>
                <w:lang w:val="es-ES"/>
              </w:rPr>
              <w:t>de</w:t>
            </w:r>
            <w:r w:rsidRPr="00A6106C">
              <w:rPr>
                <w:b/>
                <w:lang w:val="es-ES"/>
              </w:rPr>
              <w:t> la política</w:t>
            </w:r>
            <w:r w:rsidR="001E0589" w:rsidRPr="00A6106C">
              <w:rPr>
                <w:b/>
                <w:lang w:val="es-ES"/>
              </w:rPr>
              <w:t xml:space="preserve"> de</w:t>
            </w:r>
            <w:r w:rsidRPr="00A6106C">
              <w:rPr>
                <w:b/>
                <w:lang w:val="es-ES"/>
              </w:rPr>
              <w:t xml:space="preserve"> </w:t>
            </w:r>
            <w:r w:rsidRPr="00A6106C">
              <w:rPr>
                <w:rFonts w:cs="Arial"/>
                <w:b/>
                <w:lang w:val="es-ES"/>
              </w:rPr>
              <w:t>“Conozca a</w:t>
            </w:r>
            <w:r w:rsidRPr="00A6106C">
              <w:rPr>
                <w:b/>
                <w:lang w:val="es-ES"/>
              </w:rPr>
              <w:t> </w:t>
            </w:r>
            <w:r w:rsidRPr="00A6106C">
              <w:rPr>
                <w:rFonts w:cs="Arial"/>
                <w:b/>
                <w:lang w:val="es-ES"/>
              </w:rPr>
              <w:t>su</w:t>
            </w:r>
            <w:r w:rsidRPr="00A6106C">
              <w:rPr>
                <w:b/>
                <w:lang w:val="es-ES"/>
              </w:rPr>
              <w:t> </w:t>
            </w:r>
            <w:r w:rsidRPr="00A6106C">
              <w:rPr>
                <w:rFonts w:cs="Arial"/>
                <w:b/>
                <w:lang w:val="es-ES"/>
              </w:rPr>
              <w:t xml:space="preserve">cliente” </w:t>
            </w:r>
            <w:r w:rsidR="001E0589" w:rsidRPr="00A6106C">
              <w:rPr>
                <w:rFonts w:cs="Arial"/>
                <w:b/>
                <w:lang w:val="es-ES"/>
              </w:rPr>
              <w:t>(cuenta corporativa)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A6106C" w:rsidRDefault="001E0589" w:rsidP="00A6106C">
            <w:pPr>
              <w:spacing w:before="120"/>
              <w:jc w:val="left"/>
              <w:rPr>
                <w:rFonts w:cs="Arial"/>
                <w:lang w:val="es-ES"/>
              </w:rPr>
            </w:pPr>
            <w:r w:rsidRPr="00A6106C">
              <w:rPr>
                <w:rFonts w:cs="Arial"/>
                <w:lang w:val="es-ES"/>
              </w:rPr>
              <w:t>Lista de requisitos [</w:t>
            </w:r>
            <w:r w:rsidR="00530C17" w:rsidRPr="00A6106C">
              <w:rPr>
                <w:rFonts w:cs="Arial"/>
                <w:lang w:val="es-ES"/>
              </w:rPr>
              <w:t xml:space="preserve">de la </w:t>
            </w:r>
            <w:r w:rsidRPr="00A6106C">
              <w:rPr>
                <w:rFonts w:cs="Arial"/>
                <w:lang w:val="es-ES"/>
              </w:rPr>
              <w:t xml:space="preserve">organización]  para activar una cuenta en el servicio  </w:t>
            </w:r>
            <w:r w:rsidR="00A6106C" w:rsidRPr="00A6106C">
              <w:rPr>
                <w:rFonts w:cs="Arial"/>
                <w:color w:val="4F81BD" w:themeColor="accent1"/>
                <w:lang w:val="es-ES"/>
              </w:rPr>
              <w:t xml:space="preserve"> </w:t>
            </w:r>
            <w:r w:rsidR="00432547" w:rsidRPr="00A6106C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</w:tr>
      <w:tr w:rsidR="00432547" w:rsidRPr="00A6106C" w:rsidTr="00A45574">
        <w:tc>
          <w:tcPr>
            <w:tcW w:w="3052" w:type="dxa"/>
            <w:shd w:val="clear" w:color="auto" w:fill="E6E6E6"/>
            <w:vAlign w:val="center"/>
          </w:tcPr>
          <w:p w:rsidR="00432547" w:rsidRPr="00A6106C" w:rsidRDefault="001E0589" w:rsidP="00A6106C">
            <w:pPr>
              <w:spacing w:before="120"/>
              <w:jc w:val="left"/>
              <w:rPr>
                <w:rFonts w:cs="Arial"/>
                <w:b/>
                <w:lang w:val="es-ES"/>
              </w:rPr>
            </w:pPr>
            <w:r w:rsidRPr="00A6106C">
              <w:rPr>
                <w:rFonts w:cs="Arial"/>
                <w:b/>
                <w:lang w:val="es-ES"/>
              </w:rPr>
              <w:t xml:space="preserve">Descripción completa del desembolso (Proceso de pago) </w:t>
            </w:r>
            <w:r w:rsidR="00A6106C" w:rsidRP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A6106C" w:rsidRDefault="001E0589" w:rsidP="00A6106C">
            <w:pPr>
              <w:spacing w:before="120"/>
              <w:jc w:val="left"/>
              <w:rPr>
                <w:rFonts w:cs="Arial"/>
                <w:lang w:val="es-ES"/>
              </w:rPr>
            </w:pPr>
            <w:r w:rsidRPr="00A6106C">
              <w:rPr>
                <w:rFonts w:cs="Arial"/>
                <w:lang w:val="es-ES"/>
              </w:rPr>
              <w:t xml:space="preserve">Diagrama del proceso de un desembolso de fondos, incluyendo capturas de </w:t>
            </w:r>
            <w:r w:rsidR="00EA5CE4" w:rsidRPr="00A6106C">
              <w:rPr>
                <w:rFonts w:cs="Arial"/>
                <w:lang w:val="es-ES"/>
              </w:rPr>
              <w:t>pantalla.</w:t>
            </w:r>
          </w:p>
        </w:tc>
      </w:tr>
      <w:tr w:rsidR="00432547" w:rsidRPr="00A6106C" w:rsidTr="00A45574">
        <w:tc>
          <w:tcPr>
            <w:tcW w:w="3052" w:type="dxa"/>
            <w:shd w:val="clear" w:color="auto" w:fill="E6E6E6"/>
            <w:vAlign w:val="center"/>
          </w:tcPr>
          <w:p w:rsidR="00432547" w:rsidRPr="00A6106C" w:rsidRDefault="001E0589" w:rsidP="00A6106C">
            <w:pPr>
              <w:spacing w:before="120"/>
              <w:jc w:val="left"/>
              <w:rPr>
                <w:rFonts w:cs="Arial"/>
                <w:b/>
                <w:lang w:val="es-ES"/>
              </w:rPr>
            </w:pPr>
            <w:r w:rsidRPr="00A6106C">
              <w:rPr>
                <w:rFonts w:cs="Arial"/>
                <w:b/>
                <w:lang w:val="es-ES"/>
              </w:rPr>
              <w:t xml:space="preserve">Saldo de la cuenta y limitaciones </w:t>
            </w:r>
            <w:r w:rsidR="000D678D" w:rsidRPr="00A6106C">
              <w:rPr>
                <w:rFonts w:cs="Arial"/>
                <w:b/>
                <w:lang w:val="es-ES"/>
              </w:rPr>
              <w:t>a</w:t>
            </w:r>
            <w:r w:rsidRPr="00A6106C">
              <w:rPr>
                <w:rFonts w:cs="Arial"/>
                <w:b/>
                <w:lang w:val="es-ES"/>
              </w:rPr>
              <w:t xml:space="preserve">l volumen de transacciones (cuenta corporativa) </w:t>
            </w:r>
            <w:r w:rsidR="00A6106C" w:rsidRP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A6106C" w:rsidRDefault="001E0589" w:rsidP="00A6106C">
            <w:pPr>
              <w:spacing w:before="120"/>
              <w:jc w:val="left"/>
              <w:rPr>
                <w:rFonts w:cs="Arial"/>
                <w:lang w:val="es-ES"/>
              </w:rPr>
            </w:pPr>
            <w:r w:rsidRPr="00A6106C">
              <w:rPr>
                <w:rFonts w:cs="Arial"/>
                <w:lang w:val="es-ES"/>
              </w:rPr>
              <w:t>Información sobre los límites de transacción, incluido</w:t>
            </w:r>
            <w:r w:rsidR="001D5491" w:rsidRPr="00A6106C">
              <w:rPr>
                <w:rFonts w:cs="Arial"/>
                <w:lang w:val="es-ES"/>
              </w:rPr>
              <w:t xml:space="preserve"> el límite </w:t>
            </w:r>
            <w:r w:rsidRPr="00A6106C">
              <w:rPr>
                <w:rFonts w:cs="Arial"/>
                <w:lang w:val="es-ES"/>
              </w:rPr>
              <w:t xml:space="preserve">del </w:t>
            </w:r>
            <w:r w:rsidR="000D678D" w:rsidRPr="00A6106C">
              <w:rPr>
                <w:rFonts w:cs="Arial"/>
                <w:b/>
                <w:i/>
                <w:lang w:val="es-ES"/>
              </w:rPr>
              <w:t>importe</w:t>
            </w:r>
            <w:r w:rsidRPr="00A6106C">
              <w:rPr>
                <w:rFonts w:cs="Arial"/>
                <w:lang w:val="es-ES"/>
              </w:rPr>
              <w:t xml:space="preserve"> de los pagos </w:t>
            </w:r>
            <w:r w:rsidR="00530C17" w:rsidRPr="00A6106C">
              <w:rPr>
                <w:rFonts w:cs="Arial"/>
                <w:lang w:val="es-ES"/>
              </w:rPr>
              <w:t xml:space="preserve">que </w:t>
            </w:r>
            <w:r w:rsidRPr="00A6106C">
              <w:rPr>
                <w:rFonts w:cs="Arial"/>
                <w:lang w:val="es-ES"/>
              </w:rPr>
              <w:t>[</w:t>
            </w:r>
            <w:r w:rsidR="00530C17" w:rsidRPr="00A6106C">
              <w:rPr>
                <w:rFonts w:cs="Arial"/>
                <w:lang w:val="es-ES"/>
              </w:rPr>
              <w:t xml:space="preserve">la </w:t>
            </w:r>
            <w:r w:rsidRPr="00A6106C">
              <w:rPr>
                <w:rFonts w:cs="Arial"/>
                <w:lang w:val="es-ES"/>
              </w:rPr>
              <w:t xml:space="preserve">organización] </w:t>
            </w:r>
            <w:r w:rsidR="000D678D" w:rsidRPr="00A6106C">
              <w:rPr>
                <w:rFonts w:cs="Arial"/>
                <w:lang w:val="es-ES"/>
              </w:rPr>
              <w:t xml:space="preserve"> </w:t>
            </w:r>
            <w:r w:rsidRPr="00A6106C">
              <w:rPr>
                <w:rFonts w:cs="Arial"/>
                <w:lang w:val="es-ES"/>
              </w:rPr>
              <w:t xml:space="preserve">pueden enviar a un único destinatario </w:t>
            </w:r>
            <w:r w:rsidR="000D678D" w:rsidRPr="00A6106C">
              <w:rPr>
                <w:rFonts w:cs="Arial"/>
                <w:lang w:val="es-ES"/>
              </w:rPr>
              <w:t xml:space="preserve">al </w:t>
            </w:r>
            <w:r w:rsidRPr="00A6106C">
              <w:rPr>
                <w:rFonts w:cs="Arial"/>
                <w:lang w:val="es-ES"/>
              </w:rPr>
              <w:t xml:space="preserve">día y </w:t>
            </w:r>
            <w:r w:rsidR="001D5491" w:rsidRPr="00A6106C">
              <w:rPr>
                <w:rFonts w:cs="Arial"/>
                <w:lang w:val="es-ES"/>
              </w:rPr>
              <w:t>el límite d</w:t>
            </w:r>
            <w:r w:rsidRPr="00A6106C">
              <w:rPr>
                <w:rFonts w:cs="Arial"/>
                <w:lang w:val="es-ES"/>
              </w:rPr>
              <w:t xml:space="preserve">el </w:t>
            </w:r>
            <w:r w:rsidR="001D5491" w:rsidRPr="00A6106C">
              <w:rPr>
                <w:rFonts w:cs="Arial"/>
                <w:b/>
                <w:i/>
                <w:lang w:val="es-ES"/>
              </w:rPr>
              <w:t xml:space="preserve">número </w:t>
            </w:r>
            <w:r w:rsidRPr="00A6106C">
              <w:rPr>
                <w:rFonts w:cs="Arial"/>
                <w:lang w:val="es-ES"/>
              </w:rPr>
              <w:t xml:space="preserve">de transacciones </w:t>
            </w:r>
            <w:r w:rsidR="001D5491" w:rsidRPr="00A6106C">
              <w:rPr>
                <w:rFonts w:cs="Arial"/>
                <w:lang w:val="es-ES"/>
              </w:rPr>
              <w:t xml:space="preserve">que </w:t>
            </w:r>
            <w:r w:rsidR="00530C17" w:rsidRPr="00A6106C">
              <w:rPr>
                <w:rFonts w:cs="Arial"/>
                <w:lang w:val="es-ES"/>
              </w:rPr>
              <w:t xml:space="preserve"> </w:t>
            </w:r>
            <w:r w:rsidRPr="00A6106C">
              <w:rPr>
                <w:rFonts w:cs="Arial"/>
                <w:lang w:val="es-ES"/>
              </w:rPr>
              <w:t>[</w:t>
            </w:r>
            <w:r w:rsidR="00530C17" w:rsidRPr="00A6106C">
              <w:rPr>
                <w:rFonts w:cs="Arial"/>
                <w:lang w:val="es-ES"/>
              </w:rPr>
              <w:t xml:space="preserve">la </w:t>
            </w:r>
            <w:r w:rsidRPr="00A6106C">
              <w:rPr>
                <w:rFonts w:cs="Arial"/>
                <w:lang w:val="es-ES"/>
              </w:rPr>
              <w:t xml:space="preserve">organización] puede enviar en un solo día </w:t>
            </w:r>
            <w:r w:rsidR="00A6106C" w:rsidRPr="00A6106C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</w:tr>
      <w:tr w:rsidR="00432547" w:rsidRPr="00A6106C" w:rsidTr="00A45574">
        <w:tc>
          <w:tcPr>
            <w:tcW w:w="3052" w:type="dxa"/>
            <w:shd w:val="clear" w:color="auto" w:fill="E6E6E6"/>
            <w:vAlign w:val="center"/>
          </w:tcPr>
          <w:p w:rsidR="00432547" w:rsidRPr="00A6106C" w:rsidRDefault="001D5491" w:rsidP="00A6106C">
            <w:pPr>
              <w:spacing w:before="120"/>
              <w:jc w:val="left"/>
              <w:rPr>
                <w:rFonts w:cs="Arial"/>
                <w:b/>
                <w:lang w:val="es-ES"/>
              </w:rPr>
            </w:pPr>
            <w:r w:rsidRPr="00A6106C">
              <w:rPr>
                <w:rFonts w:cs="Arial"/>
                <w:b/>
                <w:lang w:val="es-ES"/>
              </w:rPr>
              <w:t>Autorizaci</w:t>
            </w:r>
            <w:r w:rsidR="0033155F" w:rsidRPr="00A6106C">
              <w:rPr>
                <w:rFonts w:cs="Arial"/>
                <w:b/>
                <w:lang w:val="es-ES"/>
              </w:rPr>
              <w:t>ón de usu</w:t>
            </w:r>
            <w:r w:rsidRPr="00A6106C">
              <w:rPr>
                <w:rFonts w:cs="Arial"/>
                <w:b/>
                <w:lang w:val="es-ES"/>
              </w:rPr>
              <w:t xml:space="preserve">arios </w:t>
            </w:r>
            <w:r w:rsidR="00A6106C" w:rsidRP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  <w:r w:rsidR="00432547" w:rsidRP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A6106C" w:rsidRDefault="001D5491" w:rsidP="00A6106C">
            <w:pPr>
              <w:spacing w:before="120"/>
              <w:jc w:val="left"/>
              <w:rPr>
                <w:rFonts w:cs="Arial"/>
                <w:lang w:val="es-ES"/>
              </w:rPr>
            </w:pPr>
            <w:r w:rsidRPr="00A6106C">
              <w:rPr>
                <w:rFonts w:cs="Arial"/>
                <w:lang w:val="es-ES"/>
              </w:rPr>
              <w:t xml:space="preserve">Posibilidad de asignar diferentes autorizaciones a los usuarios del sistema (por ejemplo, autor, verificador, procesador) </w:t>
            </w:r>
            <w:r w:rsidR="00A6106C" w:rsidRPr="00A6106C">
              <w:rPr>
                <w:rFonts w:cs="Arial"/>
                <w:lang w:val="es-ES"/>
              </w:rPr>
              <w:t xml:space="preserve"> </w:t>
            </w:r>
          </w:p>
        </w:tc>
      </w:tr>
      <w:tr w:rsidR="00432547" w:rsidRPr="00A6106C" w:rsidTr="00A45574">
        <w:tc>
          <w:tcPr>
            <w:tcW w:w="3052" w:type="dxa"/>
            <w:shd w:val="clear" w:color="auto" w:fill="E6E6E6"/>
            <w:vAlign w:val="center"/>
          </w:tcPr>
          <w:p w:rsidR="00432547" w:rsidRPr="00A6106C" w:rsidRDefault="004154DE" w:rsidP="00A6106C">
            <w:pPr>
              <w:spacing w:before="120"/>
              <w:jc w:val="left"/>
              <w:rPr>
                <w:rFonts w:cs="Arial"/>
                <w:b/>
              </w:rPr>
            </w:pPr>
            <w:r w:rsidRPr="00A6106C">
              <w:rPr>
                <w:rFonts w:cs="Arial"/>
                <w:b/>
              </w:rPr>
              <w:t xml:space="preserve">Folleto y catálogo </w:t>
            </w:r>
            <w:r w:rsidR="00A6106C" w:rsidRPr="00A6106C">
              <w:rPr>
                <w:rFonts w:cs="Arial"/>
                <w:b/>
                <w:color w:val="4F81BD" w:themeColor="accent1"/>
              </w:rPr>
              <w:t xml:space="preserve"> 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A6106C" w:rsidRDefault="0033155F" w:rsidP="00A6106C">
            <w:pPr>
              <w:spacing w:before="120"/>
              <w:jc w:val="left"/>
              <w:rPr>
                <w:rFonts w:cs="Arial"/>
                <w:lang w:val="es-ES"/>
              </w:rPr>
            </w:pPr>
            <w:r w:rsidRPr="00A6106C">
              <w:rPr>
                <w:rFonts w:cs="Arial"/>
                <w:lang w:val="es-ES"/>
              </w:rPr>
              <w:t>Existencia de f</w:t>
            </w:r>
            <w:r w:rsidR="004154DE" w:rsidRPr="00A6106C">
              <w:rPr>
                <w:rFonts w:cs="Arial"/>
                <w:lang w:val="es-ES"/>
              </w:rPr>
              <w:t xml:space="preserve">olletos y catálogos que ilustren el funcionamiento del servicio </w:t>
            </w:r>
            <w:r w:rsidR="004154DE" w:rsidRPr="00A6106C">
              <w:rPr>
                <w:rFonts w:cs="Arial"/>
                <w:color w:val="4F81BD" w:themeColor="accent1"/>
                <w:lang w:val="es-ES"/>
              </w:rPr>
              <w:t xml:space="preserve"> </w:t>
            </w:r>
            <w:r w:rsidR="00A6106C" w:rsidRPr="00A6106C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</w:tr>
      <w:tr w:rsidR="00432547" w:rsidRPr="00A6106C" w:rsidTr="00A45574">
        <w:tc>
          <w:tcPr>
            <w:tcW w:w="3052" w:type="dxa"/>
            <w:shd w:val="clear" w:color="auto" w:fill="E6E6E6"/>
            <w:vAlign w:val="center"/>
          </w:tcPr>
          <w:p w:rsidR="00432547" w:rsidRPr="00A6106C" w:rsidRDefault="004154DE" w:rsidP="00A6106C">
            <w:pPr>
              <w:spacing w:before="120"/>
              <w:jc w:val="left"/>
              <w:rPr>
                <w:rFonts w:cs="Arial"/>
                <w:b/>
              </w:rPr>
            </w:pPr>
            <w:r w:rsidRPr="00A6106C">
              <w:rPr>
                <w:rFonts w:cs="Arial"/>
                <w:b/>
              </w:rPr>
              <w:t xml:space="preserve">Interoperabilidad 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A6106C" w:rsidRDefault="004154DE" w:rsidP="00A6106C">
            <w:pPr>
              <w:spacing w:before="120"/>
              <w:jc w:val="left"/>
              <w:rPr>
                <w:rFonts w:cs="Arial"/>
                <w:lang w:val="es-ES"/>
              </w:rPr>
            </w:pPr>
            <w:r w:rsidRPr="00A6106C">
              <w:rPr>
                <w:rFonts w:cs="Arial"/>
                <w:lang w:val="es-ES"/>
              </w:rPr>
              <w:t xml:space="preserve">Interoperabilidad </w:t>
            </w:r>
            <w:r w:rsidR="00A6106C" w:rsidRPr="00A6106C">
              <w:rPr>
                <w:rFonts w:cs="Arial"/>
                <w:strike/>
                <w:lang w:val="es-ES"/>
              </w:rPr>
              <w:t xml:space="preserve"> </w:t>
            </w:r>
            <w:r w:rsidRPr="00A6106C">
              <w:rPr>
                <w:rFonts w:cs="Arial"/>
                <w:lang w:val="es-ES"/>
              </w:rPr>
              <w:t xml:space="preserve"> con otras plataformas de pago  </w:t>
            </w:r>
            <w:r w:rsidR="00A6106C" w:rsidRPr="00A6106C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</w:tr>
      <w:tr w:rsidR="00432547" w:rsidRPr="00A6106C" w:rsidTr="00A45574">
        <w:tc>
          <w:tcPr>
            <w:tcW w:w="3052" w:type="dxa"/>
            <w:shd w:val="clear" w:color="auto" w:fill="E6E6E6"/>
            <w:vAlign w:val="center"/>
          </w:tcPr>
          <w:p w:rsidR="00432547" w:rsidRPr="00A6106C" w:rsidRDefault="004154DE" w:rsidP="00A6106C">
            <w:pPr>
              <w:spacing w:before="120"/>
              <w:jc w:val="left"/>
              <w:rPr>
                <w:rFonts w:cs="Arial"/>
                <w:b/>
              </w:rPr>
            </w:pPr>
            <w:r w:rsidRPr="00A6106C">
              <w:rPr>
                <w:rFonts w:cs="Arial"/>
                <w:b/>
              </w:rPr>
              <w:t xml:space="preserve">Tarificación </w:t>
            </w:r>
            <w:r w:rsidR="00A6106C" w:rsidRPr="00A6106C">
              <w:rPr>
                <w:rFonts w:cs="Arial"/>
                <w:b/>
                <w:color w:val="4F81BD" w:themeColor="accent1"/>
              </w:rPr>
              <w:t xml:space="preserve"> 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A6106C" w:rsidRDefault="004154DE" w:rsidP="00A6106C">
            <w:pPr>
              <w:spacing w:before="120"/>
              <w:jc w:val="left"/>
              <w:rPr>
                <w:rFonts w:cs="Arial"/>
                <w:lang w:val="es-ES"/>
              </w:rPr>
            </w:pPr>
            <w:r w:rsidRPr="00A6106C">
              <w:rPr>
                <w:rFonts w:cs="Arial"/>
                <w:lang w:val="es-ES"/>
              </w:rPr>
              <w:t xml:space="preserve">Listado de precios detallado de las transacciones  </w:t>
            </w:r>
            <w:r w:rsidR="00A6106C" w:rsidRPr="00A6106C">
              <w:rPr>
                <w:rFonts w:cs="Arial"/>
                <w:color w:val="4F81BD" w:themeColor="accent1"/>
                <w:lang w:val="es-ES"/>
              </w:rPr>
              <w:t xml:space="preserve"> </w:t>
            </w:r>
            <w:r w:rsidR="00432547" w:rsidRPr="00A6106C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</w:tr>
      <w:tr w:rsidR="00432547" w:rsidRPr="00A6106C" w:rsidTr="00A45574">
        <w:tc>
          <w:tcPr>
            <w:tcW w:w="3060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32547" w:rsidRPr="00A6106C" w:rsidRDefault="004154DE" w:rsidP="00A6106C">
            <w:pPr>
              <w:spacing w:before="120"/>
              <w:jc w:val="left"/>
              <w:rPr>
                <w:rFonts w:cs="Arial"/>
                <w:lang w:val="es-ES"/>
              </w:rPr>
            </w:pPr>
            <w:r w:rsidRPr="00A6106C">
              <w:rPr>
                <w:rFonts w:cs="Arial"/>
                <w:b/>
                <w:lang w:val="es-ES"/>
              </w:rPr>
              <w:t xml:space="preserve">Almacenamiento de datos  </w:t>
            </w:r>
            <w:r w:rsidR="00A6106C" w:rsidRP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6579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432547" w:rsidRPr="00A6106C" w:rsidRDefault="004154DE" w:rsidP="00A6106C">
            <w:pPr>
              <w:spacing w:before="120"/>
              <w:jc w:val="left"/>
              <w:rPr>
                <w:rFonts w:cs="Arial"/>
                <w:lang w:val="es-ES"/>
              </w:rPr>
            </w:pPr>
            <w:r w:rsidRPr="00A6106C">
              <w:rPr>
                <w:rFonts w:cs="Arial"/>
                <w:lang w:val="es-ES"/>
              </w:rPr>
              <w:t xml:space="preserve">Capacidad de almacenar los datos del destinatario en la plataforma de pagos para evitar tener que cargar los nombres cada vez que se hace una transacción </w:t>
            </w:r>
            <w:r w:rsidR="00A6106C" w:rsidRPr="00A6106C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</w:tr>
      <w:tr w:rsidR="00432547" w:rsidRPr="00A6106C" w:rsidTr="004D5767">
        <w:tc>
          <w:tcPr>
            <w:tcW w:w="9639" w:type="dxa"/>
            <w:gridSpan w:val="3"/>
            <w:shd w:val="clear" w:color="auto" w:fill="A6A6A6"/>
            <w:vAlign w:val="center"/>
          </w:tcPr>
          <w:p w:rsidR="00432547" w:rsidRPr="00A6106C" w:rsidRDefault="00C2615F" w:rsidP="00A6106C">
            <w:pPr>
              <w:spacing w:before="120"/>
              <w:rPr>
                <w:rFonts w:cs="Arial"/>
                <w:b/>
                <w:lang w:val="es-ES"/>
              </w:rPr>
            </w:pPr>
            <w:r w:rsidRPr="00A6106C">
              <w:rPr>
                <w:rFonts w:cs="Arial"/>
                <w:b/>
                <w:lang w:val="es-ES"/>
              </w:rPr>
              <w:t xml:space="preserve">Características de los productos de pago: Usuario final (beneficiario)   </w:t>
            </w:r>
            <w:r w:rsidR="00A6106C" w:rsidRP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</w:tr>
      <w:tr w:rsidR="00432547" w:rsidRPr="00A6106C" w:rsidTr="00A45574">
        <w:tc>
          <w:tcPr>
            <w:tcW w:w="3052" w:type="dxa"/>
            <w:shd w:val="clear" w:color="auto" w:fill="E6E6E6"/>
            <w:vAlign w:val="center"/>
          </w:tcPr>
          <w:p w:rsidR="00432547" w:rsidRPr="00A6106C" w:rsidRDefault="00C2615F" w:rsidP="00A6106C">
            <w:pPr>
              <w:spacing w:before="120"/>
              <w:jc w:val="left"/>
              <w:rPr>
                <w:rFonts w:cs="Arial"/>
                <w:b/>
                <w:lang w:val="es-ES"/>
              </w:rPr>
            </w:pPr>
            <w:r w:rsidRPr="00A6106C">
              <w:rPr>
                <w:rFonts w:cs="Arial"/>
                <w:b/>
                <w:lang w:val="es-ES"/>
              </w:rPr>
              <w:t xml:space="preserve">Recepción de los fondos </w:t>
            </w:r>
            <w:r w:rsidR="00A6106C" w:rsidRP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  <w:r w:rsidR="00432547" w:rsidRP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A6106C" w:rsidRDefault="00C2615F" w:rsidP="00A6106C">
            <w:pPr>
              <w:spacing w:before="120"/>
              <w:jc w:val="left"/>
              <w:rPr>
                <w:rFonts w:cs="Arial"/>
                <w:lang w:val="es-ES"/>
              </w:rPr>
            </w:pPr>
            <w:r w:rsidRPr="00A6106C">
              <w:rPr>
                <w:rFonts w:cs="Arial"/>
                <w:lang w:val="es-ES"/>
              </w:rPr>
              <w:t xml:space="preserve">Notificación de transacciones a los beneficiarios (por ejemplo, mensajes SMS) </w:t>
            </w:r>
            <w:r w:rsidR="00A6106C" w:rsidRPr="00A6106C">
              <w:rPr>
                <w:rFonts w:cs="Arial"/>
                <w:color w:val="4F81BD" w:themeColor="accent1"/>
                <w:lang w:val="es-ES"/>
              </w:rPr>
              <w:t xml:space="preserve"> </w:t>
            </w:r>
            <w:r w:rsidR="00432547" w:rsidRPr="00A6106C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</w:tr>
      <w:tr w:rsidR="00432547" w:rsidRPr="00A6106C" w:rsidTr="00A45574">
        <w:tc>
          <w:tcPr>
            <w:tcW w:w="3052" w:type="dxa"/>
            <w:shd w:val="clear" w:color="auto" w:fill="E6E6E6"/>
            <w:vAlign w:val="center"/>
          </w:tcPr>
          <w:p w:rsidR="00432547" w:rsidRPr="00A6106C" w:rsidRDefault="00C2615F" w:rsidP="00A6106C">
            <w:pPr>
              <w:spacing w:before="120"/>
              <w:jc w:val="left"/>
              <w:rPr>
                <w:rFonts w:cs="Arial"/>
                <w:b/>
                <w:lang w:val="es-ES"/>
              </w:rPr>
            </w:pPr>
            <w:r w:rsidRPr="00A6106C">
              <w:rPr>
                <w:rFonts w:cs="Arial"/>
                <w:b/>
                <w:lang w:val="es-ES"/>
              </w:rPr>
              <w:t>Requisitos de registro y</w:t>
            </w:r>
            <w:r w:rsidRPr="00A6106C">
              <w:rPr>
                <w:b/>
                <w:lang w:val="es-ES"/>
              </w:rPr>
              <w:t> </w:t>
            </w:r>
            <w:r w:rsidRPr="00A6106C">
              <w:rPr>
                <w:rFonts w:cs="Arial"/>
                <w:b/>
                <w:lang w:val="es-ES"/>
              </w:rPr>
              <w:t>de</w:t>
            </w:r>
            <w:r w:rsidRPr="00A6106C">
              <w:rPr>
                <w:b/>
                <w:lang w:val="es-ES"/>
              </w:rPr>
              <w:t xml:space="preserve"> la política de </w:t>
            </w:r>
            <w:r w:rsidRPr="00A6106C">
              <w:rPr>
                <w:rFonts w:cs="Arial"/>
                <w:b/>
                <w:lang w:val="es-ES"/>
              </w:rPr>
              <w:t>“Conozca a</w:t>
            </w:r>
            <w:r w:rsidRPr="00A6106C">
              <w:rPr>
                <w:b/>
                <w:lang w:val="es-ES"/>
              </w:rPr>
              <w:t> </w:t>
            </w:r>
            <w:r w:rsidRPr="00A6106C">
              <w:rPr>
                <w:rFonts w:cs="Arial"/>
                <w:b/>
                <w:lang w:val="es-ES"/>
              </w:rPr>
              <w:t>su</w:t>
            </w:r>
            <w:r w:rsidRPr="00A6106C">
              <w:rPr>
                <w:b/>
                <w:lang w:val="es-ES"/>
              </w:rPr>
              <w:t> </w:t>
            </w:r>
            <w:r w:rsidRPr="00A6106C">
              <w:rPr>
                <w:rFonts w:cs="Arial"/>
                <w:b/>
                <w:lang w:val="es-ES"/>
              </w:rPr>
              <w:t xml:space="preserve">cliente” (cuenta del usuario final)  </w:t>
            </w:r>
            <w:r w:rsidR="00A6106C" w:rsidRP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432547" w:rsidRPr="00A6106C" w:rsidRDefault="00C2615F" w:rsidP="00A6106C">
            <w:pPr>
              <w:spacing w:before="120"/>
              <w:jc w:val="left"/>
              <w:rPr>
                <w:rFonts w:cs="Arial"/>
                <w:lang w:val="es-ES"/>
              </w:rPr>
            </w:pPr>
            <w:r w:rsidRPr="00A6106C">
              <w:rPr>
                <w:rFonts w:cs="Arial"/>
                <w:lang w:val="es-ES"/>
              </w:rPr>
              <w:t xml:space="preserve">Requisitos para que los perceptores puedan activar las cuentas con el proveedor de servicios; </w:t>
            </w:r>
            <w:r w:rsidR="002A7BA0" w:rsidRPr="00A6106C">
              <w:rPr>
                <w:rFonts w:cs="Arial"/>
                <w:lang w:val="es-ES"/>
              </w:rPr>
              <w:t>capacidad</w:t>
            </w:r>
            <w:r w:rsidR="00547D3D" w:rsidRPr="00A6106C">
              <w:rPr>
                <w:rFonts w:cs="Arial"/>
                <w:lang w:val="es-ES"/>
              </w:rPr>
              <w:t xml:space="preserve"> </w:t>
            </w:r>
            <w:r w:rsidRPr="00A6106C">
              <w:rPr>
                <w:rFonts w:cs="Arial"/>
                <w:lang w:val="es-ES"/>
              </w:rPr>
              <w:t xml:space="preserve">de procesar pagos o de </w:t>
            </w:r>
            <w:r w:rsidR="002A7BA0" w:rsidRPr="00A6106C">
              <w:rPr>
                <w:rFonts w:cs="Arial"/>
                <w:lang w:val="es-ES"/>
              </w:rPr>
              <w:t>dar baja a aquellos que no son titulares de cuentas</w:t>
            </w:r>
            <w:r w:rsidRPr="00A6106C">
              <w:rPr>
                <w:rFonts w:cs="Arial"/>
                <w:lang w:val="es-ES"/>
              </w:rPr>
              <w:t xml:space="preserve"> </w:t>
            </w:r>
            <w:r w:rsidR="00A6106C" w:rsidRPr="00A6106C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</w:tr>
      <w:tr w:rsidR="00432547" w:rsidRPr="00A6106C" w:rsidTr="00A45574">
        <w:tc>
          <w:tcPr>
            <w:tcW w:w="3052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32547" w:rsidRPr="00A6106C" w:rsidRDefault="00547D3D" w:rsidP="00A6106C">
            <w:pPr>
              <w:spacing w:before="120"/>
              <w:jc w:val="left"/>
              <w:rPr>
                <w:rFonts w:cs="Arial"/>
                <w:b/>
                <w:lang w:val="es-ES"/>
              </w:rPr>
            </w:pPr>
            <w:r w:rsidRPr="00A6106C">
              <w:rPr>
                <w:rFonts w:cs="Arial"/>
                <w:b/>
                <w:lang w:val="es-ES"/>
              </w:rPr>
              <w:t xml:space="preserve">Saldo de la cuenta y limitaciones al volumen de transacciones (cuenta del usuario final) </w:t>
            </w:r>
            <w:r w:rsidR="00A6106C" w:rsidRP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6587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432547" w:rsidRPr="00A6106C" w:rsidRDefault="00547D3D" w:rsidP="00A6106C">
            <w:pPr>
              <w:spacing w:before="120"/>
              <w:jc w:val="left"/>
              <w:rPr>
                <w:rFonts w:cs="Arial"/>
                <w:lang w:val="es-ES"/>
              </w:rPr>
            </w:pPr>
            <w:r w:rsidRPr="00A6106C">
              <w:rPr>
                <w:rFonts w:cs="Arial"/>
                <w:lang w:val="es-ES"/>
              </w:rPr>
              <w:t>Detalles sobre la cantidad mínima/máxima de fondos que el usuario final puede tener en la cuenta, así como del número de transacciones que puede recibir en un día</w:t>
            </w:r>
            <w:r w:rsidRPr="00A6106C">
              <w:rPr>
                <w:rFonts w:cs="Arial"/>
                <w:color w:val="4F81BD" w:themeColor="accent1"/>
                <w:lang w:val="es-ES"/>
              </w:rPr>
              <w:t xml:space="preserve">  </w:t>
            </w:r>
            <w:r w:rsidR="00A6106C" w:rsidRPr="00A6106C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</w:tr>
      <w:tr w:rsidR="00432547" w:rsidRPr="00F56789" w:rsidTr="004D5767">
        <w:tc>
          <w:tcPr>
            <w:tcW w:w="9639" w:type="dxa"/>
            <w:gridSpan w:val="3"/>
            <w:shd w:val="clear" w:color="auto" w:fill="A6A6A6"/>
            <w:vAlign w:val="center"/>
          </w:tcPr>
          <w:p w:rsidR="00432547" w:rsidRPr="00A6106C" w:rsidRDefault="00547D3D" w:rsidP="00A6106C">
            <w:pPr>
              <w:spacing w:before="120"/>
              <w:rPr>
                <w:rFonts w:cs="Arial"/>
              </w:rPr>
            </w:pPr>
            <w:r w:rsidRPr="00A6106C">
              <w:rPr>
                <w:rFonts w:cs="Arial"/>
                <w:b/>
                <w:lang w:val="es-ES"/>
              </w:rPr>
              <w:t xml:space="preserve">Distribución </w:t>
            </w:r>
            <w:r w:rsidR="00A6106C" w:rsidRPr="00A6106C">
              <w:rPr>
                <w:rFonts w:cs="Arial"/>
                <w:b/>
                <w:color w:val="4F81BD" w:themeColor="accent1"/>
              </w:rPr>
              <w:t xml:space="preserve"> </w:t>
            </w:r>
          </w:p>
        </w:tc>
      </w:tr>
      <w:tr w:rsidR="007C4704" w:rsidRPr="00A6106C" w:rsidTr="00A45574">
        <w:tc>
          <w:tcPr>
            <w:tcW w:w="3052" w:type="dxa"/>
            <w:shd w:val="clear" w:color="auto" w:fill="E6E6E6"/>
            <w:vAlign w:val="center"/>
          </w:tcPr>
          <w:p w:rsidR="007C4704" w:rsidRPr="00A6106C" w:rsidRDefault="00547D3D" w:rsidP="00A6106C">
            <w:pPr>
              <w:spacing w:before="120"/>
              <w:jc w:val="left"/>
              <w:rPr>
                <w:rFonts w:cs="Arial"/>
                <w:b/>
                <w:lang w:val="es-ES"/>
              </w:rPr>
            </w:pPr>
            <w:r w:rsidRPr="00A6106C">
              <w:rPr>
                <w:rFonts w:cs="Arial"/>
                <w:b/>
                <w:lang w:val="es-ES"/>
              </w:rPr>
              <w:lastRenderedPageBreak/>
              <w:t xml:space="preserve">Área de cobertura y red de distribución </w:t>
            </w:r>
            <w:r w:rsidR="00A6106C" w:rsidRP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7C4704" w:rsidRPr="00A6106C" w:rsidRDefault="00547D3D" w:rsidP="00A6106C">
            <w:pPr>
              <w:spacing w:before="120"/>
              <w:jc w:val="left"/>
              <w:rPr>
                <w:rFonts w:cs="Arial"/>
                <w:lang w:val="es-ES"/>
              </w:rPr>
            </w:pPr>
            <w:r w:rsidRPr="00A6106C">
              <w:rPr>
                <w:rFonts w:cs="Arial"/>
                <w:lang w:val="es-ES"/>
              </w:rPr>
              <w:t>Mapa de cobertura geográfica del servicio [</w:t>
            </w:r>
            <w:r w:rsidR="00530C17" w:rsidRPr="00A6106C">
              <w:rPr>
                <w:rFonts w:cs="Arial"/>
                <w:lang w:val="es-ES"/>
              </w:rPr>
              <w:t xml:space="preserve">en el </w:t>
            </w:r>
            <w:r w:rsidRPr="00A6106C">
              <w:rPr>
                <w:rFonts w:cs="Arial"/>
                <w:lang w:val="es-ES"/>
              </w:rPr>
              <w:t>país]. Listado de todos los puntos de acceso</w:t>
            </w:r>
            <w:r w:rsidR="00A6106C" w:rsidRPr="00A6106C">
              <w:rPr>
                <w:rFonts w:cs="Arial"/>
                <w:lang w:val="es-ES"/>
              </w:rPr>
              <w:t xml:space="preserve"> </w:t>
            </w:r>
            <w:r w:rsidR="002A7BA0" w:rsidRPr="00A6106C">
              <w:rPr>
                <w:rFonts w:cs="Arial"/>
                <w:lang w:val="es-ES"/>
              </w:rPr>
              <w:t>(agentes)</w:t>
            </w:r>
            <w:r w:rsidRPr="00A6106C">
              <w:rPr>
                <w:rFonts w:cs="Arial"/>
                <w:lang w:val="es-ES"/>
              </w:rPr>
              <w:t xml:space="preserve"> para ingreso/retirada de efectivo (</w:t>
            </w:r>
            <w:r w:rsidR="00A6106C" w:rsidRPr="00A6106C">
              <w:rPr>
                <w:rFonts w:cs="Arial"/>
                <w:lang w:val="es-ES"/>
              </w:rPr>
              <w:t xml:space="preserve"> </w:t>
            </w:r>
          </w:p>
        </w:tc>
      </w:tr>
      <w:tr w:rsidR="007C4704" w:rsidRPr="00A6106C" w:rsidTr="00A45574">
        <w:tc>
          <w:tcPr>
            <w:tcW w:w="3052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C4704" w:rsidRPr="00A6106C" w:rsidRDefault="00547D3D" w:rsidP="00A6106C">
            <w:pPr>
              <w:spacing w:before="120"/>
              <w:jc w:val="left"/>
              <w:rPr>
                <w:rFonts w:cs="Arial"/>
                <w:b/>
                <w:lang w:val="es-ES"/>
              </w:rPr>
            </w:pPr>
            <w:r w:rsidRPr="00A6106C">
              <w:rPr>
                <w:rFonts w:cs="Arial"/>
                <w:b/>
                <w:lang w:val="es-ES"/>
              </w:rPr>
              <w:t xml:space="preserve">Controles de liquidez para el ingreso/retirada de efectivo </w:t>
            </w:r>
            <w:r w:rsidR="00A6106C" w:rsidRP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6587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7C4704" w:rsidRPr="00A6106C" w:rsidRDefault="00547D3D" w:rsidP="00A6106C">
            <w:pPr>
              <w:spacing w:before="120"/>
              <w:jc w:val="left"/>
              <w:rPr>
                <w:rFonts w:cs="Arial"/>
                <w:lang w:val="es-ES"/>
              </w:rPr>
            </w:pPr>
            <w:r w:rsidRPr="00A6106C">
              <w:rPr>
                <w:rFonts w:cs="Arial"/>
                <w:lang w:val="es-ES"/>
              </w:rPr>
              <w:t xml:space="preserve">Información sobre la gestión de la liquidez de los puntos de acceso </w:t>
            </w:r>
            <w:r w:rsidR="002A7BA0" w:rsidRPr="00A6106C">
              <w:rPr>
                <w:rFonts w:cs="Arial"/>
                <w:lang w:val="es-ES"/>
              </w:rPr>
              <w:t>(agentes)</w:t>
            </w:r>
            <w:r w:rsidR="00A6106C" w:rsidRPr="00A6106C">
              <w:rPr>
                <w:rFonts w:cs="Arial"/>
                <w:lang w:val="es-ES"/>
              </w:rPr>
              <w:t xml:space="preserve"> </w:t>
            </w:r>
            <w:r w:rsidRPr="00A6106C">
              <w:rPr>
                <w:rFonts w:cs="Arial"/>
                <w:lang w:val="es-ES"/>
              </w:rPr>
              <w:t xml:space="preserve">para ingreso/retirada de efectivo </w:t>
            </w:r>
            <w:r w:rsidR="00A6106C" w:rsidRPr="00A6106C">
              <w:rPr>
                <w:rFonts w:cs="Arial"/>
                <w:lang w:val="es-ES"/>
              </w:rPr>
              <w:t xml:space="preserve"> </w:t>
            </w:r>
          </w:p>
        </w:tc>
      </w:tr>
      <w:tr w:rsidR="00432547" w:rsidRPr="00A6106C" w:rsidTr="004D5767">
        <w:tc>
          <w:tcPr>
            <w:tcW w:w="9639" w:type="dxa"/>
            <w:gridSpan w:val="3"/>
            <w:shd w:val="clear" w:color="auto" w:fill="A6A6A6"/>
            <w:vAlign w:val="center"/>
          </w:tcPr>
          <w:p w:rsidR="00432547" w:rsidRPr="00A6106C" w:rsidRDefault="00530C17" w:rsidP="00A6106C">
            <w:pPr>
              <w:keepNext/>
              <w:spacing w:before="120"/>
              <w:rPr>
                <w:rFonts w:cs="Arial"/>
                <w:lang w:val="es-ES"/>
              </w:rPr>
            </w:pPr>
            <w:r w:rsidRPr="00A6106C">
              <w:rPr>
                <w:rFonts w:cs="Arial"/>
                <w:b/>
                <w:lang w:val="es-ES"/>
              </w:rPr>
              <w:t xml:space="preserve">Atención al cliente/formación: Corporativos (ordenante) </w:t>
            </w:r>
            <w:r w:rsidR="00A6106C" w:rsidRP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</w:tr>
      <w:tr w:rsidR="007C4704" w:rsidRPr="00A6106C" w:rsidTr="00A45574">
        <w:tc>
          <w:tcPr>
            <w:tcW w:w="3052" w:type="dxa"/>
            <w:shd w:val="clear" w:color="auto" w:fill="E6E6E6"/>
            <w:vAlign w:val="center"/>
          </w:tcPr>
          <w:p w:rsidR="007C4704" w:rsidRPr="00A6106C" w:rsidRDefault="00530C17" w:rsidP="00A6106C">
            <w:pPr>
              <w:spacing w:before="120"/>
              <w:jc w:val="left"/>
              <w:rPr>
                <w:rFonts w:cs="Arial"/>
                <w:b/>
                <w:lang w:val="es-ES"/>
              </w:rPr>
            </w:pPr>
            <w:r w:rsidRPr="00A6106C">
              <w:rPr>
                <w:rFonts w:cs="Arial"/>
                <w:b/>
                <w:lang w:val="es-ES"/>
              </w:rPr>
              <w:t xml:space="preserve">Formación </w:t>
            </w:r>
            <w:r w:rsidR="00E9450B" w:rsidRPr="00A6106C">
              <w:rPr>
                <w:rFonts w:cs="Arial"/>
                <w:b/>
                <w:lang w:val="es-ES"/>
              </w:rPr>
              <w:t xml:space="preserve">para el </w:t>
            </w:r>
            <w:r w:rsidRPr="00A6106C">
              <w:rPr>
                <w:rFonts w:cs="Arial"/>
                <w:b/>
                <w:lang w:val="es-ES"/>
              </w:rPr>
              <w:t xml:space="preserve">personal </w:t>
            </w:r>
            <w:r w:rsidR="00A6106C" w:rsidRP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7C4704" w:rsidRPr="00A6106C" w:rsidRDefault="00530C17" w:rsidP="00A6106C">
            <w:pPr>
              <w:spacing w:before="120"/>
              <w:jc w:val="left"/>
              <w:rPr>
                <w:rFonts w:cs="Arial"/>
                <w:lang w:val="es-ES"/>
              </w:rPr>
            </w:pPr>
            <w:r w:rsidRPr="00A6106C">
              <w:rPr>
                <w:rFonts w:cs="Arial"/>
                <w:lang w:val="es-ES"/>
              </w:rPr>
              <w:t xml:space="preserve">Detalles sobre la formación sobre el sistema que se proporciona al personal [de la organización]  </w:t>
            </w:r>
            <w:r w:rsidR="00A6106C" w:rsidRPr="00A6106C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</w:tr>
      <w:tr w:rsidR="007C4704" w:rsidRPr="00A6106C" w:rsidTr="00A45574">
        <w:tc>
          <w:tcPr>
            <w:tcW w:w="3052" w:type="dxa"/>
            <w:shd w:val="clear" w:color="auto" w:fill="E6E6E6"/>
            <w:vAlign w:val="center"/>
          </w:tcPr>
          <w:p w:rsidR="007C4704" w:rsidRPr="00A6106C" w:rsidRDefault="00530C17" w:rsidP="00A6106C">
            <w:pPr>
              <w:spacing w:before="120"/>
              <w:jc w:val="left"/>
              <w:rPr>
                <w:rFonts w:cs="Arial"/>
                <w:b/>
                <w:lang w:val="es-ES"/>
              </w:rPr>
            </w:pPr>
            <w:r w:rsidRPr="00A6106C">
              <w:rPr>
                <w:rFonts w:cs="Arial"/>
                <w:b/>
                <w:lang w:val="es-ES"/>
              </w:rPr>
              <w:t>Apoyo técnico/</w:t>
            </w:r>
            <w:r w:rsidRPr="00A6106C">
              <w:rPr>
                <w:lang w:val="es-ES"/>
              </w:rPr>
              <w:t xml:space="preserve"> </w:t>
            </w:r>
            <w:r w:rsidRPr="00A6106C">
              <w:rPr>
                <w:rFonts w:cs="Arial"/>
                <w:b/>
                <w:lang w:val="es-ES"/>
              </w:rPr>
              <w:t xml:space="preserve">acuerdos a nivel de servicios  </w:t>
            </w:r>
            <w:r w:rsidR="00A6106C" w:rsidRP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7C4704" w:rsidRPr="00A6106C" w:rsidRDefault="00530C17" w:rsidP="00A6106C">
            <w:pPr>
              <w:spacing w:before="120"/>
              <w:jc w:val="left"/>
              <w:rPr>
                <w:rFonts w:cs="Arial"/>
                <w:lang w:val="es-ES"/>
              </w:rPr>
            </w:pPr>
            <w:r w:rsidRPr="00A6106C">
              <w:rPr>
                <w:rFonts w:cs="Arial"/>
                <w:lang w:val="es-ES"/>
              </w:rPr>
              <w:t xml:space="preserve">Información sobre la a disponibilidad, seguimiento, medición y notificación de los servicios de apoyo técnico del proveedor de servicios </w:t>
            </w:r>
            <w:r w:rsidRPr="00A6106C">
              <w:rPr>
                <w:rFonts w:cs="Arial"/>
                <w:color w:val="4F81BD" w:themeColor="accent1"/>
                <w:lang w:val="es-ES"/>
              </w:rPr>
              <w:t xml:space="preserve"> </w:t>
            </w:r>
            <w:r w:rsidR="00A6106C" w:rsidRPr="00A6106C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</w:tr>
      <w:tr w:rsidR="007C4704" w:rsidRPr="00A6106C" w:rsidTr="00A45574">
        <w:tc>
          <w:tcPr>
            <w:tcW w:w="3052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C4704" w:rsidRPr="00A6106C" w:rsidRDefault="00530C17" w:rsidP="00A6106C">
            <w:pPr>
              <w:spacing w:before="120"/>
              <w:jc w:val="left"/>
              <w:rPr>
                <w:rFonts w:cs="Arial"/>
                <w:b/>
                <w:lang w:val="es-ES"/>
              </w:rPr>
            </w:pPr>
            <w:r w:rsidRPr="00A6106C">
              <w:rPr>
                <w:rFonts w:cs="Arial"/>
                <w:b/>
                <w:lang w:val="es-ES"/>
              </w:rPr>
              <w:t xml:space="preserve">Resolución de problemas relacionados con los desembolsos </w:t>
            </w:r>
            <w:r w:rsidR="00A6106C" w:rsidRP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6587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7C4704" w:rsidRPr="00A6106C" w:rsidRDefault="00530C17" w:rsidP="00A6106C">
            <w:pPr>
              <w:spacing w:before="120"/>
              <w:jc w:val="left"/>
              <w:rPr>
                <w:rFonts w:cs="Arial"/>
                <w:lang w:val="es-ES"/>
              </w:rPr>
            </w:pPr>
            <w:r w:rsidRPr="00A6106C">
              <w:rPr>
                <w:rFonts w:cs="Arial"/>
                <w:lang w:val="es-ES"/>
              </w:rPr>
              <w:t xml:space="preserve">Detalles sobre el proceso de resolución de conflictos y el proceso para la devolución de los fondos no recibidos o </w:t>
            </w:r>
            <w:r w:rsidR="00E9450B" w:rsidRPr="00A6106C">
              <w:rPr>
                <w:rFonts w:cs="Arial"/>
                <w:lang w:val="es-ES"/>
              </w:rPr>
              <w:t xml:space="preserve">no retirados </w:t>
            </w:r>
            <w:r w:rsidRPr="00A6106C">
              <w:rPr>
                <w:rFonts w:cs="Arial"/>
                <w:lang w:val="es-ES"/>
              </w:rPr>
              <w:t xml:space="preserve">por </w:t>
            </w:r>
            <w:r w:rsidR="00E9450B" w:rsidRPr="00A6106C">
              <w:rPr>
                <w:rFonts w:cs="Arial"/>
                <w:lang w:val="es-ES"/>
              </w:rPr>
              <w:t xml:space="preserve">el </w:t>
            </w:r>
            <w:r w:rsidRPr="00A6106C">
              <w:rPr>
                <w:rFonts w:cs="Arial"/>
                <w:lang w:val="es-ES"/>
              </w:rPr>
              <w:t xml:space="preserve">receptor, así como otros escenarios de solución de problemas  </w:t>
            </w:r>
            <w:r w:rsidR="00A6106C" w:rsidRPr="00A6106C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</w:tr>
      <w:tr w:rsidR="00432547" w:rsidRPr="00A6106C" w:rsidTr="004D5767">
        <w:tc>
          <w:tcPr>
            <w:tcW w:w="9639" w:type="dxa"/>
            <w:gridSpan w:val="3"/>
            <w:shd w:val="clear" w:color="auto" w:fill="A6A6A6"/>
            <w:vAlign w:val="center"/>
          </w:tcPr>
          <w:p w:rsidR="00432547" w:rsidRPr="00A6106C" w:rsidRDefault="00E9450B" w:rsidP="00A6106C">
            <w:pPr>
              <w:spacing w:before="120"/>
              <w:rPr>
                <w:rFonts w:cs="Arial"/>
                <w:lang w:val="es-ES"/>
              </w:rPr>
            </w:pPr>
            <w:r w:rsidRPr="00A6106C">
              <w:rPr>
                <w:rFonts w:cs="Arial"/>
                <w:b/>
                <w:lang w:val="es-ES"/>
              </w:rPr>
              <w:t xml:space="preserve">Atención al cliente/formación: Usuario final (beneficiario)   </w:t>
            </w:r>
            <w:r w:rsidR="00A6106C" w:rsidRP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</w:tr>
      <w:tr w:rsidR="007C4704" w:rsidRPr="00A6106C" w:rsidTr="00A45574">
        <w:tc>
          <w:tcPr>
            <w:tcW w:w="3052" w:type="dxa"/>
            <w:shd w:val="clear" w:color="auto" w:fill="E6E6E6"/>
            <w:vAlign w:val="center"/>
          </w:tcPr>
          <w:p w:rsidR="007C4704" w:rsidRPr="00A6106C" w:rsidRDefault="00E9450B" w:rsidP="00A6106C">
            <w:pPr>
              <w:keepNext/>
              <w:spacing w:before="40" w:after="40"/>
              <w:jc w:val="left"/>
              <w:rPr>
                <w:rFonts w:cs="Arial"/>
                <w:b/>
                <w:lang w:val="es-ES"/>
              </w:rPr>
            </w:pPr>
            <w:r w:rsidRPr="00A6106C">
              <w:rPr>
                <w:rFonts w:cs="Arial"/>
                <w:b/>
                <w:lang w:val="es-ES"/>
              </w:rPr>
              <w:t xml:space="preserve">Formación para usuarios finales (beneficiarios)   </w:t>
            </w:r>
            <w:r w:rsidR="00A6106C" w:rsidRP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7C4704" w:rsidRPr="00A6106C" w:rsidRDefault="00E9450B" w:rsidP="00A6106C">
            <w:pPr>
              <w:spacing w:before="120"/>
              <w:jc w:val="left"/>
              <w:rPr>
                <w:rFonts w:cs="Arial"/>
                <w:lang w:val="es-ES"/>
              </w:rPr>
            </w:pPr>
            <w:r w:rsidRPr="00A6106C">
              <w:rPr>
                <w:rFonts w:cs="Arial"/>
                <w:lang w:val="es-ES"/>
              </w:rPr>
              <w:t xml:space="preserve">Detalles sobre la formación prevista (en su caso) para el usuario final (beneficiario) </w:t>
            </w:r>
            <w:r w:rsidR="00A6106C" w:rsidRPr="00A6106C">
              <w:rPr>
                <w:rFonts w:cs="Arial"/>
                <w:color w:val="4F81BD" w:themeColor="accent1"/>
                <w:lang w:val="es-ES"/>
              </w:rPr>
              <w:t xml:space="preserve"> </w:t>
            </w:r>
            <w:r w:rsidR="0090017E" w:rsidRPr="00A6106C">
              <w:rPr>
                <w:rFonts w:cs="Arial"/>
                <w:color w:val="4F81BD" w:themeColor="accent1"/>
                <w:lang w:val="es-ES"/>
              </w:rPr>
              <w:t xml:space="preserve">  </w:t>
            </w:r>
          </w:p>
        </w:tc>
      </w:tr>
      <w:tr w:rsidR="007C4704" w:rsidRPr="00A6106C" w:rsidTr="00A45574">
        <w:tc>
          <w:tcPr>
            <w:tcW w:w="3052" w:type="dxa"/>
            <w:shd w:val="clear" w:color="auto" w:fill="E6E6E6"/>
            <w:vAlign w:val="center"/>
          </w:tcPr>
          <w:p w:rsidR="007C4704" w:rsidRPr="00A6106C" w:rsidRDefault="00E9450B" w:rsidP="00A6106C">
            <w:pPr>
              <w:keepNext/>
              <w:spacing w:before="40" w:after="40"/>
              <w:jc w:val="left"/>
              <w:rPr>
                <w:rFonts w:cs="Arial"/>
                <w:b/>
              </w:rPr>
            </w:pPr>
            <w:r w:rsidRPr="00A6106C">
              <w:rPr>
                <w:rFonts w:cs="Arial"/>
                <w:b/>
              </w:rPr>
              <w:t xml:space="preserve">Apoyo técnico </w:t>
            </w:r>
            <w:r w:rsidR="00A6106C" w:rsidRPr="00A6106C">
              <w:rPr>
                <w:rFonts w:cs="Arial"/>
                <w:b/>
                <w:color w:val="4F81BD" w:themeColor="accent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7C4704" w:rsidRPr="00A6106C" w:rsidRDefault="00E9450B" w:rsidP="00A6106C">
            <w:pPr>
              <w:spacing w:before="120"/>
              <w:jc w:val="left"/>
              <w:rPr>
                <w:rFonts w:cs="Arial"/>
                <w:lang w:val="es-ES"/>
              </w:rPr>
            </w:pPr>
            <w:r w:rsidRPr="00A6106C">
              <w:rPr>
                <w:rFonts w:cs="Arial"/>
                <w:lang w:val="es-ES"/>
              </w:rPr>
              <w:t xml:space="preserve">Detalles sobre el servicio al cliente del proveedor de servicios y la disponibilidad del apoyo y estándares  </w:t>
            </w:r>
            <w:r w:rsidR="00A6106C" w:rsidRPr="00A6106C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</w:tr>
      <w:tr w:rsidR="007C4704" w:rsidRPr="00A6106C" w:rsidTr="00A45574">
        <w:tc>
          <w:tcPr>
            <w:tcW w:w="3052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C4704" w:rsidRPr="00A6106C" w:rsidRDefault="00E9450B" w:rsidP="00A6106C">
            <w:pPr>
              <w:spacing w:before="40" w:after="40"/>
              <w:jc w:val="left"/>
              <w:rPr>
                <w:rFonts w:cs="Arial"/>
                <w:b/>
                <w:lang w:val="es-ES"/>
              </w:rPr>
            </w:pPr>
            <w:r w:rsidRPr="00A6106C">
              <w:rPr>
                <w:rFonts w:cs="Arial"/>
                <w:b/>
                <w:lang w:val="es-ES"/>
              </w:rPr>
              <w:t xml:space="preserve">Resolución de problemas relacionados con los perceptores </w:t>
            </w:r>
            <w:r w:rsidR="00A6106C" w:rsidRP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6587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7C4704" w:rsidRPr="00A6106C" w:rsidRDefault="00E9450B" w:rsidP="00A6106C">
            <w:pPr>
              <w:spacing w:before="120"/>
              <w:jc w:val="left"/>
              <w:rPr>
                <w:rFonts w:cs="Arial"/>
                <w:lang w:val="es-ES"/>
              </w:rPr>
            </w:pPr>
            <w:r w:rsidRPr="00A6106C">
              <w:rPr>
                <w:rFonts w:cs="Arial"/>
                <w:lang w:val="es-ES"/>
              </w:rPr>
              <w:t xml:space="preserve">Detalles sobre quién es responsable de la resolución de los problemas con las transacciones encontrados por los beneficiarios </w:t>
            </w:r>
            <w:r w:rsidR="00A6106C" w:rsidRPr="00A6106C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</w:tr>
      <w:tr w:rsidR="00432547" w:rsidRPr="00A6106C" w:rsidTr="004D5767">
        <w:tc>
          <w:tcPr>
            <w:tcW w:w="9639" w:type="dxa"/>
            <w:gridSpan w:val="3"/>
            <w:shd w:val="clear" w:color="auto" w:fill="A6A6A6"/>
            <w:vAlign w:val="center"/>
          </w:tcPr>
          <w:p w:rsidR="00432547" w:rsidRPr="00A6106C" w:rsidRDefault="00E9450B" w:rsidP="00A6106C">
            <w:pPr>
              <w:spacing w:before="120"/>
              <w:rPr>
                <w:rFonts w:cs="Arial"/>
                <w:lang w:val="es-ES"/>
              </w:rPr>
            </w:pPr>
            <w:r w:rsidRPr="00A6106C">
              <w:rPr>
                <w:rFonts w:cs="Arial"/>
                <w:b/>
                <w:lang w:val="es-ES"/>
              </w:rPr>
              <w:t xml:space="preserve">Controles internos del proveedor de servicios en materia de privacidad/seguridad/protección de datos </w:t>
            </w:r>
            <w:r w:rsidR="00A6106C" w:rsidRP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</w:tr>
      <w:tr w:rsidR="007C4704" w:rsidRPr="00A6106C" w:rsidTr="00A45574">
        <w:tc>
          <w:tcPr>
            <w:tcW w:w="3052" w:type="dxa"/>
            <w:shd w:val="clear" w:color="auto" w:fill="E6E6E6"/>
            <w:vAlign w:val="center"/>
          </w:tcPr>
          <w:p w:rsidR="007C4704" w:rsidRPr="00A6106C" w:rsidRDefault="00E9450B" w:rsidP="00A6106C">
            <w:pPr>
              <w:spacing w:before="40" w:after="40"/>
              <w:jc w:val="left"/>
              <w:rPr>
                <w:rFonts w:cs="Arial"/>
                <w:b/>
                <w:lang w:val="es-ES"/>
              </w:rPr>
            </w:pPr>
            <w:r w:rsidRPr="00A6106C">
              <w:rPr>
                <w:rFonts w:cs="Arial"/>
                <w:b/>
                <w:lang w:val="es-ES"/>
              </w:rPr>
              <w:t xml:space="preserve">Seguridad de los fondos </w:t>
            </w:r>
            <w:r w:rsidR="00A6106C" w:rsidRP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7C4704" w:rsidRPr="00A6106C" w:rsidRDefault="00E9450B" w:rsidP="00A6106C">
            <w:pPr>
              <w:spacing w:before="120"/>
              <w:jc w:val="left"/>
              <w:rPr>
                <w:rFonts w:cs="Arial"/>
                <w:lang w:val="es-ES"/>
              </w:rPr>
            </w:pPr>
            <w:r w:rsidRPr="00A6106C">
              <w:rPr>
                <w:rFonts w:cs="Arial"/>
                <w:lang w:val="es-ES"/>
              </w:rPr>
              <w:t xml:space="preserve">Procesos y políticas </w:t>
            </w:r>
            <w:r w:rsidR="0033155F" w:rsidRPr="00A6106C">
              <w:rPr>
                <w:rFonts w:cs="Arial"/>
                <w:lang w:val="es-ES"/>
              </w:rPr>
              <w:t xml:space="preserve">relacionados con </w:t>
            </w:r>
            <w:r w:rsidRPr="00A6106C">
              <w:rPr>
                <w:rFonts w:cs="Arial"/>
                <w:lang w:val="es-ES"/>
              </w:rPr>
              <w:t xml:space="preserve">la seguridad de los fondos una vez que se depositan en la cuenta </w:t>
            </w:r>
            <w:r w:rsidR="00A6106C" w:rsidRPr="00A6106C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</w:tr>
      <w:tr w:rsidR="007C4704" w:rsidRPr="00A6106C" w:rsidTr="00A45574">
        <w:tc>
          <w:tcPr>
            <w:tcW w:w="3052" w:type="dxa"/>
            <w:shd w:val="clear" w:color="auto" w:fill="E6E6E6"/>
            <w:vAlign w:val="center"/>
          </w:tcPr>
          <w:p w:rsidR="007C4704" w:rsidRPr="00E76FD4" w:rsidRDefault="00E76FD4" w:rsidP="00A6106C">
            <w:pPr>
              <w:spacing w:before="40" w:after="40"/>
              <w:jc w:val="left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S</w:t>
            </w:r>
            <w:r w:rsidRPr="00E76FD4">
              <w:rPr>
                <w:rFonts w:cs="Arial"/>
                <w:b/>
                <w:lang w:val="es-ES"/>
              </w:rPr>
              <w:t xml:space="preserve">eguridad de los datos </w:t>
            </w:r>
            <w:r w:rsid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7C4704" w:rsidRPr="00E76FD4" w:rsidRDefault="00E76FD4" w:rsidP="00A6106C">
            <w:pPr>
              <w:spacing w:before="120"/>
              <w:jc w:val="left"/>
              <w:rPr>
                <w:rFonts w:cs="Arial"/>
                <w:lang w:val="es-ES"/>
              </w:rPr>
            </w:pPr>
            <w:r w:rsidRPr="00E76FD4">
              <w:rPr>
                <w:rFonts w:cs="Arial"/>
                <w:lang w:val="es-ES"/>
              </w:rPr>
              <w:t xml:space="preserve">Proceso y políticas para asegurar la privacidad y </w:t>
            </w:r>
            <w:r>
              <w:rPr>
                <w:rFonts w:cs="Arial"/>
                <w:lang w:val="es-ES"/>
              </w:rPr>
              <w:t xml:space="preserve">la </w:t>
            </w:r>
            <w:r w:rsidRPr="00E76FD4">
              <w:rPr>
                <w:rFonts w:cs="Arial"/>
                <w:lang w:val="es-ES"/>
              </w:rPr>
              <w:t xml:space="preserve">seguridad de los datos </w:t>
            </w:r>
            <w:r>
              <w:rPr>
                <w:rFonts w:cs="Arial"/>
                <w:lang w:val="es-ES"/>
              </w:rPr>
              <w:t xml:space="preserve">relacionados con </w:t>
            </w:r>
            <w:r w:rsidRPr="00E76FD4">
              <w:rPr>
                <w:rFonts w:cs="Arial"/>
                <w:lang w:val="es-ES"/>
              </w:rPr>
              <w:t>el historial de transacciones [de la organización]</w:t>
            </w:r>
            <w:r>
              <w:rPr>
                <w:rFonts w:cs="Arial"/>
                <w:lang w:val="es-ES"/>
              </w:rPr>
              <w:t xml:space="preserve"> </w:t>
            </w:r>
            <w:r w:rsidR="00A6106C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</w:tr>
      <w:tr w:rsidR="007C4704" w:rsidRPr="00A6106C" w:rsidTr="00A45574">
        <w:tc>
          <w:tcPr>
            <w:tcW w:w="3052" w:type="dxa"/>
            <w:shd w:val="clear" w:color="auto" w:fill="E6E6E6"/>
            <w:vAlign w:val="center"/>
          </w:tcPr>
          <w:p w:rsidR="007C4704" w:rsidRPr="00E76FD4" w:rsidRDefault="00E76FD4" w:rsidP="00A6106C">
            <w:pPr>
              <w:spacing w:before="40" w:after="40"/>
              <w:jc w:val="left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P</w:t>
            </w:r>
            <w:r w:rsidRPr="00E76FD4">
              <w:rPr>
                <w:rFonts w:cs="Arial"/>
                <w:b/>
                <w:lang w:val="es-ES"/>
              </w:rPr>
              <w:t xml:space="preserve">rivacidad de </w:t>
            </w:r>
            <w:r>
              <w:rPr>
                <w:rFonts w:cs="Arial"/>
                <w:b/>
                <w:lang w:val="es-ES"/>
              </w:rPr>
              <w:t xml:space="preserve">los </w:t>
            </w:r>
            <w:r w:rsidRPr="00E76FD4">
              <w:rPr>
                <w:rFonts w:cs="Arial"/>
                <w:b/>
                <w:lang w:val="es-ES"/>
              </w:rPr>
              <w:t xml:space="preserve">datos   </w:t>
            </w:r>
            <w:r w:rsidR="00A6106C">
              <w:rPr>
                <w:rFonts w:cs="Arial"/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6587" w:type="dxa"/>
            <w:gridSpan w:val="2"/>
            <w:shd w:val="clear" w:color="auto" w:fill="F3F3F3"/>
            <w:vAlign w:val="center"/>
          </w:tcPr>
          <w:p w:rsidR="007C4704" w:rsidRPr="00E76FD4" w:rsidRDefault="00E76FD4" w:rsidP="00A6106C">
            <w:pPr>
              <w:spacing w:before="120"/>
              <w:jc w:val="left"/>
              <w:rPr>
                <w:rFonts w:cs="Arial"/>
                <w:lang w:val="es-ES"/>
              </w:rPr>
            </w:pPr>
            <w:r w:rsidRPr="00E76FD4">
              <w:rPr>
                <w:rFonts w:cs="Arial"/>
                <w:lang w:val="es-ES"/>
              </w:rPr>
              <w:t xml:space="preserve">Procesos y políticas para garantizar la seguridad y privacidad de los datos del beneficiario </w:t>
            </w:r>
            <w:r>
              <w:rPr>
                <w:rFonts w:cs="Arial"/>
                <w:lang w:val="es-ES"/>
              </w:rPr>
              <w:t xml:space="preserve"> </w:t>
            </w:r>
            <w:r w:rsidR="00A6106C">
              <w:rPr>
                <w:rFonts w:cs="Arial"/>
                <w:color w:val="4F81BD" w:themeColor="accent1"/>
                <w:lang w:val="es-ES"/>
              </w:rPr>
              <w:t xml:space="preserve"> </w:t>
            </w:r>
            <w:r w:rsidR="0090017E" w:rsidRPr="00E76FD4">
              <w:rPr>
                <w:rFonts w:cs="Arial"/>
                <w:color w:val="4F81BD" w:themeColor="accent1"/>
                <w:lang w:val="es-ES"/>
              </w:rPr>
              <w:t xml:space="preserve"> </w:t>
            </w:r>
          </w:p>
        </w:tc>
      </w:tr>
    </w:tbl>
    <w:p w:rsidR="007C4704" w:rsidRPr="00F56789" w:rsidRDefault="00E76FD4" w:rsidP="003E2145">
      <w:pPr>
        <w:spacing w:before="120"/>
        <w:jc w:val="right"/>
        <w:rPr>
          <w:rFonts w:cs="Arial"/>
          <w:sz w:val="18"/>
        </w:rPr>
      </w:pPr>
      <w:r>
        <w:rPr>
          <w:rFonts w:cs="Arial"/>
          <w:sz w:val="18"/>
        </w:rPr>
        <w:t xml:space="preserve">Extracto de </w:t>
      </w:r>
      <w:r w:rsidR="0090017E" w:rsidRPr="00F56789">
        <w:rPr>
          <w:rFonts w:cs="Arial"/>
          <w:sz w:val="18"/>
        </w:rPr>
        <w:t>Key Tool: Servi</w:t>
      </w:r>
      <w:r w:rsidR="00011672" w:rsidRPr="00F56789">
        <w:rPr>
          <w:rFonts w:cs="Arial"/>
          <w:sz w:val="18"/>
        </w:rPr>
        <w:t>ce Provider Capacity Assessment, USAID and</w:t>
      </w:r>
      <w:r w:rsidR="0090017E" w:rsidRPr="00F56789">
        <w:rPr>
          <w:rFonts w:cs="Arial"/>
          <w:sz w:val="18"/>
        </w:rPr>
        <w:t xml:space="preserve"> NetHope.</w:t>
      </w:r>
    </w:p>
    <w:sectPr w:rsidR="007C4704" w:rsidRPr="00F56789" w:rsidSect="00DE08A3">
      <w:headerReference w:type="default" r:id="rId7"/>
      <w:footerReference w:type="even" r:id="rId8"/>
      <w:footerReference w:type="default" r:id="rId9"/>
      <w:pgSz w:w="11900" w:h="16840" w:code="9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AE" w:rsidRDefault="00CE04AE" w:rsidP="00A403E1">
      <w:pPr>
        <w:spacing w:after="0"/>
      </w:pPr>
      <w:r>
        <w:separator/>
      </w:r>
    </w:p>
  </w:endnote>
  <w:endnote w:type="continuationSeparator" w:id="0">
    <w:p w:rsidR="00CE04AE" w:rsidRDefault="00CE04AE" w:rsidP="00A403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E1" w:rsidRDefault="00A403E1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03E1" w:rsidRDefault="00A403E1" w:rsidP="00A403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FB" w:rsidRPr="00B45C74" w:rsidRDefault="00A868FB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A5CE4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A868FB" w:rsidRPr="003A3500" w:rsidRDefault="000D678D" w:rsidP="00ED1B2B">
    <w:pPr>
      <w:pStyle w:val="Footer"/>
    </w:pPr>
    <w:r>
      <w:rPr>
        <w:b/>
      </w:rPr>
      <w:t>Módulo</w:t>
    </w:r>
    <w:r w:rsidR="00A868FB" w:rsidRPr="00107E15">
      <w:rPr>
        <w:b/>
      </w:rPr>
      <w:t xml:space="preserve"> </w:t>
    </w:r>
    <w:r w:rsidR="00A868FB">
      <w:rPr>
        <w:b/>
      </w:rPr>
      <w:t>4</w:t>
    </w:r>
    <w:r w:rsidR="00A868FB" w:rsidRPr="00107E15">
      <w:rPr>
        <w:b/>
      </w:rPr>
      <w:t>.</w:t>
    </w:r>
    <w:r w:rsidR="00A868FB" w:rsidRPr="00107E15">
      <w:t xml:space="preserve"> </w:t>
    </w:r>
    <w:r>
      <w:t xml:space="preserve">Etapa </w:t>
    </w:r>
    <w:r w:rsidR="00A868FB">
      <w:t>3</w:t>
    </w:r>
    <w:r w:rsidR="00A868FB" w:rsidRPr="00107E15">
      <w:t>.</w:t>
    </w:r>
    <w:r w:rsidR="00A868FB">
      <w:t xml:space="preserve"> Sub-</w:t>
    </w:r>
    <w:r>
      <w:t>etapa</w:t>
    </w:r>
    <w:r w:rsidR="00A868FB">
      <w:t xml:space="preserve"> 1. </w:t>
    </w:r>
    <w:r w:rsidR="00A868FB" w:rsidRPr="00107E15">
      <w:rPr>
        <w:i/>
      </w:rPr>
      <w:fldChar w:fldCharType="begin"/>
    </w:r>
    <w:r w:rsidR="00A868FB" w:rsidRPr="00107E15">
      <w:rPr>
        <w:i/>
      </w:rPr>
      <w:instrText xml:space="preserve"> STYLEREF  H1 \t  \* MERGEFORMAT </w:instrText>
    </w:r>
    <w:r w:rsidR="00A868FB" w:rsidRPr="00107E15">
      <w:rPr>
        <w:i/>
      </w:rPr>
      <w:fldChar w:fldCharType="separate"/>
    </w:r>
    <w:r w:rsidR="00EA5CE4" w:rsidRPr="00EA5CE4">
      <w:rPr>
        <w:bCs/>
        <w:noProof/>
      </w:rPr>
      <w:t>Lista de verificación de</w:t>
    </w:r>
    <w:r w:rsidR="00EA5CE4">
      <w:rPr>
        <w:i/>
        <w:noProof/>
      </w:rPr>
      <w:t xml:space="preserve"> requisitos de las transferencias a través de teléfonos móviles</w:t>
    </w:r>
    <w:r w:rsidR="00A868FB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AE" w:rsidRDefault="00CE04AE" w:rsidP="00A403E1">
      <w:pPr>
        <w:spacing w:after="0"/>
      </w:pPr>
      <w:r>
        <w:separator/>
      </w:r>
    </w:p>
  </w:footnote>
  <w:footnote w:type="continuationSeparator" w:id="0">
    <w:p w:rsidR="00CE04AE" w:rsidRDefault="00CE04AE" w:rsidP="00A403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E9" w:rsidRPr="00730879" w:rsidRDefault="004F1EE9" w:rsidP="004F1EE9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:rsidR="00A868FB" w:rsidRPr="004F1EE9" w:rsidRDefault="00A868FB" w:rsidP="004F1EE9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686D"/>
    <w:multiLevelType w:val="hybridMultilevel"/>
    <w:tmpl w:val="F728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4A60"/>
    <w:multiLevelType w:val="hybridMultilevel"/>
    <w:tmpl w:val="FFDC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198E"/>
    <w:multiLevelType w:val="hybridMultilevel"/>
    <w:tmpl w:val="3E46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109A"/>
    <w:multiLevelType w:val="hybridMultilevel"/>
    <w:tmpl w:val="26F8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A0470"/>
    <w:multiLevelType w:val="hybridMultilevel"/>
    <w:tmpl w:val="249CE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C3D80"/>
    <w:multiLevelType w:val="hybridMultilevel"/>
    <w:tmpl w:val="4280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47"/>
    <w:rsid w:val="00011672"/>
    <w:rsid w:val="00030DB9"/>
    <w:rsid w:val="0007350C"/>
    <w:rsid w:val="000D5B62"/>
    <w:rsid w:val="000D678D"/>
    <w:rsid w:val="0011558E"/>
    <w:rsid w:val="001D5491"/>
    <w:rsid w:val="001E0589"/>
    <w:rsid w:val="001F6E69"/>
    <w:rsid w:val="002A7BA0"/>
    <w:rsid w:val="002B32DD"/>
    <w:rsid w:val="002F03A0"/>
    <w:rsid w:val="0033155F"/>
    <w:rsid w:val="0033737A"/>
    <w:rsid w:val="003955F9"/>
    <w:rsid w:val="003E2145"/>
    <w:rsid w:val="004154DE"/>
    <w:rsid w:val="00432547"/>
    <w:rsid w:val="004377B5"/>
    <w:rsid w:val="00490455"/>
    <w:rsid w:val="004A5D39"/>
    <w:rsid w:val="004D5767"/>
    <w:rsid w:val="004F1EE9"/>
    <w:rsid w:val="004F4028"/>
    <w:rsid w:val="00530C17"/>
    <w:rsid w:val="00547D3D"/>
    <w:rsid w:val="0057115A"/>
    <w:rsid w:val="005A7597"/>
    <w:rsid w:val="005B2877"/>
    <w:rsid w:val="005D7FE6"/>
    <w:rsid w:val="008C2471"/>
    <w:rsid w:val="0090017E"/>
    <w:rsid w:val="00905C21"/>
    <w:rsid w:val="009359A8"/>
    <w:rsid w:val="00A403E1"/>
    <w:rsid w:val="00A45574"/>
    <w:rsid w:val="00A527A5"/>
    <w:rsid w:val="00A6106C"/>
    <w:rsid w:val="00A868FB"/>
    <w:rsid w:val="00B75A6E"/>
    <w:rsid w:val="00B920FE"/>
    <w:rsid w:val="00C2615F"/>
    <w:rsid w:val="00CA0430"/>
    <w:rsid w:val="00CB6EA9"/>
    <w:rsid w:val="00CC368D"/>
    <w:rsid w:val="00CE04AE"/>
    <w:rsid w:val="00DE08A3"/>
    <w:rsid w:val="00E25072"/>
    <w:rsid w:val="00E76FD4"/>
    <w:rsid w:val="00E9450B"/>
    <w:rsid w:val="00EA5CE4"/>
    <w:rsid w:val="00F56789"/>
    <w:rsid w:val="00F736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77F245C-BBD4-4A42-A1B3-0D4F3765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E08A3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E08A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8A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8A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8A3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E08A3"/>
    <w:rPr>
      <w:rFonts w:ascii="Arial" w:eastAsiaTheme="minorEastAsia" w:hAnsi="Arial" w:cs="Times New Roman"/>
      <w:b/>
      <w:cap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A3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8A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E08A3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E08A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08A3"/>
    <w:rPr>
      <w:rFonts w:ascii="Arial" w:eastAsiaTheme="minorEastAsia" w:hAnsi="Arial" w:cs="Times New Roman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E08A3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DE08A3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DE08A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DE08A3"/>
    <w:rPr>
      <w:rFonts w:ascii="Arial" w:eastAsiaTheme="minorEastAsia" w:hAnsi="Arial" w:cs="Times New Roman"/>
      <w:b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08A3"/>
    <w:rPr>
      <w:rFonts w:ascii="Arial" w:hAnsi="Arial"/>
      <w:sz w:val="20"/>
      <w:szCs w:val="22"/>
    </w:rPr>
  </w:style>
  <w:style w:type="paragraph" w:customStyle="1" w:styleId="Default">
    <w:name w:val="Default"/>
    <w:rsid w:val="00DE08A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E08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8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8FB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DE08A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DE08A3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08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8A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E08A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08A3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E08A3"/>
    <w:rPr>
      <w:vertAlign w:val="superscript"/>
    </w:rPr>
  </w:style>
  <w:style w:type="paragraph" w:styleId="Revision">
    <w:name w:val="Revision"/>
    <w:hidden/>
    <w:uiPriority w:val="99"/>
    <w:semiHidden/>
    <w:rsid w:val="00DE08A3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DE08A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DE08A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DE08A3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DE08A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E08A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DE08A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DE08A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DE08A3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DE08A3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DE08A3"/>
    <w:pPr>
      <w:numPr>
        <w:numId w:val="1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DE08A3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E08A3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E08A3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E08A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E08A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DE08A3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  <w:style w:type="character" w:customStyle="1" w:styleId="apple-converted-space">
    <w:name w:val="apple-converted-space"/>
    <w:basedOn w:val="DefaultParagraphFont"/>
    <w:rsid w:val="004A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0</TotalTime>
  <Pages>2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Creti Pantaleo</dc:creator>
  <cp:lastModifiedBy>Ines DALMAU i GUTSENS</cp:lastModifiedBy>
  <cp:revision>2</cp:revision>
  <cp:lastPrinted>2015-09-30T20:00:00Z</cp:lastPrinted>
  <dcterms:created xsi:type="dcterms:W3CDTF">2016-02-20T12:34:00Z</dcterms:created>
  <dcterms:modified xsi:type="dcterms:W3CDTF">2016-02-20T12:34:00Z</dcterms:modified>
</cp:coreProperties>
</file>