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7" w:rsidRPr="00AD6CC6" w:rsidRDefault="004F4028" w:rsidP="00A868FB">
      <w:pPr>
        <w:pStyle w:val="H1"/>
      </w:pPr>
      <w:r w:rsidRPr="00AD6CC6">
        <w:t>Liste de contrôle des exigences relatives à l</w:t>
      </w:r>
      <w:r w:rsidR="00E40D2D" w:rsidRPr="00AD6CC6">
        <w:t>’</w:t>
      </w:r>
      <w:r w:rsidRPr="00AD6CC6">
        <w:t>argent mobile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8"/>
        <w:gridCol w:w="6579"/>
      </w:tblGrid>
      <w:tr w:rsidR="003E2145" w:rsidRPr="00AD6CC6" w:rsidTr="003E2145">
        <w:trPr>
          <w:trHeight w:val="461"/>
        </w:trPr>
        <w:tc>
          <w:tcPr>
            <w:tcW w:w="3052" w:type="dxa"/>
            <w:shd w:val="clear" w:color="BFBFBF" w:themeColor="background1" w:themeShade="BF" w:fill="DC281E"/>
            <w:vAlign w:val="center"/>
          </w:tcPr>
          <w:p w:rsidR="007C4704" w:rsidRPr="00AD6CC6" w:rsidRDefault="0090017E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6CC6">
              <w:rPr>
                <w:b/>
                <w:color w:val="FFFFFF" w:themeColor="background1"/>
              </w:rPr>
              <w:t>Service</w:t>
            </w:r>
          </w:p>
        </w:tc>
        <w:tc>
          <w:tcPr>
            <w:tcW w:w="6587" w:type="dxa"/>
            <w:gridSpan w:val="2"/>
            <w:shd w:val="clear" w:color="BFBFBF" w:themeColor="background1" w:themeShade="BF" w:fill="DC281E"/>
            <w:vAlign w:val="center"/>
          </w:tcPr>
          <w:p w:rsidR="007C4704" w:rsidRPr="00AD6CC6" w:rsidRDefault="0090017E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6CC6">
              <w:rPr>
                <w:b/>
                <w:color w:val="FFFFFF" w:themeColor="background1"/>
              </w:rPr>
              <w:t>Exigences minimales</w:t>
            </w:r>
          </w:p>
        </w:tc>
      </w:tr>
      <w:tr w:rsidR="00432547" w:rsidRPr="00AD6CC6" w:rsidTr="00F56789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D6CC6" w:rsidRDefault="00864D02" w:rsidP="00864D02">
            <w:pPr>
              <w:spacing w:before="120"/>
              <w:rPr>
                <w:rFonts w:cs="Arial"/>
              </w:rPr>
            </w:pPr>
            <w:r w:rsidRPr="00AD6CC6">
              <w:rPr>
                <w:b/>
              </w:rPr>
              <w:t>Caractéristiques des services</w:t>
            </w:r>
            <w:r w:rsidR="001F6E69" w:rsidRPr="00AD6CC6">
              <w:rPr>
                <w:b/>
              </w:rPr>
              <w:t xml:space="preserve"> de paiement : </w:t>
            </w:r>
            <w:r w:rsidRPr="00AD6CC6">
              <w:rPr>
                <w:b/>
              </w:rPr>
              <w:t>Institution financière</w:t>
            </w:r>
            <w:r w:rsidR="001F6E69" w:rsidRPr="00AD6CC6">
              <w:rPr>
                <w:b/>
              </w:rPr>
              <w:t xml:space="preserve"> (payeur)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Capacités de suivi des transactions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864D02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sur la façon dont les transactions sont pré-vérifiées avant le paiement et </w:t>
            </w:r>
            <w:r w:rsidR="00710CD6" w:rsidRPr="00AD6CC6">
              <w:t xml:space="preserve">sur </w:t>
            </w:r>
            <w:r w:rsidRPr="00AD6CC6">
              <w:t xml:space="preserve">la manière dont </w:t>
            </w:r>
            <w:r w:rsidR="00864D02" w:rsidRPr="00AD6CC6">
              <w:t xml:space="preserve">les </w:t>
            </w:r>
            <w:r w:rsidRPr="00AD6CC6">
              <w:t>information</w:t>
            </w:r>
            <w:r w:rsidR="00864D02" w:rsidRPr="00AD6CC6">
              <w:t>s</w:t>
            </w:r>
            <w:r w:rsidRPr="00AD6CC6">
              <w:t xml:space="preserve"> </w:t>
            </w:r>
            <w:r w:rsidR="00864D02" w:rsidRPr="00AD6CC6">
              <w:t>sont communiquées</w:t>
            </w:r>
            <w:r w:rsidRPr="00AD6CC6">
              <w:t xml:space="preserve"> au payeur [organisation] une fois les paiements effectués</w:t>
            </w:r>
            <w:r w:rsidRPr="00AD6CC6">
              <w:br/>
            </w:r>
            <w:r w:rsidR="00864D02" w:rsidRPr="00AD6CC6">
              <w:t>Relevés d’opération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864D02" w:rsidP="00864D02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Enregistrement des clients</w:t>
            </w:r>
            <w:r w:rsidR="001F6E69" w:rsidRPr="00AD6CC6">
              <w:rPr>
                <w:b/>
              </w:rPr>
              <w:t xml:space="preserve"> et connaissance de</w:t>
            </w:r>
            <w:r w:rsidRPr="00AD6CC6">
              <w:rPr>
                <w:b/>
              </w:rPr>
              <w:t xml:space="preserve"> leur</w:t>
            </w:r>
            <w:r w:rsidR="001F6E69" w:rsidRPr="00AD6CC6">
              <w:rPr>
                <w:b/>
              </w:rPr>
              <w:t>s exigences (compte d</w:t>
            </w:r>
            <w:r w:rsidR="00E40D2D" w:rsidRPr="00AD6CC6">
              <w:rPr>
                <w:b/>
              </w:rPr>
              <w:t>’</w:t>
            </w:r>
            <w:r w:rsidR="001F6E69" w:rsidRPr="00AD6CC6">
              <w:rPr>
                <w:b/>
              </w:rPr>
              <w:t>entreprise)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864D02">
            <w:pPr>
              <w:spacing w:before="120"/>
              <w:jc w:val="left"/>
              <w:rPr>
                <w:rFonts w:cs="Arial"/>
              </w:rPr>
            </w:pPr>
            <w:r w:rsidRPr="00AD6CC6">
              <w:t>Liste des exigences s</w:t>
            </w:r>
            <w:r w:rsidR="00E40D2D" w:rsidRPr="00AD6CC6">
              <w:t>’</w:t>
            </w:r>
            <w:r w:rsidRPr="00AD6CC6">
              <w:t>appliquant à [l</w:t>
            </w:r>
            <w:r w:rsidR="00E40D2D" w:rsidRPr="00AD6CC6">
              <w:t>’</w:t>
            </w:r>
            <w:r w:rsidRPr="00AD6CC6">
              <w:t xml:space="preserve">organisation] pour </w:t>
            </w:r>
            <w:r w:rsidR="007D447C" w:rsidRPr="00AD6CC6">
              <w:t>l</w:t>
            </w:r>
            <w:r w:rsidR="00E40D2D" w:rsidRPr="00AD6CC6">
              <w:t>’</w:t>
            </w:r>
            <w:r w:rsidR="007D447C" w:rsidRPr="00AD6CC6">
              <w:t>activation d</w:t>
            </w:r>
            <w:r w:rsidR="00E40D2D" w:rsidRPr="00AD6CC6">
              <w:t>’</w:t>
            </w:r>
            <w:r w:rsidRPr="00AD6CC6">
              <w:t xml:space="preserve">un compte </w:t>
            </w:r>
            <w:r w:rsidR="00710CD6" w:rsidRPr="00AD6CC6">
              <w:t xml:space="preserve">auprès </w:t>
            </w:r>
            <w:r w:rsidR="00864D02" w:rsidRPr="00AD6CC6">
              <w:t>de l’institution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432547" w:rsidP="007D447C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Description complète des </w:t>
            </w:r>
            <w:r w:rsidR="007D447C" w:rsidRPr="00AD6CC6">
              <w:rPr>
                <w:b/>
              </w:rPr>
              <w:t>versements</w:t>
            </w:r>
            <w:r w:rsidRPr="00AD6CC6">
              <w:rPr>
                <w:rFonts w:cs="Arial"/>
                <w:b/>
              </w:rPr>
              <w:br/>
            </w:r>
            <w:r w:rsidRPr="00AD6CC6">
              <w:rPr>
                <w:b/>
              </w:rPr>
              <w:t>(processus de paiement)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864D02" w:rsidP="00864D02">
            <w:pPr>
              <w:spacing w:before="120"/>
              <w:jc w:val="left"/>
              <w:rPr>
                <w:rFonts w:cs="Arial"/>
              </w:rPr>
            </w:pPr>
            <w:r w:rsidRPr="00AD6CC6">
              <w:t>Graphique</w:t>
            </w:r>
            <w:r w:rsidR="00432547" w:rsidRPr="00AD6CC6">
              <w:t xml:space="preserve"> du processus de </w:t>
            </w:r>
            <w:r w:rsidR="007D447C" w:rsidRPr="00AD6CC6">
              <w:t>versement</w:t>
            </w:r>
            <w:r w:rsidR="00432547" w:rsidRPr="00AD6CC6">
              <w:t xml:space="preserve"> des fonds</w:t>
            </w:r>
            <w:r w:rsidRPr="00AD6CC6">
              <w:t xml:space="preserve">, avec </w:t>
            </w:r>
            <w:r w:rsidR="00440C4C" w:rsidRPr="00AD6CC6">
              <w:t>captures d</w:t>
            </w:r>
            <w:r w:rsidR="00E40D2D" w:rsidRPr="00AD6CC6">
              <w:t>’</w:t>
            </w:r>
            <w:r w:rsidR="00440C4C" w:rsidRPr="00AD6CC6">
              <w:t>écran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432547" w:rsidP="00864D02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Solde du compte et limites </w:t>
            </w:r>
            <w:r w:rsidR="00864D02" w:rsidRPr="00AD6CC6">
              <w:rPr>
                <w:b/>
              </w:rPr>
              <w:t xml:space="preserve">en matière de </w:t>
            </w:r>
            <w:r w:rsidRPr="00AD6CC6">
              <w:rPr>
                <w:b/>
              </w:rPr>
              <w:t>volume de transactions (compte d</w:t>
            </w:r>
            <w:r w:rsidR="00E40D2D" w:rsidRPr="00AD6CC6">
              <w:rPr>
                <w:b/>
              </w:rPr>
              <w:t>’</w:t>
            </w:r>
            <w:r w:rsidRPr="00AD6CC6">
              <w:rPr>
                <w:b/>
              </w:rPr>
              <w:t>entreprise)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864D02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</w:t>
            </w:r>
            <w:r w:rsidR="00440C4C" w:rsidRPr="00AD6CC6">
              <w:t>relatifs aux</w:t>
            </w:r>
            <w:r w:rsidRPr="00AD6CC6">
              <w:t xml:space="preserve"> limites de</w:t>
            </w:r>
            <w:r w:rsidR="00440C4C" w:rsidRPr="00AD6CC6">
              <w:t>s</w:t>
            </w:r>
            <w:r w:rsidRPr="00AD6CC6">
              <w:t xml:space="preserve"> transaction</w:t>
            </w:r>
            <w:r w:rsidR="00440C4C" w:rsidRPr="00AD6CC6">
              <w:t>s</w:t>
            </w:r>
            <w:r w:rsidRPr="00AD6CC6">
              <w:t xml:space="preserve">, y compris les limites </w:t>
            </w:r>
            <w:r w:rsidR="00864D02" w:rsidRPr="00AD6CC6">
              <w:t>relatives au</w:t>
            </w:r>
            <w:r w:rsidRPr="00AD6CC6">
              <w:t xml:space="preserve"> </w:t>
            </w:r>
            <w:r w:rsidR="003506C6" w:rsidRPr="00AD6CC6">
              <w:rPr>
                <w:b/>
                <w:i/>
              </w:rPr>
              <w:t xml:space="preserve">montant </w:t>
            </w:r>
            <w:r w:rsidRPr="00AD6CC6">
              <w:t xml:space="preserve">des paiements </w:t>
            </w:r>
            <w:r w:rsidR="00440C4C" w:rsidRPr="00AD6CC6">
              <w:t xml:space="preserve">que </w:t>
            </w:r>
            <w:r w:rsidRPr="00AD6CC6">
              <w:t>[</w:t>
            </w:r>
            <w:r w:rsidR="00440C4C" w:rsidRPr="00AD6CC6">
              <w:t>l</w:t>
            </w:r>
            <w:r w:rsidR="00E40D2D" w:rsidRPr="00AD6CC6">
              <w:t>’</w:t>
            </w:r>
            <w:r w:rsidRPr="00AD6CC6">
              <w:t>organisation] p</w:t>
            </w:r>
            <w:r w:rsidR="00440C4C" w:rsidRPr="00AD6CC6">
              <w:t>eu</w:t>
            </w:r>
            <w:r w:rsidRPr="00AD6CC6">
              <w:t>t</w:t>
            </w:r>
            <w:r w:rsidR="00440C4C" w:rsidRPr="00AD6CC6">
              <w:t xml:space="preserve"> envoyer</w:t>
            </w:r>
            <w:r w:rsidRPr="00AD6CC6">
              <w:t xml:space="preserve"> à un destinatair</w:t>
            </w:r>
            <w:r w:rsidR="00440C4C" w:rsidRPr="00AD6CC6">
              <w:t>e unique en une seule journée</w:t>
            </w:r>
            <w:r w:rsidR="00864D02" w:rsidRPr="00AD6CC6">
              <w:t>,</w:t>
            </w:r>
            <w:r w:rsidR="00440C4C" w:rsidRPr="00AD6CC6">
              <w:t xml:space="preserve"> ainsi qu</w:t>
            </w:r>
            <w:r w:rsidR="00E40D2D" w:rsidRPr="00AD6CC6">
              <w:t>’</w:t>
            </w:r>
            <w:r w:rsidR="009F06EB" w:rsidRPr="00AD6CC6">
              <w:t>au</w:t>
            </w:r>
            <w:r w:rsidRPr="00AD6CC6">
              <w:t xml:space="preserve"> volume de transactions </w:t>
            </w:r>
            <w:r w:rsidR="00440C4C" w:rsidRPr="00AD6CC6">
              <w:t xml:space="preserve">que </w:t>
            </w:r>
            <w:r w:rsidRPr="00AD6CC6">
              <w:t>[</w:t>
            </w:r>
            <w:r w:rsidR="00440C4C" w:rsidRPr="00AD6CC6">
              <w:t>l</w:t>
            </w:r>
            <w:r w:rsidR="00E40D2D" w:rsidRPr="00AD6CC6">
              <w:t>’</w:t>
            </w:r>
            <w:r w:rsidRPr="00AD6CC6">
              <w:t>organisation] p</w:t>
            </w:r>
            <w:r w:rsidR="00440C4C" w:rsidRPr="00AD6CC6">
              <w:t>eut</w:t>
            </w:r>
            <w:r w:rsidRPr="00AD6CC6">
              <w:t xml:space="preserve"> </w:t>
            </w:r>
            <w:r w:rsidR="00440C4C" w:rsidRPr="00AD6CC6">
              <w:t>effectuer</w:t>
            </w:r>
            <w:r w:rsidRPr="00AD6CC6">
              <w:t xml:space="preserve"> en une seule journée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Autorisation de l</w:t>
            </w:r>
            <w:r w:rsidR="00E40D2D" w:rsidRPr="00AD6CC6">
              <w:rPr>
                <w:b/>
              </w:rPr>
              <w:t>’</w:t>
            </w:r>
            <w:r w:rsidRPr="00AD6CC6">
              <w:rPr>
                <w:b/>
              </w:rPr>
              <w:t xml:space="preserve">utilisateur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40C4C" w:rsidP="00864D02">
            <w:pPr>
              <w:spacing w:before="120"/>
              <w:jc w:val="left"/>
              <w:rPr>
                <w:rFonts w:cs="Arial"/>
              </w:rPr>
            </w:pPr>
            <w:r w:rsidRPr="00AD6CC6">
              <w:t>Possibilité d</w:t>
            </w:r>
            <w:r w:rsidR="00E40D2D" w:rsidRPr="00AD6CC6">
              <w:t>’</w:t>
            </w:r>
            <w:r w:rsidRPr="00AD6CC6">
              <w:t xml:space="preserve">accorder </w:t>
            </w:r>
            <w:r w:rsidR="00864D02" w:rsidRPr="00AD6CC6">
              <w:t xml:space="preserve">des </w:t>
            </w:r>
            <w:r w:rsidRPr="00AD6CC6">
              <w:t xml:space="preserve">autorisations </w:t>
            </w:r>
            <w:r w:rsidR="00864D02" w:rsidRPr="00AD6CC6">
              <w:t xml:space="preserve">à différents </w:t>
            </w:r>
            <w:r w:rsidR="00432547" w:rsidRPr="00AD6CC6">
              <w:t>utilisateurs au sein du système (à savoir, créateur, contrôleur, processeur)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Brochure, catalogue et dépliant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9E4B4D" w:rsidP="00FE418F">
            <w:pPr>
              <w:spacing w:before="120"/>
              <w:jc w:val="left"/>
              <w:rPr>
                <w:rFonts w:cs="Arial"/>
              </w:rPr>
            </w:pPr>
            <w:r w:rsidRPr="00AD6CC6">
              <w:t>Fourniture de brochures,</w:t>
            </w:r>
            <w:r w:rsidR="00432547" w:rsidRPr="00AD6CC6">
              <w:t xml:space="preserve"> </w:t>
            </w:r>
            <w:r w:rsidR="00FE418F" w:rsidRPr="00AD6CC6">
              <w:t xml:space="preserve">de </w:t>
            </w:r>
            <w:r w:rsidR="00432547" w:rsidRPr="00AD6CC6">
              <w:t xml:space="preserve">catalogues et </w:t>
            </w:r>
            <w:r w:rsidR="00FE418F" w:rsidRPr="00AD6CC6">
              <w:t xml:space="preserve">de </w:t>
            </w:r>
            <w:r w:rsidR="00432547" w:rsidRPr="00AD6CC6">
              <w:t xml:space="preserve">dépliants illustrant les </w:t>
            </w:r>
            <w:r w:rsidR="00FE418F" w:rsidRPr="00AD6CC6">
              <w:t>modalités</w:t>
            </w:r>
            <w:r w:rsidR="00432547" w:rsidRPr="00AD6CC6">
              <w:t xml:space="preserve"> du service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Interopérabilité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AD6CC6">
              <w:t>Inter</w:t>
            </w:r>
            <w:r w:rsidR="00D3158F">
              <w:t>opérabilité de la plate</w:t>
            </w:r>
            <w:r w:rsidR="009E4B4D" w:rsidRPr="00AD6CC6">
              <w:t>form</w:t>
            </w:r>
            <w:r w:rsidRPr="00AD6CC6">
              <w:t>e avec d</w:t>
            </w:r>
            <w:r w:rsidR="00E40D2D" w:rsidRPr="00AD6CC6">
              <w:t>’</w:t>
            </w:r>
            <w:r w:rsidRPr="00AD6CC6">
              <w:t xml:space="preserve">autres </w:t>
            </w:r>
            <w:r w:rsidR="00D3158F">
              <w:t>plate</w:t>
            </w:r>
            <w:r w:rsidRPr="00AD6CC6">
              <w:t>formes de paiement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432547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Tarification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9E4B4D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Matrice </w:t>
            </w:r>
            <w:r w:rsidR="009E4B4D" w:rsidRPr="00AD6CC6">
              <w:t xml:space="preserve">détaillée </w:t>
            </w:r>
            <w:r w:rsidRPr="00AD6CC6">
              <w:t xml:space="preserve">des tarifs </w:t>
            </w:r>
            <w:r w:rsidR="009E4B4D" w:rsidRPr="00AD6CC6">
              <w:t>d</w:t>
            </w:r>
            <w:r w:rsidRPr="00AD6CC6">
              <w:t xml:space="preserve">es transactions </w:t>
            </w:r>
          </w:p>
        </w:tc>
      </w:tr>
      <w:tr w:rsidR="00432547" w:rsidRPr="00AD6CC6" w:rsidTr="00A45574"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2547" w:rsidRPr="00AD6CC6" w:rsidRDefault="001F6E69" w:rsidP="00F56789">
            <w:pPr>
              <w:spacing w:before="120"/>
              <w:jc w:val="left"/>
              <w:rPr>
                <w:rFonts w:cs="Arial"/>
              </w:rPr>
            </w:pPr>
            <w:r w:rsidRPr="00AD6CC6">
              <w:rPr>
                <w:b/>
              </w:rPr>
              <w:t>Stockage de données</w:t>
            </w:r>
          </w:p>
        </w:tc>
        <w:tc>
          <w:tcPr>
            <w:tcW w:w="657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432547" w:rsidRPr="00AD6CC6" w:rsidRDefault="00432547" w:rsidP="00FE418F">
            <w:pPr>
              <w:spacing w:before="120"/>
              <w:jc w:val="left"/>
              <w:rPr>
                <w:rFonts w:cs="Arial"/>
              </w:rPr>
            </w:pPr>
            <w:r w:rsidRPr="00AD6CC6">
              <w:t>Possibilité de stocker les données</w:t>
            </w:r>
            <w:r w:rsidR="00D3158F">
              <w:t xml:space="preserve"> des destinataires sur la plate</w:t>
            </w:r>
            <w:r w:rsidRPr="00AD6CC6">
              <w:t xml:space="preserve">forme de paiement </w:t>
            </w:r>
            <w:r w:rsidR="009E4B4D" w:rsidRPr="00AD6CC6">
              <w:t>afin d</w:t>
            </w:r>
            <w:r w:rsidR="00E40D2D" w:rsidRPr="00AD6CC6">
              <w:t>’</w:t>
            </w:r>
            <w:r w:rsidRPr="00AD6CC6">
              <w:t xml:space="preserve">éviter </w:t>
            </w:r>
            <w:r w:rsidR="00FE418F" w:rsidRPr="00AD6CC6">
              <w:t>d’avoir à les saisir</w:t>
            </w:r>
            <w:r w:rsidRPr="00AD6CC6">
              <w:t xml:space="preserve"> à chaque </w:t>
            </w:r>
            <w:r w:rsidR="009E4B4D" w:rsidRPr="00AD6CC6">
              <w:t>paiement</w:t>
            </w:r>
          </w:p>
        </w:tc>
      </w:tr>
      <w:tr w:rsidR="00432547" w:rsidRPr="00AD6CC6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D6CC6" w:rsidRDefault="00864D02" w:rsidP="00864D02">
            <w:pPr>
              <w:spacing w:before="120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Caractéristiques des services </w:t>
            </w:r>
            <w:r w:rsidR="001F6E69" w:rsidRPr="00AD6CC6">
              <w:rPr>
                <w:b/>
              </w:rPr>
              <w:t>de paiement : Utilisateur final (bénéficiaire)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Réception des fonds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F56789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Notification de la transaction aux bénéficiaires (par exemple, messages SMS) </w:t>
            </w:r>
          </w:p>
        </w:tc>
      </w:tr>
      <w:tr w:rsidR="00432547" w:rsidRPr="00AD6CC6" w:rsidTr="00A45574">
        <w:tc>
          <w:tcPr>
            <w:tcW w:w="3052" w:type="dxa"/>
            <w:shd w:val="clear" w:color="auto" w:fill="E6E6E6"/>
            <w:vAlign w:val="center"/>
          </w:tcPr>
          <w:p w:rsidR="00432547" w:rsidRPr="00AD6CC6" w:rsidRDefault="00FE418F" w:rsidP="00FE418F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Enregistrement des clients et connaissance de leurs exigences </w:t>
            </w:r>
            <w:r w:rsidR="001F6E69" w:rsidRPr="00AD6CC6">
              <w:rPr>
                <w:b/>
              </w:rPr>
              <w:t>(compte de l</w:t>
            </w:r>
            <w:r w:rsidR="00E40D2D" w:rsidRPr="00AD6CC6">
              <w:rPr>
                <w:b/>
              </w:rPr>
              <w:t>’</w:t>
            </w:r>
            <w:r w:rsidR="001F6E69" w:rsidRPr="00AD6CC6">
              <w:rPr>
                <w:b/>
              </w:rPr>
              <w:t>utilisateur final)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D6CC6" w:rsidRDefault="00432547" w:rsidP="00FE418F">
            <w:pPr>
              <w:spacing w:before="120"/>
              <w:jc w:val="left"/>
              <w:rPr>
                <w:rFonts w:cs="Arial"/>
              </w:rPr>
            </w:pPr>
            <w:r w:rsidRPr="00AD6CC6">
              <w:t>Liste des exigences s</w:t>
            </w:r>
            <w:r w:rsidR="00E40D2D" w:rsidRPr="00AD6CC6">
              <w:t>’</w:t>
            </w:r>
            <w:r w:rsidRPr="00AD6CC6">
              <w:t xml:space="preserve">appliquant aux bénéficiaires pour </w:t>
            </w:r>
            <w:r w:rsidR="009F06EB" w:rsidRPr="00AD6CC6">
              <w:t>l</w:t>
            </w:r>
            <w:r w:rsidR="00E40D2D" w:rsidRPr="00AD6CC6">
              <w:t>’</w:t>
            </w:r>
            <w:r w:rsidR="009F06EB" w:rsidRPr="00AD6CC6">
              <w:t>activation de</w:t>
            </w:r>
            <w:r w:rsidRPr="00AD6CC6">
              <w:t xml:space="preserve"> comptes auprès du </w:t>
            </w:r>
            <w:r w:rsidR="00FE418F" w:rsidRPr="00AD6CC6">
              <w:t>prestataire</w:t>
            </w:r>
            <w:r w:rsidRPr="00AD6CC6">
              <w:t xml:space="preserve"> de services ; description de la capacité </w:t>
            </w:r>
            <w:r w:rsidR="00FE418F" w:rsidRPr="00AD6CC6">
              <w:t>de</w:t>
            </w:r>
            <w:r w:rsidRPr="00AD6CC6">
              <w:t xml:space="preserve"> traiter les paiements ou </w:t>
            </w:r>
            <w:r w:rsidR="00FE418F" w:rsidRPr="00AD6CC6">
              <w:t xml:space="preserve">d’annuler l’enregistrement des </w:t>
            </w:r>
            <w:r w:rsidRPr="00AD6CC6">
              <w:t>non-détenteurs de compte</w:t>
            </w:r>
          </w:p>
        </w:tc>
      </w:tr>
      <w:tr w:rsidR="00432547" w:rsidRPr="00AD6CC6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2547" w:rsidRPr="00AD6CC6" w:rsidRDefault="00432547" w:rsidP="00FE418F">
            <w:pPr>
              <w:spacing w:before="120"/>
              <w:jc w:val="left"/>
              <w:rPr>
                <w:b/>
              </w:rPr>
            </w:pPr>
            <w:r w:rsidRPr="00AD6CC6">
              <w:rPr>
                <w:b/>
              </w:rPr>
              <w:t xml:space="preserve">Solde du compte et limites </w:t>
            </w:r>
            <w:r w:rsidR="00FE418F" w:rsidRPr="00AD6CC6">
              <w:rPr>
                <w:b/>
              </w:rPr>
              <w:t xml:space="preserve">en matière de </w:t>
            </w:r>
            <w:r w:rsidRPr="00AD6CC6">
              <w:rPr>
                <w:b/>
              </w:rPr>
              <w:t>volume de transaction</w:t>
            </w:r>
            <w:r w:rsidR="00FE418F" w:rsidRPr="00AD6CC6">
              <w:rPr>
                <w:b/>
              </w:rPr>
              <w:t>s</w:t>
            </w:r>
            <w:r w:rsidRPr="00AD6CC6">
              <w:rPr>
                <w:b/>
              </w:rPr>
              <w:t xml:space="preserve"> (compte de l</w:t>
            </w:r>
            <w:r w:rsidR="00E40D2D" w:rsidRPr="00AD6CC6">
              <w:rPr>
                <w:b/>
              </w:rPr>
              <w:t>’</w:t>
            </w:r>
            <w:r w:rsidRPr="00AD6CC6">
              <w:rPr>
                <w:b/>
              </w:rPr>
              <w:t>utilisateur final)</w:t>
            </w:r>
          </w:p>
          <w:p w:rsidR="00FE418F" w:rsidRPr="00AD6CC6" w:rsidRDefault="00FE418F" w:rsidP="00FE418F">
            <w:pPr>
              <w:spacing w:before="120"/>
              <w:jc w:val="left"/>
              <w:rPr>
                <w:rFonts w:cs="Arial"/>
                <w:b/>
              </w:rPr>
            </w:pP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432547" w:rsidRPr="00AD6CC6" w:rsidRDefault="009F06EB" w:rsidP="009F06EB">
            <w:pPr>
              <w:spacing w:before="120"/>
              <w:jc w:val="left"/>
              <w:rPr>
                <w:rFonts w:cs="Arial"/>
              </w:rPr>
            </w:pPr>
            <w:r w:rsidRPr="00AD6CC6">
              <w:t>Détails relatifs au</w:t>
            </w:r>
            <w:r w:rsidR="00432547" w:rsidRPr="00AD6CC6">
              <w:t xml:space="preserve"> montant minimum/maximum des fonds que l</w:t>
            </w:r>
            <w:r w:rsidR="00E40D2D" w:rsidRPr="00AD6CC6">
              <w:t>’</w:t>
            </w:r>
            <w:r w:rsidR="00432547" w:rsidRPr="00AD6CC6">
              <w:t>utilisateur final peut avoir sur son compte, ainsi qu</w:t>
            </w:r>
            <w:r w:rsidR="00E40D2D" w:rsidRPr="00AD6CC6">
              <w:t>’</w:t>
            </w:r>
            <w:r w:rsidRPr="00AD6CC6">
              <w:t>au</w:t>
            </w:r>
            <w:r w:rsidR="00432547" w:rsidRPr="00AD6CC6">
              <w:t xml:space="preserve"> nombre de transactions </w:t>
            </w:r>
            <w:r w:rsidRPr="00AD6CC6">
              <w:t>pouvant</w:t>
            </w:r>
            <w:r w:rsidR="00432547" w:rsidRPr="00AD6CC6">
              <w:t xml:space="preserve"> être reçues en une journée</w:t>
            </w:r>
          </w:p>
        </w:tc>
      </w:tr>
      <w:tr w:rsidR="00432547" w:rsidRPr="00AD6CC6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D6CC6" w:rsidRDefault="00432547" w:rsidP="00F56789">
            <w:pPr>
              <w:spacing w:before="120"/>
              <w:rPr>
                <w:rFonts w:cs="Arial"/>
              </w:rPr>
            </w:pPr>
            <w:r w:rsidRPr="00AD6CC6">
              <w:rPr>
                <w:b/>
              </w:rPr>
              <w:lastRenderedPageBreak/>
              <w:t>Distribution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1F6E69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Zone de couverture et réseau de distribution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2C4E5E">
            <w:pPr>
              <w:spacing w:before="120"/>
              <w:jc w:val="left"/>
              <w:rPr>
                <w:rFonts w:cs="Arial"/>
              </w:rPr>
            </w:pPr>
            <w:r w:rsidRPr="00AD6CC6">
              <w:t>Cart</w:t>
            </w:r>
            <w:r w:rsidR="009F06EB" w:rsidRPr="00AD6CC6">
              <w:t>ographie</w:t>
            </w:r>
            <w:r w:rsidRPr="00AD6CC6">
              <w:t xml:space="preserve"> des zones de couverture du service [</w:t>
            </w:r>
            <w:r w:rsidR="009F06EB" w:rsidRPr="00AD6CC6">
              <w:t>dans le pays]. Dresser la l</w:t>
            </w:r>
            <w:r w:rsidRPr="00AD6CC6">
              <w:t xml:space="preserve">iste de tous les points </w:t>
            </w:r>
            <w:r w:rsidR="002C4E5E" w:rsidRPr="00AD6CC6">
              <w:t>de</w:t>
            </w:r>
            <w:r w:rsidR="009F06EB" w:rsidRPr="00AD6CC6">
              <w:t xml:space="preserve"> versement/</w:t>
            </w:r>
            <w:r w:rsidRPr="00AD6CC6">
              <w:t xml:space="preserve"> retrait d</w:t>
            </w:r>
            <w:r w:rsidR="00E40D2D" w:rsidRPr="00AD6CC6">
              <w:t>’</w:t>
            </w:r>
            <w:r w:rsidRPr="00AD6CC6">
              <w:t>espèces (agents)</w:t>
            </w:r>
          </w:p>
        </w:tc>
      </w:tr>
      <w:tr w:rsidR="007C4704" w:rsidRPr="00AD6CC6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AD6CC6" w:rsidRDefault="001F6E69" w:rsidP="009F06EB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Contrôles de</w:t>
            </w:r>
            <w:r w:rsidR="002C4E5E" w:rsidRPr="00AD6CC6">
              <w:rPr>
                <w:b/>
              </w:rPr>
              <w:t>s</w:t>
            </w:r>
            <w:r w:rsidRPr="00AD6CC6">
              <w:rPr>
                <w:b/>
              </w:rPr>
              <w:t xml:space="preserve"> liquidités </w:t>
            </w:r>
            <w:r w:rsidR="009F06EB" w:rsidRPr="00AD6CC6">
              <w:rPr>
                <w:b/>
              </w:rPr>
              <w:t>versées</w:t>
            </w:r>
            <w:r w:rsidRPr="00AD6CC6">
              <w:rPr>
                <w:b/>
              </w:rPr>
              <w:t>/retirées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AD6CC6" w:rsidRDefault="0090017E" w:rsidP="002C4E5E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</w:t>
            </w:r>
            <w:r w:rsidR="009F06EB" w:rsidRPr="00AD6CC6">
              <w:t>relatifs à</w:t>
            </w:r>
            <w:r w:rsidRPr="00AD6CC6">
              <w:t xml:space="preserve"> la gestion des liquidités aux points </w:t>
            </w:r>
            <w:r w:rsidR="002C4E5E" w:rsidRPr="00AD6CC6">
              <w:t>de versement/</w:t>
            </w:r>
            <w:r w:rsidR="009F06EB" w:rsidRPr="00AD6CC6">
              <w:t>retrait d</w:t>
            </w:r>
            <w:r w:rsidR="00E40D2D" w:rsidRPr="00AD6CC6">
              <w:t>’</w:t>
            </w:r>
            <w:r w:rsidR="009F06EB" w:rsidRPr="00AD6CC6">
              <w:t>espèces (agents)</w:t>
            </w:r>
          </w:p>
        </w:tc>
      </w:tr>
      <w:tr w:rsidR="00432547" w:rsidRPr="00AD6CC6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D6CC6" w:rsidRDefault="001F6E69" w:rsidP="002C4E5E">
            <w:pPr>
              <w:keepNext/>
              <w:spacing w:before="120"/>
              <w:rPr>
                <w:rFonts w:cs="Arial"/>
              </w:rPr>
            </w:pPr>
            <w:r w:rsidRPr="00AD6CC6">
              <w:rPr>
                <w:b/>
              </w:rPr>
              <w:t xml:space="preserve">Service à la clientèle/formation : </w:t>
            </w:r>
            <w:r w:rsidR="002C4E5E" w:rsidRPr="00AD6CC6">
              <w:rPr>
                <w:b/>
              </w:rPr>
              <w:t xml:space="preserve">Institution financière </w:t>
            </w:r>
            <w:r w:rsidRPr="00AD6CC6">
              <w:rPr>
                <w:b/>
              </w:rPr>
              <w:t>(payeur)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90017E" w:rsidP="00F56789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Formation du personnel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2C4E5E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</w:t>
            </w:r>
            <w:r w:rsidR="009F06EB" w:rsidRPr="00AD6CC6">
              <w:t>relatifs à</w:t>
            </w:r>
            <w:r w:rsidRPr="00AD6CC6">
              <w:t xml:space="preserve"> la formation </w:t>
            </w:r>
            <w:r w:rsidR="002C4E5E" w:rsidRPr="00AD6CC6">
              <w:t>du personnel de [l’organisation] aux modalités du service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A31B40" w:rsidP="002C4E5E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Assistance</w:t>
            </w:r>
            <w:r w:rsidR="001F6E69" w:rsidRPr="00AD6CC6">
              <w:rPr>
                <w:b/>
              </w:rPr>
              <w:t xml:space="preserve"> technique/accords </w:t>
            </w:r>
            <w:r w:rsidR="002C4E5E" w:rsidRPr="00AD6CC6">
              <w:rPr>
                <w:b/>
              </w:rPr>
              <w:t>sur le</w:t>
            </w:r>
            <w:r w:rsidR="001F6E69" w:rsidRPr="00AD6CC6">
              <w:rPr>
                <w:b/>
              </w:rPr>
              <w:t xml:space="preserve"> niveau de service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F06EB" w:rsidP="00AD6CC6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relatifs </w:t>
            </w:r>
            <w:r w:rsidR="00AD6CC6" w:rsidRPr="00AD6CC6">
              <w:t>aux horaires pendant lesquels le prestataire de service</w:t>
            </w:r>
            <w:r w:rsidR="00BC0A36">
              <w:t>s</w:t>
            </w:r>
            <w:r w:rsidR="00AD6CC6" w:rsidRPr="00AD6CC6">
              <w:t xml:space="preserve"> assurera un</w:t>
            </w:r>
            <w:r w:rsidR="002C4E5E" w:rsidRPr="00AD6CC6">
              <w:t xml:space="preserve"> soutien technique </w:t>
            </w:r>
            <w:r w:rsidR="006174A2" w:rsidRPr="00AD6CC6">
              <w:t>et à la manière dont il assurera le suivi et le compte rendu de l’utilisation</w:t>
            </w:r>
            <w:r w:rsidR="001F6E69" w:rsidRPr="00AD6CC6">
              <w:t xml:space="preserve"> des services d</w:t>
            </w:r>
            <w:r w:rsidR="00E40D2D" w:rsidRPr="00AD6CC6">
              <w:t>’</w:t>
            </w:r>
            <w:r w:rsidR="00A31B40" w:rsidRPr="00AD6CC6">
              <w:t>assistance</w:t>
            </w:r>
            <w:r w:rsidR="001F6E69" w:rsidRPr="00AD6CC6">
              <w:t xml:space="preserve"> technique</w:t>
            </w:r>
          </w:p>
        </w:tc>
      </w:tr>
      <w:tr w:rsidR="007C4704" w:rsidRPr="00AD6CC6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AD6CC6" w:rsidRDefault="009F06EB" w:rsidP="006174A2">
            <w:pPr>
              <w:spacing w:before="12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Résolution des problèmes liés </w:t>
            </w:r>
            <w:r w:rsidR="006174A2" w:rsidRPr="00AD6CC6">
              <w:rPr>
                <w:b/>
              </w:rPr>
              <w:t>au décaissement</w:t>
            </w:r>
            <w:r w:rsidR="00A31B40" w:rsidRPr="00AD6CC6">
              <w:rPr>
                <w:b/>
              </w:rPr>
              <w:t xml:space="preserve"> de</w:t>
            </w:r>
            <w:r w:rsidR="006174A2" w:rsidRPr="00AD6CC6">
              <w:rPr>
                <w:b/>
              </w:rPr>
              <w:t>s</w:t>
            </w:r>
            <w:r w:rsidR="00A31B40" w:rsidRPr="00AD6CC6">
              <w:rPr>
                <w:b/>
              </w:rPr>
              <w:t xml:space="preserve"> fonds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AD6CC6" w:rsidRDefault="0090017E" w:rsidP="006174A2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</w:t>
            </w:r>
            <w:r w:rsidR="009F06EB" w:rsidRPr="00AD6CC6">
              <w:t>relatifs au</w:t>
            </w:r>
            <w:r w:rsidRPr="00AD6CC6">
              <w:t xml:space="preserve"> processu</w:t>
            </w:r>
            <w:r w:rsidR="006174A2" w:rsidRPr="00AD6CC6">
              <w:t>s de règlement des différends,</w:t>
            </w:r>
            <w:r w:rsidRPr="00AD6CC6">
              <w:t xml:space="preserve"> </w:t>
            </w:r>
            <w:r w:rsidR="009F06EB" w:rsidRPr="00AD6CC6">
              <w:t>au</w:t>
            </w:r>
            <w:r w:rsidRPr="00AD6CC6">
              <w:t xml:space="preserve"> processus de </w:t>
            </w:r>
            <w:r w:rsidR="00A31B40" w:rsidRPr="00AD6CC6">
              <w:t>remboursement</w:t>
            </w:r>
            <w:r w:rsidRPr="00AD6CC6">
              <w:t xml:space="preserve"> des fonds non reçus ou </w:t>
            </w:r>
            <w:r w:rsidR="006174A2" w:rsidRPr="00AD6CC6">
              <w:t>non retirés</w:t>
            </w:r>
            <w:r w:rsidRPr="00AD6CC6">
              <w:t xml:space="preserve"> par les bénéficiaires</w:t>
            </w:r>
            <w:r w:rsidR="006174A2" w:rsidRPr="00AD6CC6">
              <w:t xml:space="preserve"> et aux mesures prises en cas d’autres problèmes liés au décaissement des fonds</w:t>
            </w:r>
          </w:p>
        </w:tc>
      </w:tr>
      <w:tr w:rsidR="00432547" w:rsidRPr="00AD6CC6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D6CC6" w:rsidRDefault="001F6E69" w:rsidP="00F56789">
            <w:pPr>
              <w:spacing w:before="120"/>
              <w:rPr>
                <w:rFonts w:cs="Arial"/>
              </w:rPr>
            </w:pPr>
            <w:r w:rsidRPr="00AD6CC6">
              <w:rPr>
                <w:b/>
              </w:rPr>
              <w:t>Service à la clientèle/formation : Utilisateur final (bénéficiaire)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90017E" w:rsidP="00BC0A36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 xml:space="preserve">Formation </w:t>
            </w:r>
            <w:r w:rsidR="00A31B40" w:rsidRPr="00AD6CC6">
              <w:rPr>
                <w:b/>
              </w:rPr>
              <w:t>destinée aux</w:t>
            </w:r>
            <w:r w:rsidRPr="00AD6CC6">
              <w:rPr>
                <w:b/>
              </w:rPr>
              <w:t xml:space="preserve"> utilisateurs fina</w:t>
            </w:r>
            <w:r w:rsidR="00BC0A36">
              <w:rPr>
                <w:b/>
              </w:rPr>
              <w:t>ls</w:t>
            </w:r>
            <w:bookmarkStart w:id="0" w:name="_GoBack"/>
            <w:bookmarkEnd w:id="0"/>
            <w:r w:rsidRPr="00AD6CC6">
              <w:rPr>
                <w:b/>
              </w:rPr>
              <w:t xml:space="preserve"> (bénéficiaires)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6174A2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</w:t>
            </w:r>
            <w:r w:rsidR="00A31B40" w:rsidRPr="00AD6CC6">
              <w:t>relatifs à la</w:t>
            </w:r>
            <w:r w:rsidRPr="00AD6CC6">
              <w:t xml:space="preserve"> formation (le cas échéant) dispensée </w:t>
            </w:r>
            <w:r w:rsidR="006174A2" w:rsidRPr="00AD6CC6">
              <w:t xml:space="preserve">aux </w:t>
            </w:r>
            <w:r w:rsidRPr="00AD6CC6">
              <w:t>util</w:t>
            </w:r>
            <w:r w:rsidR="00602F74" w:rsidRPr="00AD6CC6">
              <w:t>isateur</w:t>
            </w:r>
            <w:r w:rsidR="006174A2" w:rsidRPr="00AD6CC6">
              <w:t>s</w:t>
            </w:r>
            <w:r w:rsidR="00602F74" w:rsidRPr="00AD6CC6">
              <w:t xml:space="preserve"> final</w:t>
            </w:r>
            <w:r w:rsidR="006174A2" w:rsidRPr="00AD6CC6">
              <w:t>s</w:t>
            </w:r>
            <w:r w:rsidR="00602F74" w:rsidRPr="00AD6CC6">
              <w:t xml:space="preserve"> (bénéficiaires)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011672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Assistance technique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AD6CC6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Détails relatifs au service à la clientèle </w:t>
            </w:r>
            <w:r w:rsidR="006174A2" w:rsidRPr="00AD6CC6">
              <w:t>assuré par le prestataire de</w:t>
            </w:r>
            <w:r w:rsidRPr="00AD6CC6">
              <w:t xml:space="preserve"> services</w:t>
            </w:r>
            <w:r w:rsidR="00AD6CC6" w:rsidRPr="00AD6CC6">
              <w:t>, aux horaires pendant lesquels il est assuré et aux normes auxquelles le service répond</w:t>
            </w:r>
          </w:p>
        </w:tc>
      </w:tr>
      <w:tr w:rsidR="007C4704" w:rsidRPr="00AD6CC6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AD6CC6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Dépannage des bénéficiaires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AD6CC6" w:rsidRDefault="00AD6CC6" w:rsidP="00AD6CC6">
            <w:pPr>
              <w:spacing w:before="120"/>
              <w:jc w:val="left"/>
              <w:rPr>
                <w:rFonts w:cs="Arial"/>
              </w:rPr>
            </w:pPr>
            <w:r w:rsidRPr="00AD6CC6">
              <w:t>Coordonnées des</w:t>
            </w:r>
            <w:r w:rsidR="0090017E" w:rsidRPr="00AD6CC6">
              <w:t xml:space="preserve"> personnes responsables de régler les problèmes </w:t>
            </w:r>
            <w:r w:rsidRPr="00AD6CC6">
              <w:t>de transactions rencontré</w:t>
            </w:r>
            <w:r w:rsidR="0090017E" w:rsidRPr="00AD6CC6">
              <w:t>s par les bénéficiaires.</w:t>
            </w:r>
          </w:p>
        </w:tc>
      </w:tr>
      <w:tr w:rsidR="00432547" w:rsidRPr="00AD6CC6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D6CC6" w:rsidRDefault="00011672" w:rsidP="00AD6CC6">
            <w:pPr>
              <w:spacing w:before="120"/>
              <w:rPr>
                <w:rFonts w:cs="Arial"/>
              </w:rPr>
            </w:pPr>
            <w:r w:rsidRPr="00AD6CC6">
              <w:rPr>
                <w:b/>
              </w:rPr>
              <w:t>Contrôles internes</w:t>
            </w:r>
            <w:r w:rsidR="00AD6CC6" w:rsidRPr="00AD6CC6">
              <w:rPr>
                <w:b/>
              </w:rPr>
              <w:t xml:space="preserve"> assurés par le prestataire de services en matière de</w:t>
            </w:r>
            <w:r w:rsidRPr="00AD6CC6">
              <w:rPr>
                <w:b/>
              </w:rPr>
              <w:t xml:space="preserve"> protection</w:t>
            </w:r>
            <w:r w:rsidR="00AD6CC6" w:rsidRPr="00AD6CC6">
              <w:rPr>
                <w:b/>
              </w:rPr>
              <w:t>/sécurité des données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Sécurité des fonds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A31B40">
            <w:pPr>
              <w:spacing w:before="120"/>
              <w:jc w:val="left"/>
              <w:rPr>
                <w:rFonts w:cs="Arial"/>
              </w:rPr>
            </w:pPr>
            <w:r w:rsidRPr="00AD6CC6">
              <w:t>Processus et politiques de sécurité des fonds une fois qu</w:t>
            </w:r>
            <w:r w:rsidR="00E40D2D" w:rsidRPr="00AD6CC6">
              <w:t>’</w:t>
            </w:r>
            <w:r w:rsidRPr="00AD6CC6">
              <w:t xml:space="preserve">ils </w:t>
            </w:r>
            <w:r w:rsidR="00A31B40" w:rsidRPr="00AD6CC6">
              <w:t>ont été</w:t>
            </w:r>
            <w:r w:rsidRPr="00AD6CC6">
              <w:t xml:space="preserve"> déposés sur le compte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Sécurité des données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AD6CC6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Processus et politiques </w:t>
            </w:r>
            <w:r w:rsidR="00A31B40" w:rsidRPr="00AD6CC6">
              <w:t>destinés à garantir</w:t>
            </w:r>
            <w:r w:rsidRPr="00AD6CC6">
              <w:t xml:space="preserve"> la confidentialité et la sécurité des données </w:t>
            </w:r>
            <w:r w:rsidR="00A31B40" w:rsidRPr="00AD6CC6">
              <w:t xml:space="preserve">relatives </w:t>
            </w:r>
            <w:r w:rsidR="00AD6CC6" w:rsidRPr="00AD6CC6">
              <w:t>aux</w:t>
            </w:r>
            <w:r w:rsidR="00A31B40" w:rsidRPr="00AD6CC6">
              <w:t xml:space="preserve"> opérations</w:t>
            </w:r>
            <w:r w:rsidRPr="00AD6CC6">
              <w:t xml:space="preserve"> [de l</w:t>
            </w:r>
            <w:r w:rsidR="00E40D2D" w:rsidRPr="00AD6CC6">
              <w:t>’</w:t>
            </w:r>
            <w:r w:rsidRPr="00AD6CC6">
              <w:t>organisation]</w:t>
            </w:r>
          </w:p>
        </w:tc>
      </w:tr>
      <w:tr w:rsidR="007C4704" w:rsidRPr="00AD6CC6" w:rsidTr="00A45574">
        <w:tc>
          <w:tcPr>
            <w:tcW w:w="3052" w:type="dxa"/>
            <w:shd w:val="clear" w:color="auto" w:fill="E6E6E6"/>
            <w:vAlign w:val="center"/>
          </w:tcPr>
          <w:p w:rsidR="007C4704" w:rsidRPr="00AD6CC6" w:rsidRDefault="00011672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AD6CC6">
              <w:rPr>
                <w:b/>
              </w:rPr>
              <w:t>Protection des données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D6CC6" w:rsidRDefault="0090017E" w:rsidP="00F56789">
            <w:pPr>
              <w:spacing w:before="120"/>
              <w:jc w:val="left"/>
              <w:rPr>
                <w:rFonts w:cs="Arial"/>
              </w:rPr>
            </w:pPr>
            <w:r w:rsidRPr="00AD6CC6">
              <w:t xml:space="preserve">Processus et politiques </w:t>
            </w:r>
            <w:r w:rsidR="00A31B40" w:rsidRPr="00AD6CC6">
              <w:t>destinés à garantir la confidentialité et la sécurité des données relatives au</w:t>
            </w:r>
            <w:r w:rsidRPr="00AD6CC6">
              <w:t xml:space="preserve"> bénéficiaire </w:t>
            </w:r>
          </w:p>
        </w:tc>
      </w:tr>
    </w:tbl>
    <w:p w:rsidR="007C4704" w:rsidRPr="00AD6CC6" w:rsidRDefault="0090017E" w:rsidP="003E2145">
      <w:pPr>
        <w:spacing w:before="120"/>
        <w:jc w:val="right"/>
        <w:rPr>
          <w:rFonts w:cs="Arial"/>
          <w:sz w:val="18"/>
        </w:rPr>
      </w:pPr>
      <w:r w:rsidRPr="00AD6CC6">
        <w:rPr>
          <w:sz w:val="18"/>
        </w:rPr>
        <w:t>Extrait de l</w:t>
      </w:r>
      <w:r w:rsidR="00E40D2D" w:rsidRPr="00AD6CC6">
        <w:rPr>
          <w:sz w:val="18"/>
        </w:rPr>
        <w:t>’</w:t>
      </w:r>
      <w:r w:rsidRPr="00AD6CC6">
        <w:rPr>
          <w:sz w:val="18"/>
        </w:rPr>
        <w:t xml:space="preserve">outil-clé </w:t>
      </w:r>
      <w:r w:rsidRPr="00AD6CC6">
        <w:rPr>
          <w:i/>
          <w:sz w:val="18"/>
        </w:rPr>
        <w:t>Service Provider Capacity Assessment</w:t>
      </w:r>
      <w:r w:rsidRPr="00AD6CC6">
        <w:rPr>
          <w:sz w:val="18"/>
        </w:rPr>
        <w:t xml:space="preserve">, USAID </w:t>
      </w:r>
      <w:r w:rsidR="007E6C46" w:rsidRPr="00AD6CC6">
        <w:rPr>
          <w:sz w:val="18"/>
        </w:rPr>
        <w:t>et</w:t>
      </w:r>
      <w:r w:rsidRPr="00AD6CC6">
        <w:rPr>
          <w:sz w:val="18"/>
        </w:rPr>
        <w:t xml:space="preserve"> NetHope.</w:t>
      </w:r>
    </w:p>
    <w:sectPr w:rsidR="007C4704" w:rsidRPr="00AD6CC6" w:rsidSect="00DE08A3">
      <w:headerReference w:type="default" r:id="rId8"/>
      <w:footerReference w:type="even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A9" w:rsidRDefault="00CB6EA9" w:rsidP="00A403E1">
      <w:pPr>
        <w:spacing w:after="0"/>
      </w:pPr>
      <w:r>
        <w:separator/>
      </w:r>
    </w:p>
  </w:endnote>
  <w:endnote w:type="continuationSeparator" w:id="0">
    <w:p w:rsidR="00CB6EA9" w:rsidRDefault="00CB6EA9" w:rsidP="00A40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E1" w:rsidRDefault="00A403E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3E1" w:rsidRDefault="00A403E1" w:rsidP="00A403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B" w:rsidRPr="00B45C74" w:rsidRDefault="00A868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C0A3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868FB" w:rsidRPr="007764F7" w:rsidRDefault="00A868FB" w:rsidP="007764F7">
    <w:pPr>
      <w:pStyle w:val="Footer"/>
    </w:pPr>
    <w:r>
      <w:rPr>
        <w:b/>
      </w:rPr>
      <w:t>Module 4.</w:t>
    </w:r>
    <w:r>
      <w:t xml:space="preserve"> Étape 3. </w:t>
    </w:r>
    <w:r w:rsidR="007764F7">
      <w:t>É</w:t>
    </w:r>
    <w:r>
      <w:t>tape</w:t>
    </w:r>
    <w:r w:rsidR="007764F7">
      <w:t xml:space="preserve"> subsidiaire</w:t>
    </w:r>
    <w:r>
      <w:t> 1</w:t>
    </w:r>
    <w:r w:rsidRPr="007764F7">
      <w:t xml:space="preserve">. </w:t>
    </w:r>
    <w:r w:rsidR="00BC0A36">
      <w:fldChar w:fldCharType="begin"/>
    </w:r>
    <w:r w:rsidR="00BC0A36">
      <w:instrText xml:space="preserve"> STYLEREF  H1 \t  \* MERGEFORMAT </w:instrText>
    </w:r>
    <w:r w:rsidR="00BC0A36">
      <w:fldChar w:fldCharType="separate"/>
    </w:r>
    <w:r w:rsidR="00BC0A36" w:rsidRPr="00BC0A36">
      <w:rPr>
        <w:bCs/>
        <w:noProof/>
      </w:rPr>
      <w:t>Liste de contrôle des</w:t>
    </w:r>
    <w:r w:rsidR="00BC0A36">
      <w:rPr>
        <w:noProof/>
      </w:rPr>
      <w:t xml:space="preserve"> exigences relatives à l’argent mobile</w:t>
    </w:r>
    <w:r w:rsidR="00BC0A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A9" w:rsidRDefault="00CB6EA9" w:rsidP="00A403E1">
      <w:pPr>
        <w:spacing w:after="0"/>
      </w:pPr>
      <w:r>
        <w:separator/>
      </w:r>
    </w:p>
  </w:footnote>
  <w:footnote w:type="continuationSeparator" w:id="0">
    <w:p w:rsidR="00CB6EA9" w:rsidRDefault="00CB6EA9" w:rsidP="00A40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FB" w:rsidRPr="00074036" w:rsidRDefault="007764F7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86D"/>
    <w:multiLevelType w:val="hybridMultilevel"/>
    <w:tmpl w:val="F72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4A60"/>
    <w:multiLevelType w:val="hybridMultilevel"/>
    <w:tmpl w:val="FFD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198E"/>
    <w:multiLevelType w:val="hybridMultilevel"/>
    <w:tmpl w:val="3E4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D109A"/>
    <w:multiLevelType w:val="hybridMultilevel"/>
    <w:tmpl w:val="26F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0470"/>
    <w:multiLevelType w:val="hybridMultilevel"/>
    <w:tmpl w:val="249C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C3D80"/>
    <w:multiLevelType w:val="hybridMultilevel"/>
    <w:tmpl w:val="428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7"/>
    <w:rsid w:val="00011672"/>
    <w:rsid w:val="00030DB9"/>
    <w:rsid w:val="0007350C"/>
    <w:rsid w:val="000D5B62"/>
    <w:rsid w:val="000E3DB0"/>
    <w:rsid w:val="001F6E69"/>
    <w:rsid w:val="002B32DD"/>
    <w:rsid w:val="002C4E5E"/>
    <w:rsid w:val="002F03A0"/>
    <w:rsid w:val="0033737A"/>
    <w:rsid w:val="003506C6"/>
    <w:rsid w:val="003955F9"/>
    <w:rsid w:val="003E2145"/>
    <w:rsid w:val="00410791"/>
    <w:rsid w:val="00432547"/>
    <w:rsid w:val="004377B5"/>
    <w:rsid w:val="00440C4C"/>
    <w:rsid w:val="00490455"/>
    <w:rsid w:val="004D5767"/>
    <w:rsid w:val="004F4028"/>
    <w:rsid w:val="005A7597"/>
    <w:rsid w:val="005B2877"/>
    <w:rsid w:val="005D7FE6"/>
    <w:rsid w:val="00602F74"/>
    <w:rsid w:val="006174A2"/>
    <w:rsid w:val="006E593D"/>
    <w:rsid w:val="00710CD6"/>
    <w:rsid w:val="007764F7"/>
    <w:rsid w:val="007D447C"/>
    <w:rsid w:val="007E6C46"/>
    <w:rsid w:val="00864D02"/>
    <w:rsid w:val="008C2471"/>
    <w:rsid w:val="0090017E"/>
    <w:rsid w:val="00975F3A"/>
    <w:rsid w:val="009E4B4D"/>
    <w:rsid w:val="009F06EB"/>
    <w:rsid w:val="00A31B40"/>
    <w:rsid w:val="00A403E1"/>
    <w:rsid w:val="00A45574"/>
    <w:rsid w:val="00A868FB"/>
    <w:rsid w:val="00AA4F59"/>
    <w:rsid w:val="00AD6CC6"/>
    <w:rsid w:val="00B75A6E"/>
    <w:rsid w:val="00BC0A36"/>
    <w:rsid w:val="00CA0430"/>
    <w:rsid w:val="00CB6EA9"/>
    <w:rsid w:val="00D3158F"/>
    <w:rsid w:val="00DE08A3"/>
    <w:rsid w:val="00E25072"/>
    <w:rsid w:val="00E40D2D"/>
    <w:rsid w:val="00F56789"/>
    <w:rsid w:val="00F73684"/>
    <w:rsid w:val="00FE4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E08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E08A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E08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E08A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E08A3"/>
    <w:rPr>
      <w:vertAlign w:val="superscript"/>
    </w:rPr>
  </w:style>
  <w:style w:type="paragraph" w:styleId="Revision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E08A3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E08A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E08A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E08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E08A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E08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E08A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E08A3"/>
    <w:rPr>
      <w:vertAlign w:val="superscript"/>
    </w:rPr>
  </w:style>
  <w:style w:type="paragraph" w:styleId="Revision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E08A3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E08A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E08A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94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Florence MAROT</cp:lastModifiedBy>
  <cp:revision>22</cp:revision>
  <cp:lastPrinted>2015-09-30T20:00:00Z</cp:lastPrinted>
  <dcterms:created xsi:type="dcterms:W3CDTF">2015-10-09T16:07:00Z</dcterms:created>
  <dcterms:modified xsi:type="dcterms:W3CDTF">2016-04-29T13:07:00Z</dcterms:modified>
</cp:coreProperties>
</file>