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47" w:rsidRPr="00A868FB" w:rsidRDefault="004F4028" w:rsidP="00A868FB">
      <w:pPr>
        <w:pStyle w:val="H1"/>
      </w:pPr>
      <w:bookmarkStart w:id="0" w:name="_GoBack"/>
      <w:bookmarkEnd w:id="0"/>
      <w:r w:rsidRPr="00A868FB">
        <w:t>M</w:t>
      </w:r>
      <w:r w:rsidR="00490455" w:rsidRPr="00A868FB">
        <w:t xml:space="preserve">obile money </w:t>
      </w:r>
      <w:r w:rsidR="00432547" w:rsidRPr="00A868FB">
        <w:t>requirements</w:t>
      </w:r>
      <w:r w:rsidR="008C2471" w:rsidRPr="00A868FB">
        <w:t xml:space="preserve"> che</w:t>
      </w:r>
      <w:r w:rsidR="002B32DD" w:rsidRPr="00A868FB">
        <w:t>c</w:t>
      </w:r>
      <w:r w:rsidR="008C2471" w:rsidRPr="00A868FB">
        <w:t>klist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8"/>
        <w:gridCol w:w="6579"/>
      </w:tblGrid>
      <w:tr w:rsidR="003E2145" w:rsidRPr="00F56789" w:rsidTr="003E2145">
        <w:trPr>
          <w:trHeight w:val="461"/>
        </w:trPr>
        <w:tc>
          <w:tcPr>
            <w:tcW w:w="3052" w:type="dxa"/>
            <w:shd w:val="clear" w:color="BFBFBF" w:themeColor="background1" w:themeShade="BF" w:fill="DC281E"/>
            <w:vAlign w:val="center"/>
          </w:tcPr>
          <w:p w:rsidR="007C4704" w:rsidRPr="00F56789" w:rsidRDefault="0090017E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F56789">
              <w:rPr>
                <w:rFonts w:cs="Arial"/>
                <w:b/>
                <w:color w:val="FFFFFF" w:themeColor="background1"/>
              </w:rPr>
              <w:t>Service</w:t>
            </w:r>
          </w:p>
        </w:tc>
        <w:tc>
          <w:tcPr>
            <w:tcW w:w="6587" w:type="dxa"/>
            <w:gridSpan w:val="2"/>
            <w:shd w:val="clear" w:color="BFBFBF" w:themeColor="background1" w:themeShade="BF" w:fill="DC281E"/>
            <w:vAlign w:val="center"/>
          </w:tcPr>
          <w:p w:rsidR="007C4704" w:rsidRPr="00F56789" w:rsidRDefault="0090017E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F56789">
              <w:rPr>
                <w:rFonts w:cs="Arial"/>
                <w:b/>
                <w:color w:val="FFFFFF" w:themeColor="background1"/>
              </w:rPr>
              <w:t>Minimum requirements</w:t>
            </w:r>
          </w:p>
        </w:tc>
      </w:tr>
      <w:tr w:rsidR="00432547" w:rsidRPr="00F56789" w:rsidTr="00F56789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F56789" w:rsidRDefault="001F6E69" w:rsidP="00F56789">
            <w:pPr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Payment product d</w:t>
            </w:r>
            <w:r w:rsidR="00432547" w:rsidRPr="00F56789">
              <w:rPr>
                <w:rFonts w:cs="Arial"/>
                <w:b/>
              </w:rPr>
              <w:t>etails: Corporate (payer)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Transaction tracking c</w:t>
            </w:r>
            <w:r w:rsidR="00432547" w:rsidRPr="00F56789">
              <w:rPr>
                <w:rFonts w:cs="Arial"/>
                <w:b/>
              </w:rPr>
              <w:t>apabilities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Details on how transactions are pre-verified before payment and </w:t>
            </w:r>
            <w:r w:rsidR="001F6E69" w:rsidRPr="00F56789">
              <w:rPr>
                <w:rFonts w:cs="Arial"/>
              </w:rPr>
              <w:t xml:space="preserve">how </w:t>
            </w:r>
            <w:r w:rsidRPr="00F56789">
              <w:rPr>
                <w:rFonts w:cs="Arial"/>
              </w:rPr>
              <w:t xml:space="preserve">the information </w:t>
            </w:r>
            <w:r w:rsidR="001F6E69" w:rsidRPr="00F56789">
              <w:rPr>
                <w:rFonts w:cs="Arial"/>
              </w:rPr>
              <w:t xml:space="preserve">is </w:t>
            </w:r>
            <w:r w:rsidRPr="00F56789">
              <w:rPr>
                <w:rFonts w:cs="Arial"/>
              </w:rPr>
              <w:t>provided to the payer [organization]</w:t>
            </w:r>
            <w:r w:rsidR="001F6E69" w:rsidRPr="00F56789">
              <w:rPr>
                <w:rFonts w:cs="Arial"/>
              </w:rPr>
              <w:t xml:space="preserve"> once payments are made</w:t>
            </w:r>
            <w:r w:rsidR="004D5767" w:rsidRPr="00F56789">
              <w:rPr>
                <w:rFonts w:cs="Arial"/>
              </w:rPr>
              <w:br/>
            </w:r>
            <w:r w:rsidR="001F6E69" w:rsidRPr="00F56789">
              <w:rPr>
                <w:rFonts w:cs="Arial"/>
              </w:rPr>
              <w:t>Sample transaction statement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Registration and know your customer requirements (corporate a</w:t>
            </w:r>
            <w:r w:rsidR="00432547" w:rsidRPr="00F56789">
              <w:rPr>
                <w:rFonts w:cs="Arial"/>
                <w:b/>
              </w:rPr>
              <w:t>ccount)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List of requirements for [organization] to activate an account with the service 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Full description of disbursement</w:t>
            </w:r>
            <w:r w:rsidR="004D5767" w:rsidRPr="00F56789">
              <w:rPr>
                <w:rFonts w:cs="Arial"/>
                <w:b/>
              </w:rPr>
              <w:br/>
            </w:r>
            <w:r w:rsidR="001F6E69" w:rsidRPr="00F56789">
              <w:rPr>
                <w:rFonts w:cs="Arial"/>
                <w:b/>
              </w:rPr>
              <w:t>(p</w:t>
            </w:r>
            <w:r w:rsidRPr="00F56789">
              <w:rPr>
                <w:rFonts w:cs="Arial"/>
                <w:b/>
              </w:rPr>
              <w:t>ayment Process)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Process flow chart of a fund</w:t>
            </w:r>
            <w:r w:rsidR="001F6E69" w:rsidRPr="00F56789">
              <w:rPr>
                <w:rFonts w:cs="Arial"/>
              </w:rPr>
              <w:t>s disbursement including screen</w:t>
            </w:r>
            <w:r w:rsidRPr="00F56789">
              <w:rPr>
                <w:rFonts w:cs="Arial"/>
              </w:rPr>
              <w:t>shots.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Account balance and t</w:t>
            </w:r>
            <w:r w:rsidR="001F6E69" w:rsidRPr="00F56789">
              <w:rPr>
                <w:rFonts w:cs="Arial"/>
                <w:b/>
              </w:rPr>
              <w:t>ransaction volume limitations (c</w:t>
            </w:r>
            <w:r w:rsidRPr="00F56789">
              <w:rPr>
                <w:rFonts w:cs="Arial"/>
                <w:b/>
              </w:rPr>
              <w:t xml:space="preserve">orporate </w:t>
            </w:r>
            <w:r w:rsidR="001F6E69" w:rsidRPr="00F56789">
              <w:rPr>
                <w:rFonts w:cs="Arial"/>
                <w:b/>
              </w:rPr>
              <w:t>a</w:t>
            </w:r>
            <w:r w:rsidRPr="00F56789">
              <w:rPr>
                <w:rFonts w:cs="Arial"/>
                <w:b/>
              </w:rPr>
              <w:t>ccount)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Details on transaction limits, including on limits on the </w:t>
            </w:r>
            <w:r w:rsidRPr="00F56789">
              <w:rPr>
                <w:rFonts w:cs="Arial"/>
                <w:b/>
                <w:i/>
              </w:rPr>
              <w:t>value</w:t>
            </w:r>
            <w:r w:rsidRPr="00F56789">
              <w:rPr>
                <w:rFonts w:cs="Arial"/>
              </w:rPr>
              <w:t xml:space="preserve"> of payments [organization] can send to a single recipient in one day and limits on the </w:t>
            </w:r>
            <w:r w:rsidRPr="00F56789">
              <w:rPr>
                <w:rFonts w:cs="Arial"/>
                <w:b/>
                <w:i/>
              </w:rPr>
              <w:t>volume</w:t>
            </w:r>
            <w:r w:rsidRPr="00F56789">
              <w:rPr>
                <w:rFonts w:cs="Arial"/>
              </w:rPr>
              <w:t xml:space="preserve"> of transactions [organization]</w:t>
            </w:r>
            <w:r w:rsidR="001F6E69" w:rsidRPr="00F56789">
              <w:rPr>
                <w:rFonts w:cs="Arial"/>
              </w:rPr>
              <w:t xml:space="preserve"> can send in one day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User a</w:t>
            </w:r>
            <w:r w:rsidR="00432547" w:rsidRPr="00F56789">
              <w:rPr>
                <w:rFonts w:cs="Arial"/>
                <w:b/>
              </w:rPr>
              <w:t xml:space="preserve">uthorization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Ability to assign different user authorities within the system (i.e.</w:t>
            </w:r>
            <w:r w:rsidR="001F6E69" w:rsidRPr="00F56789">
              <w:rPr>
                <w:rFonts w:cs="Arial"/>
              </w:rPr>
              <w:t>,</w:t>
            </w:r>
            <w:r w:rsidRPr="00F56789">
              <w:rPr>
                <w:rFonts w:cs="Arial"/>
              </w:rPr>
              <w:t xml:space="preserve"> maker, checker, processor)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Brochure, catalog and b</w:t>
            </w:r>
            <w:r w:rsidR="00432547" w:rsidRPr="00F56789">
              <w:rPr>
                <w:rFonts w:cs="Arial"/>
                <w:b/>
              </w:rPr>
              <w:t>ooklet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Attach</w:t>
            </w:r>
            <w:r w:rsidR="001F6E69" w:rsidRPr="00F56789">
              <w:rPr>
                <w:rFonts w:cs="Arial"/>
              </w:rPr>
              <w:t>ment of</w:t>
            </w:r>
            <w:r w:rsidRPr="00F56789">
              <w:rPr>
                <w:rFonts w:cs="Arial"/>
              </w:rPr>
              <w:t xml:space="preserve"> </w:t>
            </w:r>
            <w:r w:rsidR="001F6E69" w:rsidRPr="00F56789">
              <w:rPr>
                <w:rFonts w:cs="Arial"/>
              </w:rPr>
              <w:t>brochures, catalogues</w:t>
            </w:r>
            <w:r w:rsidRPr="00F56789">
              <w:rPr>
                <w:rFonts w:cs="Arial"/>
              </w:rPr>
              <w:t xml:space="preserve"> and booklets that ill</w:t>
            </w:r>
            <w:r w:rsidR="001F6E69" w:rsidRPr="00F56789">
              <w:rPr>
                <w:rFonts w:cs="Arial"/>
              </w:rPr>
              <w:t>ustrate the service’s functions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Interoperability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Platform interoperabilit</w:t>
            </w:r>
            <w:r w:rsidR="001F6E69" w:rsidRPr="00F56789">
              <w:rPr>
                <w:rFonts w:cs="Arial"/>
              </w:rPr>
              <w:t>y with other payment platforms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Pricing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Detailed pricing matrix for transactions </w:t>
            </w:r>
          </w:p>
        </w:tc>
      </w:tr>
      <w:tr w:rsidR="00432547" w:rsidRPr="00F56789" w:rsidTr="00A45574"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2547" w:rsidRPr="00F56789" w:rsidRDefault="001F6E69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  <w:b/>
              </w:rPr>
              <w:t>Data s</w:t>
            </w:r>
            <w:r w:rsidR="00432547" w:rsidRPr="00F56789">
              <w:rPr>
                <w:rFonts w:cs="Arial"/>
                <w:b/>
              </w:rPr>
              <w:t>torage</w:t>
            </w:r>
          </w:p>
        </w:tc>
        <w:tc>
          <w:tcPr>
            <w:tcW w:w="657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Ability to store recipient data on the payment platform to avoid uploading nam</w:t>
            </w:r>
            <w:r w:rsidR="001F6E69" w:rsidRPr="00F56789">
              <w:rPr>
                <w:rFonts w:cs="Arial"/>
              </w:rPr>
              <w:t>es every time a payment is made</w:t>
            </w:r>
          </w:p>
        </w:tc>
      </w:tr>
      <w:tr w:rsidR="00432547" w:rsidRPr="00F56789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F56789" w:rsidRDefault="001F6E69" w:rsidP="00F56789">
            <w:pPr>
              <w:spacing w:before="120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Payment p</w:t>
            </w:r>
            <w:r w:rsidR="00432547" w:rsidRPr="00F56789">
              <w:rPr>
                <w:rFonts w:cs="Arial"/>
                <w:b/>
              </w:rPr>
              <w:t xml:space="preserve">roduct </w:t>
            </w:r>
            <w:r w:rsidRPr="00F56789">
              <w:rPr>
                <w:rFonts w:cs="Arial"/>
                <w:b/>
              </w:rPr>
              <w:t>details: End u</w:t>
            </w:r>
            <w:r w:rsidR="00432547" w:rsidRPr="00F56789">
              <w:rPr>
                <w:rFonts w:cs="Arial"/>
                <w:b/>
              </w:rPr>
              <w:t>ser (payee)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Receipt of f</w:t>
            </w:r>
            <w:r w:rsidR="00432547" w:rsidRPr="00F56789">
              <w:rPr>
                <w:rFonts w:cs="Arial"/>
                <w:b/>
              </w:rPr>
              <w:t xml:space="preserve">unds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Notification of</w:t>
            </w:r>
            <w:r w:rsidR="001F6E69" w:rsidRPr="00F56789">
              <w:rPr>
                <w:rFonts w:cs="Arial"/>
              </w:rPr>
              <w:t xml:space="preserve"> transaction to recipients  (e.g</w:t>
            </w:r>
            <w:r w:rsidRPr="00F56789">
              <w:rPr>
                <w:rFonts w:cs="Arial"/>
              </w:rPr>
              <w:t>.</w:t>
            </w:r>
            <w:r w:rsidR="001F6E69" w:rsidRPr="00F56789">
              <w:rPr>
                <w:rFonts w:cs="Arial"/>
              </w:rPr>
              <w:t>,</w:t>
            </w:r>
            <w:r w:rsidRPr="00F56789">
              <w:rPr>
                <w:rFonts w:cs="Arial"/>
              </w:rPr>
              <w:t xml:space="preserve"> SMS message</w:t>
            </w:r>
            <w:r w:rsidR="001F6E69" w:rsidRPr="00F56789">
              <w:rPr>
                <w:rFonts w:cs="Arial"/>
              </w:rPr>
              <w:t>s</w:t>
            </w:r>
            <w:r w:rsidRPr="00F56789">
              <w:rPr>
                <w:rFonts w:cs="Arial"/>
              </w:rPr>
              <w:t xml:space="preserve">) </w:t>
            </w:r>
          </w:p>
        </w:tc>
      </w:tr>
      <w:tr w:rsidR="00432547" w:rsidRPr="00F56789" w:rsidTr="00A45574">
        <w:tc>
          <w:tcPr>
            <w:tcW w:w="3052" w:type="dxa"/>
            <w:shd w:val="clear" w:color="auto" w:fill="E6E6E6"/>
            <w:vAlign w:val="center"/>
          </w:tcPr>
          <w:p w:rsidR="00432547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Registration and know your customer r</w:t>
            </w:r>
            <w:r w:rsidR="00432547" w:rsidRPr="00F56789">
              <w:rPr>
                <w:rFonts w:cs="Arial"/>
                <w:b/>
              </w:rPr>
              <w:t>equirements (end user account)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List</w:t>
            </w:r>
            <w:r w:rsidR="001F6E69" w:rsidRPr="00F56789">
              <w:rPr>
                <w:rFonts w:cs="Arial"/>
              </w:rPr>
              <w:t xml:space="preserve"> of</w:t>
            </w:r>
            <w:r w:rsidRPr="00F56789">
              <w:rPr>
                <w:rFonts w:cs="Arial"/>
              </w:rPr>
              <w:t xml:space="preserve"> requirements for recipients to activate account</w:t>
            </w:r>
            <w:r w:rsidR="001F6E69" w:rsidRPr="00F56789">
              <w:rPr>
                <w:rFonts w:cs="Arial"/>
              </w:rPr>
              <w:t>s with the service provider; description of the</w:t>
            </w:r>
            <w:r w:rsidRPr="00F56789">
              <w:rPr>
                <w:rFonts w:cs="Arial"/>
              </w:rPr>
              <w:t xml:space="preserve"> ability to process payments</w:t>
            </w:r>
            <w:r w:rsidR="001F6E69" w:rsidRPr="00F56789">
              <w:rPr>
                <w:rFonts w:cs="Arial"/>
              </w:rPr>
              <w:t xml:space="preserve"> or</w:t>
            </w:r>
            <w:r w:rsidRPr="00F56789">
              <w:rPr>
                <w:rFonts w:cs="Arial"/>
              </w:rPr>
              <w:t xml:space="preserve"> to unregister</w:t>
            </w:r>
            <w:r w:rsidR="001F6E69" w:rsidRPr="00F56789">
              <w:rPr>
                <w:rFonts w:cs="Arial"/>
              </w:rPr>
              <w:t xml:space="preserve"> non-account holders</w:t>
            </w:r>
          </w:p>
        </w:tc>
      </w:tr>
      <w:tr w:rsidR="00432547" w:rsidRPr="00F56789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Account balance and t</w:t>
            </w:r>
            <w:r w:rsidR="001F6E69" w:rsidRPr="00F56789">
              <w:rPr>
                <w:rFonts w:cs="Arial"/>
                <w:b/>
              </w:rPr>
              <w:t>ransaction volume limitations (end user a</w:t>
            </w:r>
            <w:r w:rsidRPr="00F56789">
              <w:rPr>
                <w:rFonts w:cs="Arial"/>
                <w:b/>
              </w:rPr>
              <w:t>ccount)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432547" w:rsidRPr="00F56789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minimum/maximum amount of funds the end user can have in the account, as well as the</w:t>
            </w:r>
            <w:r w:rsidR="001F6E69" w:rsidRPr="00F56789">
              <w:rPr>
                <w:rFonts w:cs="Arial"/>
              </w:rPr>
              <w:t xml:space="preserve"> numbers</w:t>
            </w:r>
            <w:r w:rsidRPr="00F56789">
              <w:rPr>
                <w:rFonts w:cs="Arial"/>
              </w:rPr>
              <w:t xml:space="preserve"> of transactions </w:t>
            </w:r>
            <w:r w:rsidR="001F6E69" w:rsidRPr="00F56789">
              <w:rPr>
                <w:rFonts w:cs="Arial"/>
              </w:rPr>
              <w:t>that can be received in one day</w:t>
            </w:r>
          </w:p>
        </w:tc>
      </w:tr>
      <w:tr w:rsidR="00432547" w:rsidRPr="00F56789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F56789" w:rsidRDefault="00432547" w:rsidP="00F56789">
            <w:pPr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Distribution</w:t>
            </w:r>
          </w:p>
        </w:tc>
      </w:tr>
      <w:tr w:rsidR="007C4704" w:rsidRPr="00F56789" w:rsidTr="00A45574">
        <w:tc>
          <w:tcPr>
            <w:tcW w:w="3052" w:type="dxa"/>
            <w:shd w:val="clear" w:color="auto" w:fill="E6E6E6"/>
            <w:vAlign w:val="center"/>
          </w:tcPr>
          <w:p w:rsidR="007C4704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Coverage area and d</w:t>
            </w:r>
            <w:r w:rsidR="0090017E" w:rsidRPr="00F56789">
              <w:rPr>
                <w:rFonts w:cs="Arial"/>
                <w:b/>
              </w:rPr>
              <w:t>istribution network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Map of geographic</w:t>
            </w:r>
            <w:r w:rsidR="001F6E69" w:rsidRPr="00F56789">
              <w:rPr>
                <w:rFonts w:cs="Arial"/>
              </w:rPr>
              <w:t>al service</w:t>
            </w:r>
            <w:r w:rsidRPr="00F56789">
              <w:rPr>
                <w:rFonts w:cs="Arial"/>
              </w:rPr>
              <w:t xml:space="preserve"> coverage areas in [country].  List all cash in/</w:t>
            </w:r>
            <w:r w:rsidR="001F6E69" w:rsidRPr="00F56789">
              <w:rPr>
                <w:rFonts w:cs="Arial"/>
              </w:rPr>
              <w:t>cash out access points (agents)</w:t>
            </w:r>
          </w:p>
        </w:tc>
      </w:tr>
      <w:tr w:rsidR="007C4704" w:rsidRPr="00F56789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Cash in/Cash out liquidity c</w:t>
            </w:r>
            <w:r w:rsidR="0090017E" w:rsidRPr="00F56789">
              <w:rPr>
                <w:rFonts w:cs="Arial"/>
                <w:b/>
              </w:rPr>
              <w:t>ontrols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liquidity management at the cash in/cash out access points (agents)</w:t>
            </w:r>
          </w:p>
        </w:tc>
      </w:tr>
      <w:tr w:rsidR="00432547" w:rsidRPr="00F56789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F56789" w:rsidRDefault="001F6E69" w:rsidP="00F56789">
            <w:pPr>
              <w:keepNext/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lastRenderedPageBreak/>
              <w:t>Customer service/t</w:t>
            </w:r>
            <w:r w:rsidR="00432547" w:rsidRPr="00F56789">
              <w:rPr>
                <w:rFonts w:cs="Arial"/>
                <w:b/>
              </w:rPr>
              <w:t>raining: Corporate (payer)</w:t>
            </w:r>
          </w:p>
        </w:tc>
      </w:tr>
      <w:tr w:rsidR="007C4704" w:rsidRPr="00F56789" w:rsidTr="00A45574">
        <w:tc>
          <w:tcPr>
            <w:tcW w:w="3052" w:type="dxa"/>
            <w:shd w:val="clear" w:color="auto" w:fill="E6E6E6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Training for staff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</w:t>
            </w:r>
            <w:r w:rsidR="001F6E69" w:rsidRPr="00F56789">
              <w:rPr>
                <w:rFonts w:cs="Arial"/>
              </w:rPr>
              <w:t xml:space="preserve"> about</w:t>
            </w:r>
            <w:r w:rsidRPr="00F56789">
              <w:rPr>
                <w:rFonts w:cs="Arial"/>
              </w:rPr>
              <w:t xml:space="preserve"> the training</w:t>
            </w:r>
            <w:r w:rsidR="001F6E69" w:rsidRPr="00F56789">
              <w:rPr>
                <w:rFonts w:cs="Arial"/>
              </w:rPr>
              <w:t xml:space="preserve"> on the system which is</w:t>
            </w:r>
            <w:r w:rsidRPr="00F56789">
              <w:rPr>
                <w:rFonts w:cs="Arial"/>
              </w:rPr>
              <w:t xml:space="preserve"> provided to  [organization]</w:t>
            </w:r>
            <w:r w:rsidR="001F6E69" w:rsidRPr="00F56789">
              <w:rPr>
                <w:rFonts w:cs="Arial"/>
              </w:rPr>
              <w:t>’s staff</w:t>
            </w:r>
          </w:p>
        </w:tc>
      </w:tr>
      <w:tr w:rsidR="007C4704" w:rsidRPr="00F56789" w:rsidTr="00A45574">
        <w:tc>
          <w:tcPr>
            <w:tcW w:w="3052" w:type="dxa"/>
            <w:shd w:val="clear" w:color="auto" w:fill="E6E6E6"/>
            <w:vAlign w:val="center"/>
          </w:tcPr>
          <w:p w:rsidR="007C4704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Technical support/Service level a</w:t>
            </w:r>
            <w:r w:rsidR="0090017E" w:rsidRPr="00F56789">
              <w:rPr>
                <w:rFonts w:cs="Arial"/>
                <w:b/>
              </w:rPr>
              <w:t>greements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F56789" w:rsidRDefault="001F6E69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the service provider’</w:t>
            </w:r>
            <w:r w:rsidR="0090017E" w:rsidRPr="00F56789">
              <w:rPr>
                <w:rFonts w:cs="Arial"/>
              </w:rPr>
              <w:t>s support availa</w:t>
            </w:r>
            <w:r w:rsidRPr="00F56789">
              <w:rPr>
                <w:rFonts w:cs="Arial"/>
              </w:rPr>
              <w:t>bility, monitoring, measurement</w:t>
            </w:r>
            <w:r w:rsidR="0090017E" w:rsidRPr="00F56789">
              <w:rPr>
                <w:rFonts w:cs="Arial"/>
              </w:rPr>
              <w:t xml:space="preserve"> and reporting of technical support services</w:t>
            </w:r>
          </w:p>
        </w:tc>
      </w:tr>
      <w:tr w:rsidR="007C4704" w:rsidRPr="00F56789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F56789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Disbursement t</w:t>
            </w:r>
            <w:r w:rsidR="0090017E" w:rsidRPr="00F56789">
              <w:rPr>
                <w:rFonts w:cs="Arial"/>
                <w:b/>
              </w:rPr>
              <w:t>roubleshooting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dispute resolution process and process for return of funds not received or collected by recipients as well as ot</w:t>
            </w:r>
            <w:r w:rsidR="001F6E69" w:rsidRPr="00F56789">
              <w:rPr>
                <w:rFonts w:cs="Arial"/>
              </w:rPr>
              <w:t>her trouble shooting scenarios</w:t>
            </w:r>
          </w:p>
        </w:tc>
      </w:tr>
      <w:tr w:rsidR="00432547" w:rsidRPr="00F56789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F56789" w:rsidRDefault="001F6E69" w:rsidP="00F56789">
            <w:pPr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Customer service/Training: End u</w:t>
            </w:r>
            <w:r w:rsidR="00432547" w:rsidRPr="00F56789">
              <w:rPr>
                <w:rFonts w:cs="Arial"/>
                <w:b/>
              </w:rPr>
              <w:t>ser (payee)</w:t>
            </w:r>
          </w:p>
        </w:tc>
      </w:tr>
      <w:tr w:rsidR="007C4704" w:rsidRPr="00F56789" w:rsidTr="00A45574">
        <w:tc>
          <w:tcPr>
            <w:tcW w:w="3052" w:type="dxa"/>
            <w:shd w:val="clear" w:color="auto" w:fill="E6E6E6"/>
            <w:vAlign w:val="center"/>
          </w:tcPr>
          <w:p w:rsidR="007C4704" w:rsidRPr="00F56789" w:rsidRDefault="0090017E" w:rsidP="004D5767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Training for end users (recipients)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Details on training (if any) provided to the end user (payees).  </w:t>
            </w:r>
          </w:p>
        </w:tc>
      </w:tr>
      <w:tr w:rsidR="007C4704" w:rsidRPr="00F56789" w:rsidTr="00A45574">
        <w:tc>
          <w:tcPr>
            <w:tcW w:w="3052" w:type="dxa"/>
            <w:shd w:val="clear" w:color="auto" w:fill="E6E6E6"/>
            <w:vAlign w:val="center"/>
          </w:tcPr>
          <w:p w:rsidR="007C4704" w:rsidRPr="00F56789" w:rsidRDefault="00011672" w:rsidP="004D5767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Technical s</w:t>
            </w:r>
            <w:r w:rsidR="0090017E" w:rsidRPr="00F56789">
              <w:rPr>
                <w:rFonts w:cs="Arial"/>
                <w:b/>
              </w:rPr>
              <w:t>upport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the service provider's customer service and sup</w:t>
            </w:r>
            <w:r w:rsidR="001F6E69" w:rsidRPr="00F56789">
              <w:rPr>
                <w:rFonts w:cs="Arial"/>
              </w:rPr>
              <w:t>port availability and standards</w:t>
            </w:r>
          </w:p>
        </w:tc>
      </w:tr>
      <w:tr w:rsidR="007C4704" w:rsidRPr="00F56789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F56789" w:rsidRDefault="00011672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Recipient t</w:t>
            </w:r>
            <w:r w:rsidR="0090017E" w:rsidRPr="00F56789">
              <w:rPr>
                <w:rFonts w:cs="Arial"/>
                <w:b/>
              </w:rPr>
              <w:t>roubleshooting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Details on who is responsible for troubleshooting transaction </w:t>
            </w:r>
            <w:r w:rsidR="001F6E69" w:rsidRPr="00F56789">
              <w:rPr>
                <w:rFonts w:cs="Arial"/>
              </w:rPr>
              <w:t>problems encountered by payees.</w:t>
            </w:r>
          </w:p>
        </w:tc>
      </w:tr>
      <w:tr w:rsidR="00432547" w:rsidRPr="00F56789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F56789" w:rsidRDefault="00011672" w:rsidP="00F56789">
            <w:pPr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Data privacy/Security/Service provider internal c</w:t>
            </w:r>
            <w:r w:rsidR="00432547" w:rsidRPr="00F56789">
              <w:rPr>
                <w:rFonts w:cs="Arial"/>
                <w:b/>
              </w:rPr>
              <w:t>ontrols</w:t>
            </w:r>
          </w:p>
        </w:tc>
      </w:tr>
      <w:tr w:rsidR="007C4704" w:rsidRPr="00F56789" w:rsidTr="00A45574">
        <w:tc>
          <w:tcPr>
            <w:tcW w:w="3052" w:type="dxa"/>
            <w:shd w:val="clear" w:color="auto" w:fill="E6E6E6"/>
            <w:vAlign w:val="center"/>
          </w:tcPr>
          <w:p w:rsidR="007C4704" w:rsidRPr="00F56789" w:rsidRDefault="00011672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Security of f</w:t>
            </w:r>
            <w:r w:rsidR="0090017E" w:rsidRPr="00F56789">
              <w:rPr>
                <w:rFonts w:cs="Arial"/>
                <w:b/>
              </w:rPr>
              <w:t>unds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Processes and policies for security of funds once they </w:t>
            </w:r>
            <w:r w:rsidR="001F6E69" w:rsidRPr="00F56789">
              <w:rPr>
                <w:rFonts w:cs="Arial"/>
              </w:rPr>
              <w:t>are deposited into the account</w:t>
            </w:r>
          </w:p>
        </w:tc>
      </w:tr>
      <w:tr w:rsidR="007C4704" w:rsidRPr="00F56789" w:rsidTr="00A45574">
        <w:tc>
          <w:tcPr>
            <w:tcW w:w="3052" w:type="dxa"/>
            <w:shd w:val="clear" w:color="auto" w:fill="E6E6E6"/>
            <w:vAlign w:val="center"/>
          </w:tcPr>
          <w:p w:rsidR="007C4704" w:rsidRPr="00F56789" w:rsidRDefault="00011672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Data s</w:t>
            </w:r>
            <w:r w:rsidR="0090017E" w:rsidRPr="00F56789">
              <w:rPr>
                <w:rFonts w:cs="Arial"/>
                <w:b/>
              </w:rPr>
              <w:t>ecurity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Process and policies for ensuring the privacy and security of data involving the transactional history of [organization]</w:t>
            </w:r>
          </w:p>
        </w:tc>
      </w:tr>
      <w:tr w:rsidR="007C4704" w:rsidRPr="00F56789" w:rsidTr="00A45574">
        <w:tc>
          <w:tcPr>
            <w:tcW w:w="3052" w:type="dxa"/>
            <w:shd w:val="clear" w:color="auto" w:fill="E6E6E6"/>
            <w:vAlign w:val="center"/>
          </w:tcPr>
          <w:p w:rsidR="007C4704" w:rsidRPr="00F56789" w:rsidRDefault="00011672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Data p</w:t>
            </w:r>
            <w:r w:rsidR="0090017E" w:rsidRPr="00F56789">
              <w:rPr>
                <w:rFonts w:cs="Arial"/>
                <w:b/>
              </w:rPr>
              <w:t>rivacy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F56789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Processes and policies for ensuring sec</w:t>
            </w:r>
            <w:r w:rsidR="001F6E69" w:rsidRPr="00F56789">
              <w:rPr>
                <w:rFonts w:cs="Arial"/>
              </w:rPr>
              <w:t>urity and privacy of payee data</w:t>
            </w:r>
            <w:r w:rsidRPr="00F56789">
              <w:rPr>
                <w:rFonts w:cs="Arial"/>
              </w:rPr>
              <w:t xml:space="preserve"> </w:t>
            </w:r>
          </w:p>
        </w:tc>
      </w:tr>
    </w:tbl>
    <w:p w:rsidR="007C4704" w:rsidRPr="00F56789" w:rsidRDefault="0090017E" w:rsidP="003E2145">
      <w:pPr>
        <w:spacing w:before="120"/>
        <w:jc w:val="right"/>
        <w:rPr>
          <w:rFonts w:cs="Arial"/>
          <w:sz w:val="18"/>
        </w:rPr>
      </w:pPr>
      <w:r w:rsidRPr="00F56789">
        <w:rPr>
          <w:rFonts w:cs="Arial"/>
          <w:sz w:val="18"/>
        </w:rPr>
        <w:t>Extracted from Key Tool: Servi</w:t>
      </w:r>
      <w:r w:rsidR="00011672" w:rsidRPr="00F56789">
        <w:rPr>
          <w:rFonts w:cs="Arial"/>
          <w:sz w:val="18"/>
        </w:rPr>
        <w:t>ce Provider Capacity Assessment, USAID and</w:t>
      </w:r>
      <w:r w:rsidRPr="00F56789">
        <w:rPr>
          <w:rFonts w:cs="Arial"/>
          <w:sz w:val="18"/>
        </w:rPr>
        <w:t xml:space="preserve"> NetHope.</w:t>
      </w:r>
    </w:p>
    <w:sectPr w:rsidR="007C4704" w:rsidRPr="00F56789" w:rsidSect="00DE08A3">
      <w:headerReference w:type="default" r:id="rId8"/>
      <w:footerReference w:type="even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A9" w:rsidRDefault="00CB6EA9" w:rsidP="00A403E1">
      <w:pPr>
        <w:spacing w:after="0"/>
      </w:pPr>
      <w:r>
        <w:separator/>
      </w:r>
    </w:p>
  </w:endnote>
  <w:endnote w:type="continuationSeparator" w:id="0">
    <w:p w:rsidR="00CB6EA9" w:rsidRDefault="00CB6EA9" w:rsidP="00A40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E1" w:rsidRDefault="00A403E1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3E1" w:rsidRDefault="00A403E1" w:rsidP="00A403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B" w:rsidRPr="00B45C74" w:rsidRDefault="00A868F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E08A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A868FB" w:rsidRPr="003A3500" w:rsidRDefault="00A868FB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DE08A3" w:rsidRPr="00DE08A3">
      <w:rPr>
        <w:bCs/>
        <w:noProof/>
      </w:rPr>
      <w:t>Mobile money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A9" w:rsidRDefault="00CB6EA9" w:rsidP="00A403E1">
      <w:pPr>
        <w:spacing w:after="0"/>
      </w:pPr>
      <w:r>
        <w:separator/>
      </w:r>
    </w:p>
  </w:footnote>
  <w:footnote w:type="continuationSeparator" w:id="0">
    <w:p w:rsidR="00CB6EA9" w:rsidRDefault="00CB6EA9" w:rsidP="00A40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B" w:rsidRPr="00074036" w:rsidRDefault="00A868FB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686D"/>
    <w:multiLevelType w:val="hybridMultilevel"/>
    <w:tmpl w:val="F72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A60"/>
    <w:multiLevelType w:val="hybridMultilevel"/>
    <w:tmpl w:val="FFD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198E"/>
    <w:multiLevelType w:val="hybridMultilevel"/>
    <w:tmpl w:val="3E4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D109A"/>
    <w:multiLevelType w:val="hybridMultilevel"/>
    <w:tmpl w:val="26F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0470"/>
    <w:multiLevelType w:val="hybridMultilevel"/>
    <w:tmpl w:val="249C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C3D80"/>
    <w:multiLevelType w:val="hybridMultilevel"/>
    <w:tmpl w:val="428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7"/>
    <w:rsid w:val="00011672"/>
    <w:rsid w:val="00030DB9"/>
    <w:rsid w:val="0007350C"/>
    <w:rsid w:val="000D5B62"/>
    <w:rsid w:val="001F6E69"/>
    <w:rsid w:val="002B32DD"/>
    <w:rsid w:val="002F03A0"/>
    <w:rsid w:val="0033737A"/>
    <w:rsid w:val="003955F9"/>
    <w:rsid w:val="003E2145"/>
    <w:rsid w:val="00432547"/>
    <w:rsid w:val="004377B5"/>
    <w:rsid w:val="00490455"/>
    <w:rsid w:val="004D5767"/>
    <w:rsid w:val="004F4028"/>
    <w:rsid w:val="005A7597"/>
    <w:rsid w:val="005B2877"/>
    <w:rsid w:val="005D7FE6"/>
    <w:rsid w:val="008C2471"/>
    <w:rsid w:val="0090017E"/>
    <w:rsid w:val="00A403E1"/>
    <w:rsid w:val="00A45574"/>
    <w:rsid w:val="00A868FB"/>
    <w:rsid w:val="00B75A6E"/>
    <w:rsid w:val="00CA0430"/>
    <w:rsid w:val="00CB6EA9"/>
    <w:rsid w:val="00DE08A3"/>
    <w:rsid w:val="00E25072"/>
    <w:rsid w:val="00F56789"/>
    <w:rsid w:val="00F73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A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E08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A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A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DE08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08A3"/>
  </w:style>
  <w:style w:type="character" w:customStyle="1" w:styleId="Heading1Char">
    <w:name w:val="Heading 1 Char"/>
    <w:basedOn w:val="DefaultParagraphFont"/>
    <w:link w:val="Heading1"/>
    <w:uiPriority w:val="9"/>
    <w:rsid w:val="00DE08A3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08A3"/>
    <w:rPr>
      <w:rFonts w:ascii="Arial" w:eastAsiaTheme="minorEastAsia" w:hAnsi="Arial" w:cs="Times New Roman"/>
      <w:b/>
      <w:cap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8A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E08A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8A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08A3"/>
    <w:rPr>
      <w:rFonts w:ascii="Arial" w:eastAsiaTheme="minorEastAsia" w:hAnsi="Arial" w:cs="Times New Roman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08A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E08A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E08A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08A3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08A3"/>
    <w:rPr>
      <w:rFonts w:ascii="Arial" w:hAnsi="Arial"/>
      <w:sz w:val="20"/>
      <w:szCs w:val="22"/>
    </w:rPr>
  </w:style>
  <w:style w:type="paragraph" w:customStyle="1" w:styleId="Default">
    <w:name w:val="Default"/>
    <w:rsid w:val="00DE08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E08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E08A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E08A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8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08A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8A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E08A3"/>
    <w:rPr>
      <w:vertAlign w:val="superscript"/>
    </w:rPr>
  </w:style>
  <w:style w:type="paragraph" w:styleId="Revision">
    <w:name w:val="Revision"/>
    <w:hidden/>
    <w:uiPriority w:val="99"/>
    <w:semiHidden/>
    <w:rsid w:val="00DE08A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E08A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E08A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E08A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E08A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E08A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E08A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E08A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E08A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E08A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E08A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E08A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E08A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E08A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E08A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E08A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E08A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A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E08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A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A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DE08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08A3"/>
  </w:style>
  <w:style w:type="character" w:customStyle="1" w:styleId="Heading1Char">
    <w:name w:val="Heading 1 Char"/>
    <w:basedOn w:val="DefaultParagraphFont"/>
    <w:link w:val="Heading1"/>
    <w:uiPriority w:val="9"/>
    <w:rsid w:val="00DE08A3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08A3"/>
    <w:rPr>
      <w:rFonts w:ascii="Arial" w:eastAsiaTheme="minorEastAsia" w:hAnsi="Arial" w:cs="Times New Roman"/>
      <w:b/>
      <w:cap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8A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E08A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8A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08A3"/>
    <w:rPr>
      <w:rFonts w:ascii="Arial" w:eastAsiaTheme="minorEastAsia" w:hAnsi="Arial" w:cs="Times New Roman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08A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E08A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E08A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08A3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08A3"/>
    <w:rPr>
      <w:rFonts w:ascii="Arial" w:hAnsi="Arial"/>
      <w:sz w:val="20"/>
      <w:szCs w:val="22"/>
    </w:rPr>
  </w:style>
  <w:style w:type="paragraph" w:customStyle="1" w:styleId="Default">
    <w:name w:val="Default"/>
    <w:rsid w:val="00DE08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E08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E08A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E08A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8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08A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8A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E08A3"/>
    <w:rPr>
      <w:vertAlign w:val="superscript"/>
    </w:rPr>
  </w:style>
  <w:style w:type="paragraph" w:styleId="Revision">
    <w:name w:val="Revision"/>
    <w:hidden/>
    <w:uiPriority w:val="99"/>
    <w:semiHidden/>
    <w:rsid w:val="00DE08A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E08A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E08A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E08A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E08A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E08A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E08A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E08A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E08A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E08A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E08A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E08A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E08A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E08A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E08A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E08A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E08A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Nicole Francoeur</cp:lastModifiedBy>
  <cp:revision>4</cp:revision>
  <cp:lastPrinted>2015-09-30T20:00:00Z</cp:lastPrinted>
  <dcterms:created xsi:type="dcterms:W3CDTF">2015-10-09T16:07:00Z</dcterms:created>
  <dcterms:modified xsi:type="dcterms:W3CDTF">2015-10-09T16:22:00Z</dcterms:modified>
</cp:coreProperties>
</file>