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C3B8" w14:textId="77777777" w:rsidR="00EF3B2A" w:rsidRPr="001C6FA4" w:rsidRDefault="001C6FA4" w:rsidP="008C6472">
      <w:pPr>
        <w:pStyle w:val="H1"/>
        <w:rPr>
          <w:sz w:val="24"/>
          <w:szCs w:val="24"/>
          <w:lang w:val="es-ES"/>
        </w:rPr>
      </w:pPr>
      <w:r w:rsidRPr="001C6FA4">
        <w:rPr>
          <w:lang w:val="es-ES"/>
        </w:rPr>
        <w:t>Lista de verificación de requisitos de las tarjetas recargables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84"/>
        <w:gridCol w:w="1415"/>
        <w:gridCol w:w="1462"/>
      </w:tblGrid>
      <w:tr w:rsidR="00D722EB" w:rsidRPr="00AD457A" w14:paraId="65D4CEF5" w14:textId="77777777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bottom"/>
            <w:hideMark/>
          </w:tcPr>
          <w:p w14:paraId="04C64CE7" w14:textId="001B81A6" w:rsidR="001A6203" w:rsidRPr="00C23816" w:rsidRDefault="001C6FA4" w:rsidP="00C23816">
            <w:pPr>
              <w:spacing w:before="120"/>
              <w:jc w:val="left"/>
              <w:rPr>
                <w:rFonts w:eastAsia="Times New Roman" w:cs="Arial"/>
                <w:b/>
                <w:bCs/>
                <w:color w:val="FFFFFF" w:themeColor="background1"/>
                <w:lang w:val="es-ES"/>
              </w:rPr>
            </w:pPr>
            <w:r w:rsidRPr="001C6FA4">
              <w:rPr>
                <w:rFonts w:eastAsia="Times New Roman" w:cs="Arial"/>
                <w:b/>
                <w:bCs/>
                <w:color w:val="FFFFFF" w:themeColor="background1"/>
                <w:lang w:val="es-ES"/>
              </w:rPr>
              <w:t xml:space="preserve">Instrucciones: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>Revisar los requisitos del programa de tarjeta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>s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 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recargables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y determinar el nivel de servicio 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que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>la Cruz Roja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 / Media Luna Roja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>requiere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 o prefiere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. 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Los aspectos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marcados </w:t>
            </w:r>
            <w:r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como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>'</w:t>
            </w:r>
            <w:r w:rsidR="004543CB">
              <w:rPr>
                <w:rFonts w:eastAsia="Times New Roman" w:cs="Arial"/>
                <w:bCs/>
                <w:color w:val="FFFFFF" w:themeColor="background1"/>
                <w:lang w:val="es-ES"/>
              </w:rPr>
              <w:t>r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equerido' </w:t>
            </w:r>
            <w:r w:rsidRPr="00C23816">
              <w:rPr>
                <w:rFonts w:eastAsia="Times New Roman" w:cs="Arial"/>
                <w:bCs/>
                <w:lang w:val="es-ES"/>
              </w:rPr>
              <w:t xml:space="preserve">deben </w:t>
            </w:r>
            <w:r w:rsidR="004543CB" w:rsidRPr="00C23816">
              <w:rPr>
                <w:rFonts w:eastAsia="Times New Roman" w:cs="Arial"/>
                <w:bCs/>
                <w:lang w:val="es-ES"/>
              </w:rPr>
              <w:t xml:space="preserve">estar </w:t>
            </w:r>
            <w:r w:rsidRPr="00C23816">
              <w:rPr>
                <w:rFonts w:eastAsia="Times New Roman" w:cs="Arial"/>
                <w:bCs/>
                <w:lang w:val="es-ES"/>
              </w:rPr>
              <w:t xml:space="preserve">incluidos en el Alcance del trabajo que </w:t>
            </w:r>
            <w:r w:rsidR="004543CB" w:rsidRPr="00C23816">
              <w:rPr>
                <w:rFonts w:eastAsia="Times New Roman" w:cs="Arial"/>
                <w:bCs/>
                <w:lang w:val="es-ES"/>
              </w:rPr>
              <w:t xml:space="preserve">se entregará </w:t>
            </w:r>
            <w:r w:rsidRPr="00C23816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al proveedor de servicios financieros. Los aspectos </w:t>
            </w:r>
            <w:r w:rsidR="004543CB" w:rsidRPr="00C23816">
              <w:rPr>
                <w:rFonts w:eastAsia="Times New Roman" w:cs="Arial"/>
                <w:bCs/>
                <w:color w:val="FFFFFF" w:themeColor="background1"/>
                <w:lang w:val="es-ES"/>
              </w:rPr>
              <w:t>marcados com</w:t>
            </w:r>
            <w:r w:rsidR="004543CB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o 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'preferido' se pueden discutir con el proveedor de servicios financieros y </w:t>
            </w:r>
            <w:r w:rsidR="004543CB">
              <w:rPr>
                <w:rFonts w:eastAsia="Times New Roman" w:cs="Arial"/>
                <w:bCs/>
                <w:color w:val="FFFFFF" w:themeColor="background1"/>
                <w:lang w:val="es-ES"/>
              </w:rPr>
              <w:t xml:space="preserve">serán parte de </w:t>
            </w:r>
            <w:r w:rsidRPr="001C6FA4">
              <w:rPr>
                <w:rFonts w:eastAsia="Times New Roman" w:cs="Arial"/>
                <w:bCs/>
                <w:color w:val="FFFFFF" w:themeColor="background1"/>
                <w:lang w:val="es-ES"/>
              </w:rPr>
              <w:t>las negociaciones</w:t>
            </w:r>
            <w:r>
              <w:rPr>
                <w:rFonts w:eastAsia="Times New Roman" w:cs="Arial"/>
                <w:b/>
                <w:bCs/>
                <w:color w:val="FFFFFF" w:themeColor="background1"/>
                <w:lang w:val="es-ES"/>
              </w:rPr>
              <w:t xml:space="preserve"> </w:t>
            </w:r>
            <w:r w:rsid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4680F257" w14:textId="77777777" w:rsidR="001A6203" w:rsidRPr="00AD457A" w:rsidRDefault="004543CB" w:rsidP="0014212C">
            <w:pPr>
              <w:spacing w:before="120"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>
              <w:rPr>
                <w:rFonts w:eastAsia="Times New Roman" w:cs="Arial"/>
                <w:b/>
                <w:color w:val="FFFFFF" w:themeColor="background1"/>
              </w:rPr>
              <w:t>Requerido</w:t>
            </w:r>
            <w:r w:rsidR="001A6203" w:rsidRPr="00AD457A">
              <w:rPr>
                <w:rFonts w:eastAsia="Times New Roman" w:cs="Arial"/>
                <w:b/>
                <w:color w:val="FFFFFF" w:themeColor="background1"/>
              </w:rPr>
              <w:t xml:space="preserve"> (X)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14:paraId="5BDDC4D4" w14:textId="77777777" w:rsidR="001A6203" w:rsidRPr="00AD457A" w:rsidRDefault="004543CB" w:rsidP="0014212C">
            <w:pPr>
              <w:spacing w:before="120"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>
              <w:rPr>
                <w:rFonts w:eastAsia="Times New Roman" w:cs="Arial"/>
                <w:b/>
                <w:color w:val="FFFFFF" w:themeColor="background1"/>
              </w:rPr>
              <w:t xml:space="preserve">Preferido </w:t>
            </w:r>
            <w:r w:rsidR="001A6203" w:rsidRPr="00AD457A">
              <w:rPr>
                <w:rFonts w:eastAsia="Times New Roman" w:cs="Arial"/>
                <w:b/>
                <w:color w:val="FFFFFF" w:themeColor="background1"/>
              </w:rPr>
              <w:t>(X)</w:t>
            </w:r>
          </w:p>
        </w:tc>
      </w:tr>
      <w:tr w:rsidR="001A6203" w:rsidRPr="00AD457A" w14:paraId="5C1ED14D" w14:textId="77777777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301473F5" w14:textId="77777777" w:rsidR="001A6203" w:rsidRPr="00AD457A" w:rsidRDefault="004543CB" w:rsidP="004543CB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General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1BB14783" w14:textId="77777777" w:rsidR="001A6203" w:rsidRPr="00AD457A" w:rsidRDefault="001A6203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B112755" w14:textId="77777777" w:rsidR="001A6203" w:rsidRPr="00AD457A" w:rsidRDefault="001A6203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C23816" w14:paraId="6E5CCADE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55066B1" w14:textId="2FBD4BB8" w:rsidR="0024178E" w:rsidRPr="00C23816" w:rsidRDefault="004543CB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1309F">
              <w:rPr>
                <w:rFonts w:eastAsia="Times New Roman" w:cs="Arial"/>
                <w:color w:val="000000"/>
                <w:lang w:val="es-ES"/>
              </w:rPr>
              <w:t xml:space="preserve">Los fondos no utilizados </w:t>
            </w:r>
            <w:r w:rsidR="00F7126E">
              <w:rPr>
                <w:rFonts w:eastAsia="Times New Roman" w:cs="Arial"/>
                <w:color w:val="000000"/>
                <w:lang w:val="es-ES"/>
              </w:rPr>
              <w:t xml:space="preserve">serán </w:t>
            </w:r>
            <w:r w:rsidRPr="00C1309F">
              <w:rPr>
                <w:rFonts w:eastAsia="Times New Roman" w:cs="Arial"/>
                <w:color w:val="000000"/>
                <w:lang w:val="es-ES"/>
              </w:rPr>
              <w:t xml:space="preserve">devueltos a la Cruz Roja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 xml:space="preserve">/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880677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10E584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6A185C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8DFA041" w14:textId="2567FD97" w:rsidR="0024178E" w:rsidRPr="00C23816" w:rsidRDefault="004543CB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4543CB">
              <w:rPr>
                <w:rFonts w:eastAsia="Times New Roman" w:cs="Arial"/>
                <w:color w:val="000000"/>
                <w:lang w:val="es-ES"/>
              </w:rPr>
              <w:t xml:space="preserve">El mecanismo de pago puede ser activado a voluntad.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613D65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211F99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4241F03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D95EE4C" w14:textId="6FB7C025" w:rsidR="0024178E" w:rsidRPr="00C23816" w:rsidRDefault="004543CB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Son posible l</w:t>
            </w:r>
            <w:r w:rsidRPr="004543CB">
              <w:rPr>
                <w:rFonts w:eastAsia="Times New Roman"/>
                <w:color w:val="000000"/>
                <w:lang w:val="es-ES"/>
              </w:rPr>
              <w:t xml:space="preserve">as </w:t>
            </w:r>
            <w:r>
              <w:rPr>
                <w:rFonts w:eastAsia="Times New Roman"/>
                <w:color w:val="000000"/>
                <w:lang w:val="es-ES"/>
              </w:rPr>
              <w:t>re</w:t>
            </w:r>
            <w:r w:rsidRPr="004543CB">
              <w:rPr>
                <w:rFonts w:eastAsia="Times New Roman"/>
                <w:color w:val="000000"/>
                <w:lang w:val="es-ES"/>
              </w:rPr>
              <w:t>cargas variables </w:t>
            </w:r>
            <w:r>
              <w:rPr>
                <w:rFonts w:eastAsia="Times New Roman"/>
                <w:color w:val="000000"/>
                <w:lang w:val="es-ES"/>
              </w:rPr>
              <w:t xml:space="preserve">del </w:t>
            </w:r>
            <w:r w:rsidRPr="004543CB">
              <w:rPr>
                <w:rFonts w:eastAsia="Times New Roman"/>
                <w:color w:val="000000"/>
                <w:lang w:val="es-ES"/>
              </w:rPr>
              <w:t xml:space="preserve">mecanismo de </w:t>
            </w:r>
            <w:r w:rsidR="00930380" w:rsidRPr="004543CB">
              <w:rPr>
                <w:rFonts w:eastAsia="Times New Roman"/>
                <w:color w:val="000000"/>
                <w:lang w:val="es-ES"/>
              </w:rPr>
              <w:t>pago.</w:t>
            </w:r>
            <w:r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BE3ACB4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865601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0535085" w14:textId="77777777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78C66298" w14:textId="2661A829" w:rsidR="0024178E" w:rsidRPr="00313A3F" w:rsidRDefault="00313A3F" w:rsidP="00C23816">
            <w:pPr>
              <w:spacing w:before="120"/>
              <w:rPr>
                <w:rFonts w:eastAsia="Times New Roman" w:cs="Arial"/>
                <w:b/>
                <w:bCs/>
                <w:lang w:val="es-ES"/>
              </w:rPr>
            </w:pPr>
            <w:r w:rsidRPr="00313A3F">
              <w:rPr>
                <w:rFonts w:eastAsia="Times New Roman" w:cs="Arial"/>
                <w:b/>
                <w:bCs/>
                <w:lang w:val="es-ES"/>
              </w:rPr>
              <w:t>Herramienta basada en tarjetas (ca</w:t>
            </w:r>
            <w:r w:rsidR="005F3253">
              <w:rPr>
                <w:rFonts w:eastAsia="Times New Roman" w:cs="Arial"/>
                <w:b/>
                <w:bCs/>
                <w:lang w:val="es-ES"/>
              </w:rPr>
              <w:t>j</w:t>
            </w:r>
            <w:r w:rsidRPr="00313A3F">
              <w:rPr>
                <w:rFonts w:eastAsia="Times New Roman" w:cs="Arial"/>
                <w:b/>
                <w:bCs/>
                <w:lang w:val="es-ES"/>
              </w:rPr>
              <w:t>ero</w:t>
            </w:r>
            <w:r w:rsidR="005F3253">
              <w:rPr>
                <w:rFonts w:eastAsia="Times New Roman" w:cs="Arial"/>
                <w:b/>
                <w:bCs/>
                <w:lang w:val="es-ES"/>
              </w:rPr>
              <w:t>s</w:t>
            </w:r>
            <w:r w:rsidRPr="00313A3F">
              <w:rPr>
                <w:rFonts w:eastAsia="Times New Roman" w:cs="Arial"/>
                <w:b/>
                <w:bCs/>
                <w:lang w:val="es-ES"/>
              </w:rPr>
              <w:t xml:space="preserve"> autom</w:t>
            </w:r>
            <w:r w:rsidR="005F3253">
              <w:rPr>
                <w:rFonts w:eastAsia="Times New Roman" w:cs="Arial"/>
                <w:b/>
                <w:bCs/>
                <w:lang w:val="es-ES"/>
              </w:rPr>
              <w:t>á</w:t>
            </w:r>
            <w:r w:rsidRPr="00313A3F">
              <w:rPr>
                <w:rFonts w:eastAsia="Times New Roman" w:cs="Arial"/>
                <w:b/>
                <w:bCs/>
                <w:lang w:val="es-ES"/>
              </w:rPr>
              <w:t>tic</w:t>
            </w:r>
            <w:r w:rsidR="005F3253">
              <w:rPr>
                <w:rFonts w:eastAsia="Times New Roman" w:cs="Arial"/>
                <w:b/>
                <w:bCs/>
                <w:lang w:val="es-ES"/>
              </w:rPr>
              <w:t>os</w:t>
            </w:r>
            <w:r w:rsidRPr="00313A3F">
              <w:rPr>
                <w:rFonts w:eastAsia="Times New Roman" w:cs="Arial"/>
                <w:b/>
                <w:bCs/>
                <w:lang w:val="es-ES"/>
              </w:rPr>
              <w:t xml:space="preserve"> y punto</w:t>
            </w:r>
            <w:r w:rsidR="005F3253">
              <w:rPr>
                <w:rFonts w:eastAsia="Times New Roman" w:cs="Arial"/>
                <w:b/>
                <w:bCs/>
                <w:lang w:val="es-ES"/>
              </w:rPr>
              <w:t>s</w:t>
            </w:r>
            <w:r w:rsidRPr="00313A3F">
              <w:rPr>
                <w:rFonts w:eastAsia="Times New Roman" w:cs="Arial"/>
                <w:b/>
                <w:bCs/>
                <w:lang w:val="es-ES"/>
              </w:rPr>
              <w:t xml:space="preserve"> de venta) </w:t>
            </w:r>
            <w:r w:rsid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6DC15D5F" w14:textId="77777777" w:rsidR="0024178E" w:rsidRPr="00313A3F" w:rsidRDefault="0024178E" w:rsidP="0014212C">
            <w:pPr>
              <w:spacing w:before="120"/>
              <w:jc w:val="center"/>
              <w:rPr>
                <w:rFonts w:eastAsia="Times New Roman" w:cs="Arial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E2804F7" w14:textId="77777777" w:rsidR="0024178E" w:rsidRPr="00313A3F" w:rsidRDefault="0024178E" w:rsidP="0014212C">
            <w:pPr>
              <w:spacing w:before="120"/>
              <w:jc w:val="center"/>
              <w:rPr>
                <w:rFonts w:eastAsia="Times New Roman" w:cs="Arial"/>
                <w:lang w:val="es-ES"/>
              </w:rPr>
            </w:pPr>
          </w:p>
        </w:tc>
      </w:tr>
      <w:tr w:rsidR="0024178E" w:rsidRPr="00C23816" w14:paraId="089FDDBB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744E186" w14:textId="5550194A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5F3253">
              <w:rPr>
                <w:rFonts w:eastAsia="Times New Roman" w:cs="Arial"/>
                <w:color w:val="000000"/>
                <w:lang w:val="es-ES"/>
              </w:rPr>
              <w:t xml:space="preserve">La tarjeta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puede </w:t>
            </w:r>
            <w:r w:rsidRPr="005F3253">
              <w:rPr>
                <w:rFonts w:eastAsia="Times New Roman" w:cs="Arial"/>
                <w:color w:val="000000"/>
                <w:lang w:val="es-ES"/>
              </w:rPr>
              <w:t xml:space="preserve">ser activada a voluntad.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88C980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4B1809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3F48FF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80A087A" w14:textId="4620F863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5F3253">
              <w:rPr>
                <w:rFonts w:eastAsia="Times New Roman" w:cs="Arial"/>
                <w:color w:val="000000"/>
                <w:lang w:val="es-ES"/>
              </w:rPr>
              <w:t xml:space="preserve">La tarjeta tiene valor cero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y puede ser cargada con </w:t>
            </w:r>
            <w:r w:rsidRPr="005F3253">
              <w:rPr>
                <w:rFonts w:eastAsia="Times New Roman" w:cs="Arial"/>
                <w:color w:val="000000"/>
                <w:lang w:val="es-ES"/>
              </w:rPr>
              <w:t xml:space="preserve">cualquier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cantidad </w:t>
            </w:r>
            <w:r w:rsidRPr="005F3253">
              <w:rPr>
                <w:rFonts w:eastAsia="Times New Roman" w:cs="Arial"/>
                <w:color w:val="000000"/>
                <w:lang w:val="es-ES"/>
              </w:rPr>
              <w:t>(valor de carga variable).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3F41D5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716778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5A32A9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8431434" w14:textId="7FB3358E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se puede recargar por un valor máximo determinado por recarga y un valor máximo para toda la vida de la tarjeta.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06AC7E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B84183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E4E3F0E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FA5A685" w14:textId="2A437C07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Cada tarjeta puede recargarse un número limitado de veces. 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0F1F09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CA8AEF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6EA0EAA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AD5F4CC" w14:textId="027BA64E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Las tarjetas serán recargables con fondos la de Cruz Roja / Media Luna Roja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D1D019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CD1C7C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19A398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C413C7E" w14:textId="2AE6ED03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puede estar en uso/activada dentro de las 24 horas siguientes a la notificación.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DBA721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4B868D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5876A3F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49D9F79" w14:textId="639F7AC8" w:rsidR="0024178E" w:rsidRPr="00C23816" w:rsidRDefault="005F325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La tarjeta est</w:t>
            </w:r>
            <w:r w:rsidR="00AC1892" w:rsidRPr="00C23816">
              <w:rPr>
                <w:rFonts w:eastAsia="Times New Roman" w:cs="Arial"/>
                <w:color w:val="000000"/>
                <w:lang w:val="es-ES"/>
              </w:rPr>
              <w:t>ar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á a disposición de la Cruz Roja / Media Luna Roja dentro de las 72 horas siguientes a la petición.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DFBBDF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DB3CB3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F6532C4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703E380" w14:textId="357471E1" w:rsidR="0024178E" w:rsidRPr="00C23816" w:rsidRDefault="00AC189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llevará el logo de la Cruz Roja / Media Luna </w:t>
            </w:r>
            <w:bookmarkStart w:id="0" w:name="_GoBack"/>
            <w:bookmarkEnd w:id="0"/>
            <w:r w:rsidR="00930380" w:rsidRPr="00C23816">
              <w:rPr>
                <w:rFonts w:eastAsia="Times New Roman" w:cs="Arial"/>
                <w:color w:val="000000"/>
                <w:lang w:val="es-ES"/>
              </w:rPr>
              <w:t>Roja.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B3BA60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A5C3B8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AC1892" w14:paraId="3E1F777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85958EE" w14:textId="05562893" w:rsidR="0024178E" w:rsidRPr="00C23816" w:rsidRDefault="00AC189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Las transacciones con tarjetas están basadas en firmas (tarjeta de crédito).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6B56020" w14:textId="77777777" w:rsidR="0024178E" w:rsidRPr="00AC1892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7359845" w14:textId="77777777" w:rsidR="0024178E" w:rsidRPr="00AC1892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AC1892" w14:paraId="521181B0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83604DD" w14:textId="555F3D55" w:rsidR="0024178E" w:rsidRPr="00C23816" w:rsidRDefault="00AC1892" w:rsidP="00C23816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permitirá retirar efectivo al comprar en los puntos de venta. 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B6571D2" w14:textId="77777777" w:rsidR="0024178E" w:rsidRPr="00AC1892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DCC4F77" w14:textId="77777777" w:rsidR="0024178E" w:rsidRPr="00AC1892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C23816" w14:paraId="0AA9F35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4A927B7" w14:textId="41C0CCFB" w:rsidR="0024178E" w:rsidRPr="00C23816" w:rsidRDefault="00AC189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puede ser usada en los cajeros automáticos para retirar efectivo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86544BC" w14:textId="77777777" w:rsidR="0024178E" w:rsidRPr="00AC1892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00AD56A" w14:textId="77777777" w:rsidR="0024178E" w:rsidRPr="00AC1892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02D1D59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4E8198F" w14:textId="24AD22FE" w:rsidR="0024178E" w:rsidRPr="00C23816" w:rsidRDefault="00AC189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La tarjeta puede ser limitada en cuanto</w:t>
            </w:r>
            <w:r w:rsidR="00F7126E" w:rsidRPr="00C23816">
              <w:rPr>
                <w:rFonts w:eastAsia="Times New Roman" w:cs="Arial"/>
                <w:color w:val="000000"/>
                <w:lang w:val="es-ES"/>
              </w:rPr>
              <w:t xml:space="preserve"> a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 la cantidad de efectivo que se puede retirar y en cuanto al número de operaciones.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729401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48C949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16E26B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DCBDDE4" w14:textId="0408C43C" w:rsidR="0024178E" w:rsidRPr="00C23816" w:rsidRDefault="00AC189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se puede limitar a un número de días XX de activación.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10C1F5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91BFAB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2E0AE7E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9CFBAA1" w14:textId="075C1C8F" w:rsidR="0024178E" w:rsidRPr="00C23816" w:rsidRDefault="00030028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lastRenderedPageBreak/>
              <w:t xml:space="preserve">La tarjeta puede ser cargada, recargada o desactivada a distancia. </w:t>
            </w:r>
            <w:r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1379A4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D25EC2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0FB992E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092DEF5" w14:textId="3139795C" w:rsidR="0024178E" w:rsidRPr="00C23816" w:rsidRDefault="00030028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puede ser cargada, recargada o desactivada por un comerciante en nombre de la Cruz Roja /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D8025E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83B2B5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31A90A2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F304012" w14:textId="426E1F64" w:rsidR="0024178E" w:rsidRPr="00C23816" w:rsidRDefault="00030028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puede ser suspendida/restablecida o desactivada por la Cruz Roja /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916BB8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824B40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243EAF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D2B83DF" w14:textId="2ED6FB11" w:rsidR="0024178E" w:rsidRPr="00C23816" w:rsidRDefault="00030028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Una tarjeta caducada puede ser desactivada.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96EE6D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E9B98D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5BA612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299E4AA" w14:textId="7A3A1F43" w:rsidR="0024178E" w:rsidRPr="00C23816" w:rsidRDefault="00030028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será rechazada en los cajeros automáticos si no dispone de suficientes fondos.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4E62CF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D58E0F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2CC417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A2D1831" w14:textId="5EDAE6BE" w:rsidR="0024178E" w:rsidRPr="00C23816" w:rsidRDefault="00030028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será rechazada o se rechazará la transacción de compra si el importe excede el saldo disponible en la tarjeta; no se permiten saldos negativos.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F05C42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B43CAE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AD457A" w14:paraId="1C2A7AC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0F80629" w14:textId="363B817C" w:rsidR="0024178E" w:rsidRPr="00C23816" w:rsidRDefault="00030028" w:rsidP="00C23816">
            <w:pPr>
              <w:spacing w:before="80" w:after="80"/>
              <w:rPr>
                <w:rFonts w:eastAsia="Times New Roman" w:cs="Arial"/>
              </w:rPr>
            </w:pPr>
            <w:r w:rsidRPr="00C23816">
              <w:rPr>
                <w:rFonts w:eastAsia="Times New Roman" w:cs="Arial"/>
                <w:lang w:val="es-ES"/>
              </w:rPr>
              <w:t>Se requiere aprobación electrónica</w:t>
            </w:r>
            <w:r w:rsidR="009D4AF5" w:rsidRPr="00C23816">
              <w:rPr>
                <w:rFonts w:eastAsia="Times New Roman" w:cs="Arial"/>
                <w:lang w:val="es-ES"/>
              </w:rPr>
              <w:t xml:space="preserve"> en el momento de la compra</w:t>
            </w:r>
            <w:r w:rsidRPr="00C23816">
              <w:rPr>
                <w:rFonts w:eastAsia="Times New Roman" w:cs="Arial"/>
                <w:lang w:val="es-ES"/>
              </w:rPr>
              <w:t xml:space="preserve"> para todas las transacciones con tarjeta. </w:t>
            </w:r>
            <w:r w:rsidR="0024178E" w:rsidRPr="00C23816">
              <w:rPr>
                <w:rFonts w:eastAsia="Times New Roman" w:cs="Arial"/>
              </w:rPr>
              <w:t xml:space="preserve">Electronic approval is required with $0 threshold for all card transactions at time of purchase.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61138E0" w14:textId="77777777"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DBFA504" w14:textId="77777777" w:rsidR="0024178E" w:rsidRPr="00AD457A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C23816" w14:paraId="28A6BFA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4B4BC1F" w14:textId="6D2FFCA1" w:rsidR="0024178E" w:rsidRPr="00C23816" w:rsidRDefault="009D4AF5" w:rsidP="00C23816">
            <w:pPr>
              <w:spacing w:before="80" w:after="80"/>
              <w:rPr>
                <w:rFonts w:eastAsia="Times New Roman" w:cs="Arial"/>
                <w:lang w:val="es-ES"/>
              </w:rPr>
            </w:pPr>
            <w:r w:rsidRPr="00C23816">
              <w:rPr>
                <w:rFonts w:eastAsia="Times New Roman" w:cs="Arial"/>
                <w:lang w:val="es-ES"/>
              </w:rPr>
              <w:t>Hay un límite al plazo de tiempo</w:t>
            </w:r>
            <w:r w:rsidR="001550CB" w:rsidRPr="00C23816">
              <w:rPr>
                <w:rFonts w:eastAsia="Times New Roman" w:cs="Arial"/>
                <w:lang w:val="es-ES"/>
              </w:rPr>
              <w:t xml:space="preserve"> </w:t>
            </w:r>
            <w:r w:rsidRPr="00C23816">
              <w:rPr>
                <w:rFonts w:eastAsia="Times New Roman" w:cs="Arial"/>
                <w:lang w:val="es-ES"/>
              </w:rPr>
              <w:t xml:space="preserve">durante el cual los comerciantes podrán </w:t>
            </w:r>
            <w:r w:rsidR="00520C5D" w:rsidRPr="00C23816">
              <w:rPr>
                <w:rFonts w:eastAsia="Times New Roman" w:cs="Arial"/>
                <w:lang w:val="es-ES"/>
              </w:rPr>
              <w:t xml:space="preserve">informar/reclamar las </w:t>
            </w:r>
            <w:r w:rsidR="001550CB" w:rsidRPr="00C23816">
              <w:rPr>
                <w:rFonts w:eastAsia="Times New Roman" w:cs="Arial"/>
                <w:lang w:val="es-ES"/>
              </w:rPr>
              <w:t>compra</w:t>
            </w:r>
            <w:r w:rsidR="00520C5D" w:rsidRPr="00C23816">
              <w:rPr>
                <w:rFonts w:eastAsia="Times New Roman" w:cs="Arial"/>
                <w:lang w:val="es-ES"/>
              </w:rPr>
              <w:t>s</w:t>
            </w:r>
            <w:r w:rsidRPr="00C23816">
              <w:rPr>
                <w:rFonts w:eastAsia="Times New Roman" w:cs="Arial"/>
                <w:lang w:val="es-ES"/>
              </w:rPr>
              <w:t xml:space="preserve"> o </w:t>
            </w:r>
            <w:r w:rsidR="00520C5D" w:rsidRPr="00C23816">
              <w:rPr>
                <w:rFonts w:eastAsia="Times New Roman" w:cs="Arial"/>
                <w:lang w:val="es-ES"/>
              </w:rPr>
              <w:t>los cajeros automáticos se podrán usar para</w:t>
            </w:r>
            <w:r w:rsidR="001550CB" w:rsidRPr="00C23816">
              <w:rPr>
                <w:rFonts w:eastAsia="Times New Roman" w:cs="Arial"/>
                <w:lang w:val="es-ES"/>
              </w:rPr>
              <w:t xml:space="preserve"> retirar dinero </w:t>
            </w:r>
            <w:r w:rsidR="00520C5D" w:rsidRPr="00C23816">
              <w:rPr>
                <w:rFonts w:eastAsia="Times New Roman" w:cs="Arial"/>
                <w:lang w:val="es-ES"/>
              </w:rPr>
              <w:t>hasta 60 días o menos</w:t>
            </w:r>
            <w:r w:rsidRPr="00C23816">
              <w:rPr>
                <w:rFonts w:eastAsia="Times New Roman" w:cs="Arial"/>
                <w:lang w:val="es-ES"/>
              </w:rPr>
              <w:t xml:space="preserve">; todas las transacciones posteriores serán rechazadas. </w:t>
            </w:r>
            <w:r w:rsidR="00C23816" w:rsidRPr="00C23816">
              <w:rPr>
                <w:rFonts w:eastAsia="Times New Roman" w:cs="Arial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4A1C1F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C9AC5E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69436AF0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0124A5F" w14:textId="231796C3" w:rsidR="0024178E" w:rsidRPr="00C23816" w:rsidRDefault="00C716FD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puede ser restringida </w:t>
            </w:r>
            <w:r w:rsidR="00BF3DE3" w:rsidRPr="00C23816">
              <w:rPr>
                <w:rFonts w:eastAsia="Times New Roman" w:cs="Arial"/>
                <w:color w:val="000000"/>
                <w:lang w:val="es-ES"/>
              </w:rPr>
              <w:t xml:space="preserve">de acuerdo a diversos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códigos </w:t>
            </w:r>
            <w:r w:rsidR="00BF3DE3" w:rsidRPr="00C23816">
              <w:rPr>
                <w:rFonts w:eastAsia="Times New Roman" w:cs="Arial"/>
                <w:color w:val="000000"/>
                <w:lang w:val="es-ES"/>
              </w:rPr>
              <w:t xml:space="preserve">de transacción </w:t>
            </w:r>
            <w:r w:rsidR="00BF3DE3" w:rsidRPr="00C23816">
              <w:rPr>
                <w:rFonts w:eastAsia="Times New Roman" w:cs="Arial"/>
                <w:lang w:val="es-ES"/>
              </w:rPr>
              <w:t>por sector/</w:t>
            </w:r>
            <w:r w:rsidRPr="00C23816">
              <w:rPr>
                <w:rFonts w:eastAsia="Times New Roman" w:cs="Arial"/>
                <w:lang w:val="es-ES"/>
              </w:rPr>
              <w:t>industria y</w:t>
            </w:r>
            <w:r w:rsidR="00BF3DE3" w:rsidRPr="00C23816">
              <w:rPr>
                <w:rFonts w:eastAsia="Times New Roman" w:cs="Arial"/>
                <w:lang w:val="es-ES"/>
              </w:rPr>
              <w:t xml:space="preserve"> </w:t>
            </w:r>
            <w:r w:rsidRPr="00C23816">
              <w:rPr>
                <w:rFonts w:eastAsia="Times New Roman" w:cs="Arial"/>
                <w:lang w:val="es-ES"/>
              </w:rPr>
              <w:t>categoría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8BBF1E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D3C317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5C0DBC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A6A73EB" w14:textId="18B49C84" w:rsidR="0024178E" w:rsidRPr="00C23816" w:rsidRDefault="00B441C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Se proporcionan los costes detallados de un sistema por el cual el proveedor de servicios financieros mantiene las tarjetas en stock y las envía a la Cruz Roja /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0EDEC7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2947E6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D1AABA8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2BB3B68" w14:textId="6B068308" w:rsidR="0024178E" w:rsidRPr="00C23816" w:rsidRDefault="00B441C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Se proporcionan los costes detallados de un sistema por el cual la Cruz Roja / Media Luna Roja mantiene las tarjetas en stock. </w:t>
            </w:r>
            <w:r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3E2C96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E55D00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E868A10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3382352" w14:textId="1EE7429D" w:rsidR="0024178E" w:rsidRPr="00C23816" w:rsidRDefault="00B441C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está conectada a una empresa de pago electrónico internacionalmente aceptada (por ejemplo, MasterCard, VISA).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BAFF215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7E6DBA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FA62251" w14:textId="77777777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7A6B5835" w14:textId="16F2C317" w:rsidR="0024178E" w:rsidRPr="0061028E" w:rsidRDefault="0061028E" w:rsidP="00C23816">
            <w:pPr>
              <w:spacing w:before="120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  <w:r w:rsidRPr="0061028E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Requisitos del proveedor de servicios financieros </w:t>
            </w:r>
            <w:r w:rsid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0323E5A4" w14:textId="77777777" w:rsidR="0024178E" w:rsidRPr="0061028E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32D65C6" w14:textId="77777777" w:rsidR="0024178E" w:rsidRPr="0061028E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D2ECB0C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37F4F8C" w14:textId="126D79CB" w:rsidR="0024178E" w:rsidRPr="00C23816" w:rsidRDefault="0061028E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ofrece una variedad de mecanismos de entrega de efectivo en un país determinado.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61B8AB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9A4AA8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201BEE8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7304235" w14:textId="736E8BAF" w:rsidR="0024178E" w:rsidRPr="00C23816" w:rsidRDefault="0061028E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debe tener un producto </w:t>
            </w:r>
            <w:r w:rsidR="00F7126E" w:rsidRPr="00C23816">
              <w:rPr>
                <w:rFonts w:eastAsia="Times New Roman" w:cs="Arial"/>
                <w:color w:val="000000"/>
                <w:lang w:val="es-ES"/>
              </w:rPr>
              <w:t xml:space="preserve">en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funcionamiento en los países prioritarios.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168C39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B247DF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14CDB97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8059C85" w14:textId="3D25493B" w:rsidR="0024178E" w:rsidRPr="00C23816" w:rsidRDefault="0061028E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es capaz y está dispuesto a expandirse a nuevos mercados (mercado = país).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A52480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1A3505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084B9A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C90F11E" w14:textId="2B27A491" w:rsidR="0024178E" w:rsidRPr="00C23816" w:rsidRDefault="0061028E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cumple con los estándares de la industria sobre regulación, cumplimiento y gestión de riesgos (incluidos los socios).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F7EEDC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373E77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CAB7FCE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ED2C5EF" w14:textId="1A46A85A" w:rsidR="0024178E" w:rsidRPr="00C23816" w:rsidRDefault="0061028E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cumple con los estándares de la industria sobre integridad y seguridad de los datos  (incluidos los socios).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700373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E54221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4DCB2BC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A52B9F4" w14:textId="7D85DBA2" w:rsidR="0024178E" w:rsidRPr="00C23816" w:rsidRDefault="00C1309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cumple plenamente con la regulación de la OFAC.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2B4C7B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C5E9DE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5113EAF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1C1AE0A" w14:textId="4281D026" w:rsidR="0024178E" w:rsidRPr="00C23816" w:rsidRDefault="00C1309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cumple plenamente con los requisitos legales, de regulación y de divisas del país. </w:t>
            </w:r>
            <w:r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E3E840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F5B1A6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4E4AB0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19E81E3" w14:textId="6F00861F" w:rsidR="0024178E" w:rsidRPr="00C23816" w:rsidRDefault="00C1309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>
              <w:rPr>
                <w:rFonts w:eastAsia="Times New Roman" w:cs="Arial"/>
                <w:color w:val="000000"/>
                <w:lang w:val="es-ES"/>
              </w:rPr>
              <w:lastRenderedPageBreak/>
              <w:t xml:space="preserve">El </w:t>
            </w:r>
            <w:r w:rsidRPr="00C1309F">
              <w:rPr>
                <w:rFonts w:eastAsia="Times New Roman" w:cs="Arial"/>
                <w:color w:val="000000"/>
                <w:lang w:val="es-ES"/>
              </w:rPr>
              <w:t xml:space="preserve">proveedor de servicios financieros ofrece tarifas competitivas a la Cruz Roja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/ </w:t>
            </w:r>
            <w:r w:rsidRPr="00C1309F">
              <w:rPr>
                <w:rFonts w:eastAsia="Times New Roman" w:cs="Arial"/>
                <w:color w:val="000000"/>
                <w:lang w:val="es-ES"/>
              </w:rPr>
              <w:t>Media Luna Roja.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8E9B1C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856616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B105F40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3810A5F" w14:textId="10C4CBC8" w:rsidR="0024178E" w:rsidRPr="00C23816" w:rsidRDefault="00EC315D" w:rsidP="00C23816">
            <w:pPr>
              <w:keepNext/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>
              <w:rPr>
                <w:rFonts w:eastAsia="Times New Roman" w:cs="Arial"/>
                <w:color w:val="000000"/>
                <w:lang w:val="es-ES"/>
              </w:rPr>
              <w:t xml:space="preserve">El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 xml:space="preserve">proveedor de servicios financieros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está comprometido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 xml:space="preserve">con la innovación y la inclusión financiera, y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con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>la promoción de la interoperabilidad de los proveedores de servicios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877C384" w14:textId="77777777" w:rsidR="0024178E" w:rsidRPr="00C23816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5947319" w14:textId="77777777" w:rsidR="0024178E" w:rsidRPr="00C23816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7230020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E22D392" w14:textId="375A8D17" w:rsidR="0024178E" w:rsidRPr="00C23816" w:rsidRDefault="00EC315D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>
              <w:rPr>
                <w:rFonts w:eastAsia="Times New Roman" w:cs="Arial"/>
                <w:color w:val="000000"/>
                <w:lang w:val="es-ES"/>
              </w:rPr>
              <w:t xml:space="preserve">El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>proveedor de servicios financieros tiene un mandato de responsabilidad soci</w:t>
            </w:r>
            <w:r>
              <w:rPr>
                <w:rFonts w:eastAsia="Times New Roman" w:cs="Arial"/>
                <w:color w:val="000000"/>
                <w:lang w:val="es-ES"/>
              </w:rPr>
              <w:t>al corporativa (RSC) (esto es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 xml:space="preserve">, está dispuesto a bajar las tasas en las crisis humanitarias,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a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 xml:space="preserve">apoyar la investigación en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PTE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>en situaciones de emergencia, etc</w:t>
            </w:r>
            <w:r>
              <w:rPr>
                <w:rFonts w:eastAsia="Times New Roman" w:cs="Arial"/>
                <w:color w:val="000000"/>
                <w:lang w:val="es-ES"/>
              </w:rPr>
              <w:t>.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 xml:space="preserve">; se trata de un acuerdo de colaboración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más que </w:t>
            </w:r>
            <w:r w:rsidRPr="00EC315D">
              <w:rPr>
                <w:rFonts w:eastAsia="Times New Roman" w:cs="Arial"/>
                <w:color w:val="000000"/>
                <w:lang w:val="es-ES"/>
              </w:rPr>
              <w:t>de un contrato).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91B602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A44A96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CAEFB09" w14:textId="77777777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04C89835" w14:textId="5C2F3B38" w:rsidR="0024178E" w:rsidRPr="00EC315D" w:rsidRDefault="00EC315D" w:rsidP="00C23816">
            <w:pPr>
              <w:spacing w:before="120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  <w:r w:rsidRPr="00EC315D">
              <w:rPr>
                <w:rFonts w:eastAsia="Times New Roman" w:cs="Arial"/>
                <w:b/>
                <w:bCs/>
                <w:color w:val="000000"/>
                <w:lang w:val="es-ES"/>
              </w:rPr>
              <w:t>Servicios y tarifas de</w:t>
            </w:r>
            <w:r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l </w:t>
            </w:r>
            <w:r w:rsidRPr="00EC315D">
              <w:rPr>
                <w:rFonts w:eastAsia="Times New Roman" w:cs="Arial"/>
                <w:b/>
                <w:bCs/>
                <w:color w:val="000000"/>
                <w:lang w:val="es-ES"/>
              </w:rPr>
              <w:t>proveedor</w:t>
            </w:r>
            <w:r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 de servicios financieros </w:t>
            </w:r>
            <w:r w:rsidRPr="00EC315D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  <w:r w:rsid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1E83CECC" w14:textId="77777777" w:rsidR="0024178E" w:rsidRPr="00EC315D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1A11BA9" w14:textId="77777777" w:rsidR="0024178E" w:rsidRPr="00EC315D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E1EE9C8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FE15D8A" w14:textId="5D13FC36" w:rsidR="0024178E" w:rsidRPr="00C23816" w:rsidRDefault="00EC315D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El proveedor de servicios financieros tiene capacidad para hacer transferencias electrónicas desde/</w:t>
            </w:r>
            <w:r w:rsidR="009545E3" w:rsidRPr="00C23816">
              <w:rPr>
                <w:rFonts w:eastAsia="Times New Roman" w:cs="Arial"/>
                <w:color w:val="000000"/>
                <w:lang w:val="es-ES"/>
              </w:rPr>
              <w:t xml:space="preserve">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>las cuentas</w:t>
            </w:r>
            <w:r w:rsidR="009545E3" w:rsidRPr="00C23816">
              <w:rPr>
                <w:rFonts w:eastAsia="Times New Roman" w:cs="Arial"/>
                <w:color w:val="000000"/>
                <w:lang w:val="es-ES"/>
              </w:rPr>
              <w:t xml:space="preserve"> de los fondos para hacer recargas, pago tasas, devolución de saldos no utilizados de las tarjetas. 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3CE45B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B56058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BF7A96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2FB5A0C" w14:textId="694DAB61" w:rsidR="0024178E" w:rsidRPr="00C23816" w:rsidRDefault="009545E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tiene capacidad para recibir </w:t>
            </w:r>
            <w:hyperlink r:id="rId8" w:history="1">
              <w:r w:rsidRPr="00C23816">
                <w:rPr>
                  <w:rFonts w:eastAsia="Times New Roman"/>
                  <w:color w:val="000000"/>
                  <w:lang w:val="es-ES"/>
                </w:rPr>
                <w:t>estados de cuenta</w:t>
              </w:r>
            </w:hyperlink>
            <w:r w:rsidRPr="00C23816">
              <w:rPr>
                <w:rFonts w:eastAsia="Times New Roman" w:cs="Arial"/>
                <w:color w:val="000000"/>
                <w:lang w:val="es-ES"/>
              </w:rPr>
              <w:t xml:space="preserve"> electrónicos</w:t>
            </w:r>
            <w:r w:rsidRPr="00C23816">
              <w:rPr>
                <w:lang w:val="es-ES"/>
              </w:rPr>
              <w:t xml:space="preserve"> y participar en los procesos de conciliación bancaria con la Cruz Roja / Media Luna Roja. 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FBA67A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D26938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132C4FE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72A5670" w14:textId="2036BC32" w:rsidR="0024178E" w:rsidRPr="00C23816" w:rsidRDefault="009545E3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Es posible la facturación mensual por tarifas de cuentas y otros cargos.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E43033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BDF50F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6C3FB2C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3BBF7E6" w14:textId="6CCB1D1B" w:rsidR="0024178E" w:rsidRPr="00C23816" w:rsidRDefault="00FA4AF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ofrece soporte técnico al personal de la Cruz Roja / Media Luna Roja para la gestión de la herramienta de pago.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D22122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F1FA66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E3583E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2B9812F" w14:textId="7620DCED" w:rsidR="0024178E" w:rsidRPr="00C23816" w:rsidRDefault="00FA4AF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tiene sistemas </w:t>
            </w:r>
            <w:r w:rsidR="00520C5D" w:rsidRPr="00C23816">
              <w:rPr>
                <w:rFonts w:eastAsia="Times New Roman" w:cs="Arial"/>
                <w:color w:val="000000"/>
                <w:lang w:val="es-ES"/>
              </w:rPr>
              <w:t>internos (back-office)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 redundantes para proporcionar copias de seguridad y mantener la funcionalidad de forma continuada en caso de desastres.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19DD7A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F669A2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8FBA712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611BB7A" w14:textId="5524702C" w:rsidR="0024178E" w:rsidRPr="00C23816" w:rsidRDefault="00FA4AF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puede generar una estructura claramente definida de </w:t>
            </w:r>
            <w:r w:rsidR="002D7C9B" w:rsidRPr="00C23816">
              <w:rPr>
                <w:rFonts w:eastAsia="Times New Roman" w:cs="Arial"/>
                <w:color w:val="000000"/>
                <w:lang w:val="es-ES"/>
              </w:rPr>
              <w:t>tarifas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 para cada nivel: el cliente (la Cruz Roja / Media Luna Roja), beneficiario/usuario final.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151F9D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0EB2BC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ADF9537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9452A57" w14:textId="22DB9E02" w:rsidR="0024178E" w:rsidRPr="00C23816" w:rsidRDefault="00FA4AF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Está disponible </w:t>
            </w:r>
            <w:r w:rsidR="00FA1680" w:rsidRPr="00C23816">
              <w:rPr>
                <w:rFonts w:eastAsia="Times New Roman" w:cs="Arial"/>
                <w:color w:val="000000"/>
                <w:lang w:val="es-ES"/>
              </w:rPr>
              <w:t xml:space="preserve">el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coste </w:t>
            </w:r>
            <w:r w:rsidR="00357361" w:rsidRPr="00C23816">
              <w:rPr>
                <w:rFonts w:eastAsia="Times New Roman" w:cs="Arial"/>
                <w:color w:val="000000"/>
                <w:lang w:val="es-ES"/>
              </w:rPr>
              <w:t xml:space="preserve">completo </w:t>
            </w:r>
            <w:r w:rsidR="00FA1680" w:rsidRPr="00C23816">
              <w:rPr>
                <w:rFonts w:eastAsia="Times New Roman" w:cs="Arial"/>
                <w:color w:val="000000"/>
                <w:lang w:val="es-ES"/>
              </w:rPr>
              <w:t>del programa, incluyendo todos los costes conocidos relacionados con la herramienta de pagos.</w:t>
            </w:r>
            <w:r w:rsidR="00FA1680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D762C6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992AC0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D8D1EBE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E6C29B0" w14:textId="45C2326F" w:rsidR="0024178E" w:rsidRPr="00C23816" w:rsidRDefault="00FA1680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Los cargos por los servicios han de ser absorbidos por la Cruz Roja / Media Luna Roja, no por el usuario final/ beneficiario.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687FC15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9DEA5D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EFB322B" w14:textId="77777777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69E13F9B" w14:textId="49B0D29E" w:rsidR="0024178E" w:rsidRPr="00FA1680" w:rsidRDefault="00FA1680" w:rsidP="00C23816">
            <w:pPr>
              <w:spacing w:before="120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  <w:r w:rsidRPr="00FA1680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Requisitos de la plataforma de pagos del proveedor de servicios financieros </w:t>
            </w:r>
            <w:r w:rsid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0151FC52" w14:textId="77777777" w:rsidR="0024178E" w:rsidRPr="00FA1680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149958E" w14:textId="77777777" w:rsidR="0024178E" w:rsidRPr="00FA1680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994C4A4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5C068CC" w14:textId="7713308A" w:rsidR="0024178E" w:rsidRPr="00C23816" w:rsidRDefault="00FA1680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>
              <w:rPr>
                <w:rFonts w:eastAsia="Times New Roman" w:cs="Arial"/>
                <w:color w:val="000000"/>
                <w:lang w:val="es-ES"/>
              </w:rPr>
              <w:t>L</w:t>
            </w:r>
            <w:r w:rsidRPr="00FA1680">
              <w:rPr>
                <w:rFonts w:eastAsia="Times New Roman" w:cs="Arial"/>
                <w:color w:val="000000"/>
                <w:lang w:val="es-ES"/>
              </w:rPr>
              <w:t>a plataforma de</w:t>
            </w:r>
            <w:r>
              <w:rPr>
                <w:rFonts w:eastAsia="Times New Roman" w:cs="Arial"/>
                <w:color w:val="000000"/>
                <w:lang w:val="es-ES"/>
              </w:rPr>
              <w:t>l</w:t>
            </w:r>
            <w:r w:rsidRPr="00FA1680">
              <w:rPr>
                <w:rFonts w:eastAsia="Times New Roman" w:cs="Arial"/>
                <w:color w:val="000000"/>
                <w:lang w:val="es-ES"/>
              </w:rPr>
              <w:t xml:space="preserve"> proveedor de servicios financieros proporciona un alto nivel de acceso </w:t>
            </w:r>
            <w:r>
              <w:rPr>
                <w:rFonts w:eastAsia="Times New Roman" w:cs="Arial"/>
                <w:color w:val="000000"/>
                <w:lang w:val="es-ES"/>
              </w:rPr>
              <w:t>–</w:t>
            </w:r>
            <w:r w:rsidRPr="00FA1680">
              <w:rPr>
                <w:rFonts w:eastAsia="Times New Roman" w:cs="Arial"/>
                <w:color w:val="000000"/>
                <w:lang w:val="es-ES"/>
              </w:rPr>
              <w:t xml:space="preserve"> urbano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Pr="00FA1680">
              <w:rPr>
                <w:rFonts w:eastAsia="Times New Roman" w:cs="Arial"/>
                <w:color w:val="000000"/>
                <w:lang w:val="es-ES"/>
              </w:rPr>
              <w:t xml:space="preserve">y rural (con 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información detallada </w:t>
            </w:r>
            <w:r w:rsidRPr="00FA1680">
              <w:rPr>
                <w:rFonts w:eastAsia="Times New Roman" w:cs="Arial"/>
                <w:color w:val="000000"/>
                <w:lang w:val="es-ES"/>
              </w:rPr>
              <w:t xml:space="preserve">a nivel de país: </w:t>
            </w:r>
            <w:r w:rsidR="002C72DF">
              <w:rPr>
                <w:rFonts w:eastAsia="Times New Roman" w:cs="Arial"/>
                <w:color w:val="000000"/>
                <w:lang w:val="es-ES"/>
              </w:rPr>
              <w:t>es decir</w:t>
            </w:r>
            <w:r w:rsidRPr="00FA1680">
              <w:rPr>
                <w:rFonts w:eastAsia="Times New Roman" w:cs="Arial"/>
                <w:color w:val="000000"/>
                <w:lang w:val="es-ES"/>
              </w:rPr>
              <w:t>, coordenadas GPS de los cajeros automáticos, puntos de venta, sucursales, etc.).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181376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536FD0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33C011C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B488C24" w14:textId="6B12C45F" w:rsidR="0024178E" w:rsidRPr="00C23816" w:rsidRDefault="00FA1680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</w:t>
            </w:r>
            <w:r w:rsidR="002C72DF" w:rsidRPr="00C23816">
              <w:rPr>
                <w:rFonts w:eastAsia="Times New Roman" w:cs="Arial"/>
                <w:color w:val="000000"/>
                <w:lang w:val="es-ES"/>
              </w:rPr>
              <w:t xml:space="preserve">puede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y está dispuesto a ampliar la infraestructura, si es necesario.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934FC45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0BECFF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7441252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0033743" w14:textId="24C72C4A" w:rsidR="0024178E" w:rsidRPr="00C23816" w:rsidRDefault="00FA1680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El proveedor de servicios finan</w:t>
            </w:r>
            <w:r w:rsidR="002C72DF" w:rsidRPr="00C23816">
              <w:rPr>
                <w:rFonts w:eastAsia="Times New Roman" w:cs="Arial"/>
                <w:color w:val="000000"/>
                <w:lang w:val="es-ES"/>
              </w:rPr>
              <w:t xml:space="preserve">cieros tiene capacidad/posibilidad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>de ampliación en el país (</w:t>
            </w:r>
            <w:r w:rsidR="002C72DF" w:rsidRPr="00C23816">
              <w:rPr>
                <w:rFonts w:eastAsia="Times New Roman" w:cs="Arial"/>
                <w:color w:val="000000"/>
                <w:lang w:val="es-ES"/>
              </w:rPr>
              <w:t>es decir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, </w:t>
            </w:r>
            <w:r w:rsidR="002C72DF" w:rsidRPr="00C23816">
              <w:rPr>
                <w:rFonts w:eastAsia="Times New Roman" w:cs="Arial"/>
                <w:color w:val="000000"/>
                <w:lang w:val="es-ES"/>
              </w:rPr>
              <w:t xml:space="preserve">el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volumen de puntos </w:t>
            </w:r>
            <w:r w:rsidR="002C72DF" w:rsidRPr="00C23816">
              <w:rPr>
                <w:rFonts w:eastAsia="Times New Roman" w:cs="Arial"/>
                <w:color w:val="000000"/>
                <w:lang w:val="es-ES"/>
              </w:rPr>
              <w:t xml:space="preserve">en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funcionamiento que puede gestionar en el país).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66BBFA4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EA3A6D4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965BF30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97F9EA5" w14:textId="3AB267EE" w:rsidR="0024178E" w:rsidRPr="00C23816" w:rsidRDefault="002C72D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puede y está dispuesto a ampliar su capacidad/posibilidad de ampliación (es decir, el volumen de los puntos para prestar un servicio), en caso necesario. </w:t>
            </w:r>
            <w:r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FF5E50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760032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B856BE3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F649457" w14:textId="548DCD39" w:rsidR="0024178E" w:rsidRPr="00C23816" w:rsidRDefault="002C72D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lastRenderedPageBreak/>
              <w:t xml:space="preserve">El proveedor de servicios financieros tiene capacidad para priorizar y movilizar recursos bajo petición para permitir una respuesta rápida.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09BA9D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ECF8DF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BE50752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8889751" w14:textId="24518256" w:rsidR="0024178E" w:rsidRPr="00C23816" w:rsidRDefault="002C72D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herramienta de pago ofrecida por el proveedor de servicios financieros permite una opción de dinero en mano.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B21CC9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AB20E8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C874ECB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C56B54C" w14:textId="7245EB42" w:rsidR="0024178E" w:rsidRPr="00C23816" w:rsidRDefault="002C72DF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El proveedor de servicios financieros promueve la inclusión financiera (es decir, las transacciones</w:t>
            </w:r>
            <w:r w:rsidRPr="00C23816">
              <w:rPr>
                <w:rFonts w:eastAsia="Times New Roman" w:cs="Arial"/>
                <w:color w:val="FF0000"/>
                <w:lang w:val="es-ES"/>
              </w:rPr>
              <w:t xml:space="preserve"> </w:t>
            </w:r>
            <w:r w:rsidRPr="00C23816">
              <w:rPr>
                <w:rFonts w:eastAsia="Times New Roman" w:cs="Arial"/>
                <w:lang w:val="es-ES"/>
              </w:rPr>
              <w:t>de doble sentido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575FCA7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A6A568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6EE34DC4" w14:textId="77777777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3DE686FB" w14:textId="09AF6F65" w:rsidR="0024178E" w:rsidRPr="00C23816" w:rsidRDefault="00690276" w:rsidP="00C23816">
            <w:pPr>
              <w:spacing w:before="120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  <w:r w:rsidRPr="00C23816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Interfaz de usuario del proveedor de servicios financieros  </w:t>
            </w:r>
            <w:r w:rsidR="00C23816" w:rsidRP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4FD51EBA" w14:textId="77777777" w:rsidR="0024178E" w:rsidRPr="00690276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E08B3B7" w14:textId="77777777" w:rsidR="0024178E" w:rsidRPr="00690276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70778DB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12B53B0" w14:textId="0305FFE1" w:rsidR="0024178E" w:rsidRPr="00C23816" w:rsidRDefault="00690276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El proveedor de servicios financieros ofrece un sistema en línea basado en Internet para la gestión de cuentas.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636479A" w14:textId="77777777" w:rsidR="0024178E" w:rsidRPr="0069027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B65AF6B" w14:textId="77777777" w:rsidR="0024178E" w:rsidRPr="0069027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5EAF7C8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4B4535C" w14:textId="082C16B5" w:rsidR="0024178E" w:rsidRPr="00C23816" w:rsidRDefault="00690276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ofrece un sistema en línea basado en Internet para la gestión de las cuentas de los beneficiarios con la capacidad de cargar lotes.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4EEB62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4CFE0A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A910F6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2309092" w14:textId="44E83D04" w:rsidR="0024178E" w:rsidRPr="00C23816" w:rsidRDefault="00690276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 xml:space="preserve">mantiene un proceso para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>añadir/conservar las identificaciones y contraseñas de los usuarios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>,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 xml:space="preserve">para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un grupo de usuarios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 xml:space="preserve">que están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dispersos geográficamente,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 xml:space="preserve">limitando su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acceso al sistema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 xml:space="preserve">de modo que accedan 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información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>adecuada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 en </w:t>
            </w:r>
            <w:r w:rsidR="00555669" w:rsidRPr="00C23816">
              <w:rPr>
                <w:rFonts w:eastAsia="Times New Roman" w:cs="Arial"/>
                <w:color w:val="000000"/>
                <w:lang w:val="es-ES"/>
              </w:rPr>
              <w:t xml:space="preserve">base al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nivel de seguridad.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C26ED8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C725E1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F98ABD3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A086A84" w14:textId="01483118" w:rsidR="0024178E" w:rsidRPr="00C23816" w:rsidRDefault="0055566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interfaz de usuario es intuitiva y fácil de usar.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FEAEEB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2D5CFF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E85C86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F0476D2" w14:textId="3720B07A" w:rsidR="0024178E" w:rsidRPr="00C23816" w:rsidRDefault="0055566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interfaz de usuario permite añadir información específica (campos flexibles para añadir datos de la Cruz Roja / Media Luna Roja).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94F46D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15D2CA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72A8016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D65B577" w14:textId="0D23A10E" w:rsidR="0024178E" w:rsidRPr="00C23816" w:rsidRDefault="0055566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interfaz de usuario está disponible en los idiomas de NNUU.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1EF69D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48BC9EF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0E34D2F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4807B20" w14:textId="26362BA2" w:rsidR="0024178E" w:rsidRPr="00C23816" w:rsidRDefault="0055566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interfaz de usuario permite emitir informes </w:t>
            </w:r>
            <w:r w:rsidR="00C23816" w:rsidRPr="00C23816">
              <w:rPr>
                <w:rFonts w:eastAsia="Times New Roman" w:cs="Arial"/>
                <w:color w:val="000000"/>
                <w:lang w:val="es-ES"/>
              </w:rPr>
              <w:t xml:space="preserve">a partir del </w:t>
            </w:r>
            <w:r w:rsidR="00520C5D" w:rsidRPr="00C23816">
              <w:rPr>
                <w:rFonts w:eastAsia="Times New Roman" w:cs="Arial"/>
                <w:color w:val="000000"/>
                <w:lang w:val="es-ES"/>
              </w:rPr>
              <w:t xml:space="preserve">documentos de identidad </w:t>
            </w:r>
            <w:r w:rsidR="00C23816" w:rsidRPr="00C23816">
              <w:rPr>
                <w:rFonts w:eastAsia="Times New Roman" w:cs="Arial"/>
                <w:color w:val="000000"/>
                <w:lang w:val="es-ES"/>
              </w:rPr>
              <w:t xml:space="preserve">(DI)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>de</w:t>
            </w:r>
            <w:r w:rsidR="00520C5D" w:rsidRPr="00C23816"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000000"/>
                <w:lang w:val="es-ES"/>
              </w:rPr>
              <w:t xml:space="preserve">un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usuario (es decir, </w:t>
            </w:r>
            <w:r w:rsidR="00CD33D4" w:rsidRPr="00C23816">
              <w:rPr>
                <w:rFonts w:eastAsia="Times New Roman" w:cs="Arial"/>
                <w:color w:val="000000"/>
                <w:lang w:val="es-ES"/>
              </w:rPr>
              <w:t xml:space="preserve">quién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inició </w:t>
            </w:r>
            <w:r w:rsidR="00CD33D4" w:rsidRPr="00C23816">
              <w:rPr>
                <w:rFonts w:eastAsia="Times New Roman" w:cs="Arial"/>
                <w:color w:val="000000"/>
                <w:lang w:val="es-ES"/>
              </w:rPr>
              <w:t xml:space="preserve">la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sesión, las tarjetas cargadas, las </w:t>
            </w:r>
            <w:r w:rsidR="00CD33D4" w:rsidRPr="00C23816">
              <w:rPr>
                <w:rFonts w:eastAsia="Times New Roman" w:cs="Arial"/>
                <w:color w:val="000000"/>
                <w:lang w:val="es-ES"/>
              </w:rPr>
              <w:t xml:space="preserve">operaciones bajo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>dich</w:t>
            </w:r>
            <w:r w:rsidR="00C23816" w:rsidRPr="00C23816">
              <w:rPr>
                <w:rFonts w:eastAsia="Times New Roman" w:cs="Arial"/>
                <w:color w:val="000000"/>
                <w:lang w:val="es-ES"/>
              </w:rPr>
              <w:t>o DI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00037C4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3683C6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2437CB5" w14:textId="77777777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6B14DC43" w14:textId="5FD78887" w:rsidR="0024178E" w:rsidRPr="00C23816" w:rsidRDefault="00CD33D4" w:rsidP="00C23816">
            <w:pPr>
              <w:spacing w:before="120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  <w:r w:rsidRPr="00C23816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Capacidades de formación del proveedor de servicios financieros </w:t>
            </w:r>
            <w:r w:rsidR="00C23816" w:rsidRP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1A52EE87" w14:textId="77777777" w:rsidR="0024178E" w:rsidRPr="00CD33D4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A957201" w14:textId="77777777" w:rsidR="0024178E" w:rsidRPr="00CD33D4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56172B4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2141EC6" w14:textId="20EB499C" w:rsidR="0024178E" w:rsidRPr="00C23816" w:rsidRDefault="00CD33D4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ofrece formación </w:t>
            </w:r>
            <w:r w:rsidR="001B6D87" w:rsidRPr="00C23816">
              <w:rPr>
                <w:rFonts w:eastAsia="Times New Roman" w:cs="Arial"/>
                <w:color w:val="000000"/>
                <w:lang w:val="es-ES"/>
              </w:rPr>
              <w:t>sobre la interfaz en línea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, así como </w:t>
            </w:r>
            <w:r w:rsidR="001B6D87" w:rsidRPr="00C23816">
              <w:rPr>
                <w:rFonts w:eastAsia="Times New Roman" w:cs="Arial"/>
                <w:color w:val="000000"/>
                <w:lang w:val="es-ES"/>
              </w:rPr>
              <w:t xml:space="preserve">sobre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>cualquier interfaz con mecanismo</w:t>
            </w:r>
            <w:r w:rsidR="001B6D87" w:rsidRPr="00C23816">
              <w:rPr>
                <w:rFonts w:eastAsia="Times New Roman" w:cs="Arial"/>
                <w:color w:val="000000"/>
                <w:lang w:val="es-ES"/>
              </w:rPr>
              <w:t>s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 de pago.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58ED3E7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081247C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EC3C752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67A2C12" w14:textId="5A702E51" w:rsidR="0024178E" w:rsidRPr="00C23816" w:rsidRDefault="001B6D87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ofrece formación de formadores de los usuarios en el país.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7F98FB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C0B763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1656B8DC" w14:textId="77777777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47C2615E" w14:textId="4E950B72" w:rsidR="0024178E" w:rsidRPr="00C23816" w:rsidRDefault="001B6D87" w:rsidP="00C23816">
            <w:pPr>
              <w:spacing w:before="120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  <w:r w:rsidRPr="00C23816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Posibilidades de </w:t>
            </w:r>
            <w:r w:rsidR="00F84C29" w:rsidRPr="00C23816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generación </w:t>
            </w:r>
            <w:r w:rsidRPr="00C23816">
              <w:rPr>
                <w:rFonts w:eastAsia="Times New Roman" w:cs="Arial"/>
                <w:b/>
                <w:bCs/>
                <w:color w:val="000000"/>
                <w:lang w:val="es-ES"/>
              </w:rPr>
              <w:t>de informes del proveedor de servicios financieros</w:t>
            </w:r>
            <w:r w:rsidRP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b/>
                <w:bCs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071E1F0E" w14:textId="77777777" w:rsidR="0024178E" w:rsidRPr="001B6D87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99A0FA3" w14:textId="77777777" w:rsidR="0024178E" w:rsidRPr="001B6D87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0B06039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7FE7ED4" w14:textId="55E5D8AF" w:rsidR="0024178E" w:rsidRPr="00C23816" w:rsidRDefault="001B6D87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proporciona una interfaz </w:t>
            </w:r>
            <w:r w:rsidR="00F84C29" w:rsidRPr="00C23816">
              <w:rPr>
                <w:rFonts w:eastAsia="Times New Roman" w:cs="Arial"/>
                <w:color w:val="000000"/>
                <w:lang w:val="es-ES"/>
              </w:rPr>
              <w:t>d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 informes entre él mismo y la Cruz Roja /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954599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3FECAA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F2E0E6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9684D77" w14:textId="367F1F44" w:rsidR="0024178E" w:rsidRPr="00C23816" w:rsidRDefault="00F84C29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ofrece un sistema de generación de informes que ofrezca la posibilidad de añadir campos de información específica de la Cruz Roja / la Media Luna en los informes estándar e interfaces.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170914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682B38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65991C9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4EB160E" w14:textId="59B17BC2" w:rsidR="0024178E" w:rsidRPr="00C23816" w:rsidRDefault="0054268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Los informes se pueden descargar en Excel o Access para su análisis y compilación.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9B9D70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979F28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31DBA3A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53AB226" w14:textId="6ABDED05" w:rsidR="0024178E" w:rsidRPr="00C23816" w:rsidRDefault="00542682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lastRenderedPageBreak/>
              <w:t xml:space="preserve">El proveedor de servicios financieros proporciona una posibilidad de generar informes ad-hoc de modo que todos los campos se puedan buscar en cualquier orden.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7D1256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D9408A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679A4B5C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67E13B1" w14:textId="5031EE31" w:rsidR="0024178E" w:rsidRPr="00C23816" w:rsidRDefault="006C3D25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tiene la posibilidad de recibir datos agregados con respecto a las cuentas.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DC6583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D336443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2BA5CEB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549ED5A" w14:textId="567A3273" w:rsidR="0024178E" w:rsidRPr="00C23816" w:rsidRDefault="006C3D25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puede seleccionar la moneda para la carga/contabilidad/generación de informes.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02362E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894E24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77626285" w14:textId="77777777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28B7F02" w14:textId="55FA4E5B" w:rsidR="0024178E" w:rsidRPr="00C23816" w:rsidRDefault="00847371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proveedor de servicios financieros tiene capacidad para informar sobre los códigos de los comerciantes.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C944F2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0AEA7A5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63C3BCE1" w14:textId="77777777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146A72A5" w14:textId="6270266C" w:rsidR="0024178E" w:rsidRPr="00847371" w:rsidRDefault="00847371" w:rsidP="00C23816">
            <w:pPr>
              <w:keepNext/>
              <w:spacing w:before="120"/>
              <w:rPr>
                <w:rFonts w:eastAsia="Times New Roman" w:cs="Arial"/>
                <w:b/>
                <w:color w:val="000000"/>
                <w:lang w:val="es-ES"/>
              </w:rPr>
            </w:pPr>
            <w:r w:rsidRPr="00847371">
              <w:rPr>
                <w:rFonts w:eastAsia="Times New Roman" w:cs="Arial"/>
                <w:b/>
                <w:color w:val="000000"/>
                <w:lang w:val="es-ES"/>
              </w:rPr>
              <w:t xml:space="preserve">Programa de </w:t>
            </w:r>
            <w:r>
              <w:rPr>
                <w:rFonts w:eastAsia="Times New Roman" w:cs="Arial"/>
                <w:b/>
                <w:color w:val="000000"/>
                <w:lang w:val="es-ES"/>
              </w:rPr>
              <w:t xml:space="preserve">atención </w:t>
            </w:r>
            <w:r w:rsidRPr="00847371">
              <w:rPr>
                <w:rFonts w:eastAsia="Times New Roman" w:cs="Arial"/>
                <w:b/>
                <w:color w:val="000000"/>
                <w:lang w:val="es-ES"/>
              </w:rPr>
              <w:t xml:space="preserve">al cliente </w:t>
            </w:r>
            <w:r>
              <w:rPr>
                <w:rFonts w:eastAsia="Times New Roman" w:cs="Arial"/>
                <w:b/>
                <w:color w:val="000000"/>
                <w:lang w:val="es-ES"/>
              </w:rPr>
              <w:t xml:space="preserve">del </w:t>
            </w:r>
            <w:r w:rsidRPr="00847371">
              <w:rPr>
                <w:rFonts w:eastAsia="Times New Roman" w:cs="Arial"/>
                <w:b/>
                <w:color w:val="000000"/>
                <w:lang w:val="es-ES"/>
              </w:rPr>
              <w:t xml:space="preserve">proveedor de servicios financieros </w:t>
            </w:r>
            <w:r>
              <w:rPr>
                <w:rFonts w:eastAsia="Times New Roman" w:cs="Arial"/>
                <w:b/>
                <w:color w:val="000000"/>
                <w:lang w:val="es-ES"/>
              </w:rPr>
              <w:t xml:space="preserve"> </w:t>
            </w:r>
            <w:r w:rsidR="00C23816">
              <w:rPr>
                <w:rFonts w:eastAsia="Times New Roman" w:cs="Arial"/>
                <w:b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14:paraId="52BCCDD3" w14:textId="77777777" w:rsidR="0024178E" w:rsidRPr="00847371" w:rsidRDefault="0024178E" w:rsidP="0014212C">
            <w:pPr>
              <w:keepNext/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0310619" w14:textId="77777777" w:rsidR="0024178E" w:rsidRPr="00847371" w:rsidRDefault="0024178E" w:rsidP="0014212C">
            <w:pPr>
              <w:keepNext/>
              <w:spacing w:before="12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381EDED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731EEBC" w14:textId="3618EE0A" w:rsidR="0024178E" w:rsidRPr="00C23816" w:rsidRDefault="00847371" w:rsidP="00C23816">
            <w:pPr>
              <w:keepNext/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servicio de atención al cliente deriva las cuestiones que son específicas del programa a la Cruz Roja / Media Luna Roja (a saber, la cantidad en la tarjeta/fraude/extorsión).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1A08AD3" w14:textId="77777777" w:rsidR="0024178E" w:rsidRPr="00C23816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6FA830B" w14:textId="77777777" w:rsidR="0024178E" w:rsidRPr="00C23816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5A8C9831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A917387" w14:textId="00984BE1" w:rsidR="0024178E" w:rsidRPr="00C23816" w:rsidRDefault="00847371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servicio de atención al cliente se externaliza (no dentro de la Cruz Roja) en </w:t>
            </w:r>
            <w:r w:rsidR="00520C5D" w:rsidRPr="00C23816">
              <w:rPr>
                <w:rFonts w:eastAsia="Times New Roman" w:cs="Arial"/>
                <w:color w:val="000000"/>
                <w:lang w:val="es-ES"/>
              </w:rPr>
              <w:t xml:space="preserve">el idioma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local y/o en otros dialectos importantes.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7909DCB4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A64DD5B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25603A63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EB7691D" w14:textId="3A589692" w:rsidR="0024178E" w:rsidRPr="00C23816" w:rsidRDefault="00847371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servicio de atención al cliente ofrece un centro de atención telefónica gratuito para responder a las preguntas </w:t>
            </w:r>
            <w:r w:rsidR="002D7C9B" w:rsidRPr="00C23816">
              <w:rPr>
                <w:rFonts w:eastAsia="Times New Roman" w:cs="Arial"/>
                <w:color w:val="000000"/>
                <w:lang w:val="es-ES"/>
              </w:rPr>
              <w:t xml:space="preserve">sobre el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uso.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D486B2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E43AD68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412A994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7ACA601" w14:textId="3B164B0E" w:rsidR="0024178E" w:rsidRPr="00C23816" w:rsidRDefault="002D7C9B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Los temas relacionados con tarjetas perdidas/robad</w:t>
            </w:r>
            <w:r w:rsidR="00357361" w:rsidRPr="00C23816">
              <w:rPr>
                <w:rFonts w:eastAsia="Times New Roman" w:cs="Arial"/>
                <w:color w:val="000000"/>
                <w:lang w:val="es-ES"/>
              </w:rPr>
              <w:t>as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/estropeadas son tratados por el servicio de atención al cliente para proceder a su cancelación/desactivación.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  <w:r w:rsidR="0024178E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5695D7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6345842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60994DBD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A46B5E0" w14:textId="2D94B182" w:rsidR="0024178E" w:rsidRPr="00C23816" w:rsidRDefault="002D7C9B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>El proveedor de servicios financieros puede ofrecer un servicio de atención al cliente durante el horario comercial para ayudar a los titulares de las tarjetas a utilizarlas; este servicio se puede activar a petición de la Cruz Roja / Media Luna Roja</w:t>
            </w:r>
            <w:r w:rsidR="00C23816" w:rsidRPr="00C23816"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5BC02A1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8BDB36E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5B673E5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4483023" w14:textId="5FCA2F83" w:rsidR="0024178E" w:rsidRPr="00C23816" w:rsidRDefault="00060C8A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servicio de atención al cliente proporciona información sobre notificación y seguimiento de problemas a la Cruz Roja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106B9ED0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BB83ADA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0A1FABFD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3388E299" w14:textId="575558D3" w:rsidR="0024178E" w:rsidRPr="00C23816" w:rsidRDefault="00060C8A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Las estadísticas de clientes son recogidas por el servicio de atención al cliente, que también presenta los informes a la Cruz Roja / Media Luna Roja.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2569C939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65947AD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  <w:tr w:rsidR="0024178E" w:rsidRPr="00C23816" w14:paraId="3C3F59FA" w14:textId="77777777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7C15D136" w14:textId="528CA6DD" w:rsidR="0024178E" w:rsidRPr="00C23816" w:rsidRDefault="00060C8A" w:rsidP="00C23816">
            <w:pPr>
              <w:spacing w:before="80" w:after="80"/>
              <w:rPr>
                <w:rFonts w:eastAsia="Times New Roman" w:cs="Arial"/>
                <w:color w:val="000000"/>
                <w:lang w:val="es-ES"/>
              </w:rPr>
            </w:pP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</w:t>
            </w:r>
            <w:r w:rsidR="00255509" w:rsidRPr="00C23816">
              <w:rPr>
                <w:rFonts w:eastAsia="Times New Roman" w:cs="Arial"/>
                <w:color w:val="000000"/>
                <w:lang w:val="es-ES"/>
              </w:rPr>
              <w:t xml:space="preserve">elaboración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de informes del servicio de atención al cliente se </w:t>
            </w:r>
            <w:r w:rsidR="00255509" w:rsidRPr="00C23816">
              <w:rPr>
                <w:rFonts w:eastAsia="Times New Roman" w:cs="Arial"/>
                <w:color w:val="000000"/>
                <w:lang w:val="es-ES"/>
              </w:rPr>
              <w:t xml:space="preserve">realiza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y se requiere </w:t>
            </w:r>
            <w:r w:rsidR="00255509" w:rsidRPr="00C23816">
              <w:rPr>
                <w:rFonts w:eastAsia="Times New Roman" w:cs="Arial"/>
                <w:color w:val="000000"/>
                <w:lang w:val="es-ES"/>
              </w:rPr>
              <w:t xml:space="preserve">durante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el período de </w:t>
            </w:r>
            <w:r w:rsidR="00255509" w:rsidRPr="00C23816">
              <w:rPr>
                <w:rFonts w:eastAsia="Times New Roman" w:cs="Arial"/>
                <w:color w:val="000000"/>
                <w:lang w:val="es-ES"/>
              </w:rPr>
              <w:t xml:space="preserve">validez de </w:t>
            </w:r>
            <w:r w:rsidRPr="00C23816">
              <w:rPr>
                <w:rFonts w:eastAsia="Times New Roman" w:cs="Arial"/>
                <w:color w:val="000000"/>
                <w:lang w:val="es-ES"/>
              </w:rPr>
              <w:t xml:space="preserve">la tarjeta solicitada, no todo el tiempo. </w:t>
            </w:r>
            <w:r w:rsidR="00C23816" w:rsidRPr="00C23816">
              <w:rPr>
                <w:rFonts w:eastAsia="Times New Roman"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6C080FAF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0C4E8B36" w14:textId="77777777" w:rsidR="0024178E" w:rsidRPr="00C23816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  <w:lang w:val="es-ES"/>
              </w:rPr>
            </w:pPr>
          </w:p>
        </w:tc>
      </w:tr>
    </w:tbl>
    <w:p w14:paraId="656BB0F9" w14:textId="77777777" w:rsidR="001A6203" w:rsidRPr="00C23816" w:rsidRDefault="001A6203" w:rsidP="00D722EB">
      <w:pPr>
        <w:rPr>
          <w:szCs w:val="24"/>
          <w:lang w:val="es-ES"/>
        </w:rPr>
      </w:pPr>
    </w:p>
    <w:sectPr w:rsidR="001A6203" w:rsidRPr="00C23816" w:rsidSect="009D02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4FD8" w14:textId="77777777" w:rsidR="00522AEC" w:rsidRDefault="00522AEC" w:rsidP="005F74D2">
      <w:pPr>
        <w:spacing w:after="0"/>
      </w:pPr>
      <w:r>
        <w:separator/>
      </w:r>
    </w:p>
  </w:endnote>
  <w:endnote w:type="continuationSeparator" w:id="0">
    <w:p w14:paraId="52942033" w14:textId="77777777" w:rsidR="00522AEC" w:rsidRDefault="00522AEC" w:rsidP="005F7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2427" w14:textId="77777777" w:rsidR="009545E3" w:rsidRDefault="009545E3" w:rsidP="009545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ABD64" w14:textId="77777777" w:rsidR="009545E3" w:rsidRDefault="009545E3" w:rsidP="001A62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ED05" w14:textId="3A4600C2" w:rsidR="009545E3" w:rsidRPr="00B45C74" w:rsidRDefault="009545E3" w:rsidP="009545E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30380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432A252" w14:textId="1F52081F" w:rsidR="009545E3" w:rsidRPr="003A3500" w:rsidRDefault="009545E3" w:rsidP="009545E3">
    <w:pPr>
      <w:pStyle w:val="Footer"/>
    </w:pPr>
    <w:r>
      <w:rPr>
        <w:b/>
      </w:rPr>
      <w:t>Mó</w:t>
    </w:r>
    <w:r w:rsidRPr="00107E15">
      <w:rPr>
        <w:b/>
      </w:rPr>
      <w:t>dul</w:t>
    </w:r>
    <w:r>
      <w:rPr>
        <w:b/>
      </w:rPr>
      <w:t>o</w:t>
    </w:r>
    <w:r w:rsidRPr="00107E15">
      <w:rPr>
        <w:b/>
      </w:rPr>
      <w:t xml:space="preserve"> </w:t>
    </w:r>
    <w:r>
      <w:rPr>
        <w:b/>
      </w:rPr>
      <w:t>4</w:t>
    </w:r>
    <w:r w:rsidRPr="00107E15">
      <w:rPr>
        <w:b/>
      </w:rPr>
      <w:t>.</w:t>
    </w:r>
    <w:r w:rsidRPr="00107E15">
      <w:t xml:space="preserve"> </w:t>
    </w:r>
    <w:r>
      <w:t>Etapa 3</w:t>
    </w:r>
    <w:r w:rsidRPr="00107E15">
      <w:t>.</w:t>
    </w:r>
    <w:r>
      <w:t xml:space="preserve"> Sub-etapa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930380" w:rsidRPr="00930380">
      <w:rPr>
        <w:bCs/>
        <w:noProof/>
      </w:rPr>
      <w:t>Lista de verificación de</w:t>
    </w:r>
    <w:r w:rsidR="00930380">
      <w:rPr>
        <w:i/>
        <w:noProof/>
      </w:rPr>
      <w:t xml:space="preserve"> requisitos de las tarjetas recargables</w:t>
    </w:r>
    <w:r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5B90" w14:textId="77777777" w:rsidR="009545E3" w:rsidRPr="00B45C74" w:rsidRDefault="009545E3" w:rsidP="009545E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A9F80AC" w14:textId="77777777" w:rsidR="009545E3" w:rsidRPr="003A3500" w:rsidRDefault="009545E3" w:rsidP="009545E3">
    <w:pPr>
      <w:pStyle w:val="Footer"/>
    </w:pPr>
    <w:r w:rsidRPr="00107E15">
      <w:rPr>
        <w:b/>
      </w:rPr>
      <w:t xml:space="preserve">Module </w:t>
    </w:r>
    <w:r>
      <w:rPr>
        <w:b/>
      </w:rPr>
      <w:t>4</w:t>
    </w:r>
    <w:r w:rsidRPr="00107E15">
      <w:rPr>
        <w:b/>
      </w:rPr>
      <w:t>.</w:t>
    </w:r>
    <w:r w:rsidRPr="00107E15">
      <w:t xml:space="preserve"> Step </w:t>
    </w:r>
    <w:r>
      <w:t>3</w:t>
    </w:r>
    <w:r w:rsidRPr="00107E15">
      <w:t>.</w:t>
    </w:r>
    <w:r>
      <w:t xml:space="preserve"> Sub-step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Pr="009D028F">
      <w:rPr>
        <w:bCs/>
        <w:noProof/>
      </w:rPr>
      <w:t>Value card requirements checklist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F35A" w14:textId="77777777" w:rsidR="00522AEC" w:rsidRDefault="00522AEC" w:rsidP="005F74D2">
      <w:pPr>
        <w:spacing w:after="0"/>
      </w:pPr>
      <w:r>
        <w:separator/>
      </w:r>
    </w:p>
  </w:footnote>
  <w:footnote w:type="continuationSeparator" w:id="0">
    <w:p w14:paraId="031AB058" w14:textId="77777777" w:rsidR="00522AEC" w:rsidRDefault="00522AEC" w:rsidP="005F7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0F12" w14:textId="77777777" w:rsidR="009545E3" w:rsidRPr="00730879" w:rsidRDefault="009545E3" w:rsidP="001C6FA4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7E211E18" w14:textId="77777777" w:rsidR="009545E3" w:rsidRPr="001C6FA4" w:rsidRDefault="009545E3" w:rsidP="001C6FA4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AE9D" w14:textId="77777777" w:rsidR="009545E3" w:rsidRPr="00074036" w:rsidRDefault="009545E3" w:rsidP="009545E3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DFE"/>
    <w:multiLevelType w:val="hybridMultilevel"/>
    <w:tmpl w:val="25B6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D2"/>
    <w:rsid w:val="00030028"/>
    <w:rsid w:val="00060C8A"/>
    <w:rsid w:val="000A110C"/>
    <w:rsid w:val="0014212C"/>
    <w:rsid w:val="001550CB"/>
    <w:rsid w:val="0017435F"/>
    <w:rsid w:val="001A6203"/>
    <w:rsid w:val="001B6D87"/>
    <w:rsid w:val="001C6FA4"/>
    <w:rsid w:val="0024178E"/>
    <w:rsid w:val="00255509"/>
    <w:rsid w:val="002A3C79"/>
    <w:rsid w:val="002C72DF"/>
    <w:rsid w:val="002D7C9B"/>
    <w:rsid w:val="00304409"/>
    <w:rsid w:val="00313A3F"/>
    <w:rsid w:val="003178BA"/>
    <w:rsid w:val="00357361"/>
    <w:rsid w:val="0038548E"/>
    <w:rsid w:val="00387C43"/>
    <w:rsid w:val="003B1EE4"/>
    <w:rsid w:val="003D7D0E"/>
    <w:rsid w:val="00423154"/>
    <w:rsid w:val="00441EB7"/>
    <w:rsid w:val="004543CB"/>
    <w:rsid w:val="004659CA"/>
    <w:rsid w:val="004B406B"/>
    <w:rsid w:val="004F0F11"/>
    <w:rsid w:val="00507E94"/>
    <w:rsid w:val="00510DF8"/>
    <w:rsid w:val="00515962"/>
    <w:rsid w:val="00520C5D"/>
    <w:rsid w:val="00520E76"/>
    <w:rsid w:val="00522AEC"/>
    <w:rsid w:val="00542682"/>
    <w:rsid w:val="00555669"/>
    <w:rsid w:val="00581503"/>
    <w:rsid w:val="005B2DCA"/>
    <w:rsid w:val="005C4EF4"/>
    <w:rsid w:val="005F3253"/>
    <w:rsid w:val="005F74D2"/>
    <w:rsid w:val="00606DB2"/>
    <w:rsid w:val="0061028E"/>
    <w:rsid w:val="0068487B"/>
    <w:rsid w:val="00690276"/>
    <w:rsid w:val="00692629"/>
    <w:rsid w:val="006A3C1E"/>
    <w:rsid w:val="006C3A6E"/>
    <w:rsid w:val="006C3D25"/>
    <w:rsid w:val="00705D96"/>
    <w:rsid w:val="00737438"/>
    <w:rsid w:val="0074438E"/>
    <w:rsid w:val="00751F2F"/>
    <w:rsid w:val="00770141"/>
    <w:rsid w:val="00785B84"/>
    <w:rsid w:val="007F113B"/>
    <w:rsid w:val="007F32A0"/>
    <w:rsid w:val="008014CE"/>
    <w:rsid w:val="00847371"/>
    <w:rsid w:val="00873B04"/>
    <w:rsid w:val="008B6399"/>
    <w:rsid w:val="008B6B90"/>
    <w:rsid w:val="008C6472"/>
    <w:rsid w:val="00930380"/>
    <w:rsid w:val="00931CE1"/>
    <w:rsid w:val="009545E3"/>
    <w:rsid w:val="009746F9"/>
    <w:rsid w:val="00993189"/>
    <w:rsid w:val="009D028F"/>
    <w:rsid w:val="009D4AF5"/>
    <w:rsid w:val="00A909C8"/>
    <w:rsid w:val="00AB2E46"/>
    <w:rsid w:val="00AC1892"/>
    <w:rsid w:val="00AD457A"/>
    <w:rsid w:val="00B162DD"/>
    <w:rsid w:val="00B173DE"/>
    <w:rsid w:val="00B2066B"/>
    <w:rsid w:val="00B441C9"/>
    <w:rsid w:val="00B50F41"/>
    <w:rsid w:val="00BB049C"/>
    <w:rsid w:val="00BD6CCA"/>
    <w:rsid w:val="00BF3DE3"/>
    <w:rsid w:val="00C1309F"/>
    <w:rsid w:val="00C23816"/>
    <w:rsid w:val="00C27B8E"/>
    <w:rsid w:val="00C318FB"/>
    <w:rsid w:val="00C4348D"/>
    <w:rsid w:val="00C446A4"/>
    <w:rsid w:val="00C716FD"/>
    <w:rsid w:val="00C74E0A"/>
    <w:rsid w:val="00CC64CA"/>
    <w:rsid w:val="00CD33D4"/>
    <w:rsid w:val="00CE1F63"/>
    <w:rsid w:val="00CE3277"/>
    <w:rsid w:val="00CF4C55"/>
    <w:rsid w:val="00D01305"/>
    <w:rsid w:val="00D36F5B"/>
    <w:rsid w:val="00D722EB"/>
    <w:rsid w:val="00D84CF5"/>
    <w:rsid w:val="00DB522D"/>
    <w:rsid w:val="00E346FF"/>
    <w:rsid w:val="00E73C98"/>
    <w:rsid w:val="00EC315D"/>
    <w:rsid w:val="00EE1BB3"/>
    <w:rsid w:val="00EF3B2A"/>
    <w:rsid w:val="00F7126E"/>
    <w:rsid w:val="00F84C29"/>
    <w:rsid w:val="00FA1680"/>
    <w:rsid w:val="00FA4AF2"/>
    <w:rsid w:val="00FD0CE2"/>
    <w:rsid w:val="00FF2046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0490D"/>
  <w15:docId w15:val="{12D037EE-78E3-406A-9E4B-3258D635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028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D02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28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28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28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028F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28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28F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8F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D028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02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8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28F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028F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28F"/>
    <w:rPr>
      <w:rFonts w:ascii="Arial" w:eastAsiaTheme="minorEastAsia" w:hAnsi="Arial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D028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028F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9D028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028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028F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28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028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28F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9D028F"/>
    <w:rPr>
      <w:vertAlign w:val="superscript"/>
    </w:rPr>
  </w:style>
  <w:style w:type="paragraph" w:styleId="Revision">
    <w:name w:val="Revision"/>
    <w:hidden/>
    <w:uiPriority w:val="99"/>
    <w:semiHidden/>
    <w:rsid w:val="009D028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D028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028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028F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028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D028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028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028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028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D028F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028F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D028F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028F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028F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028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D028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D028F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4543CB"/>
  </w:style>
  <w:style w:type="character" w:customStyle="1" w:styleId="apple-converted-space">
    <w:name w:val="apple-converted-space"/>
    <w:basedOn w:val="DefaultParagraphFont"/>
    <w:rsid w:val="0045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ee.es/espanol-ingles/traduccion/estados+de+cuenta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3B6B-5122-44F5-8C76-A5D905E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</TotalTime>
  <Pages>5</Pages>
  <Words>1801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Stored Value Cards – Program Requirements</vt:lpstr>
    </vt:vector>
  </TitlesOfParts>
  <Company>IFRC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Stored Value Cards – Program Requirements</dc:title>
  <dc:creator>Valued Acer Customer</dc:creator>
  <cp:lastModifiedBy>Ines DALMAU i GUTSENS</cp:lastModifiedBy>
  <cp:revision>2</cp:revision>
  <cp:lastPrinted>2015-10-09T16:12:00Z</cp:lastPrinted>
  <dcterms:created xsi:type="dcterms:W3CDTF">2016-02-20T22:17:00Z</dcterms:created>
  <dcterms:modified xsi:type="dcterms:W3CDTF">2016-02-20T22:17:00Z</dcterms:modified>
</cp:coreProperties>
</file>