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7AD2" w14:textId="528D0041" w:rsidR="00B56B45" w:rsidRPr="00722C73" w:rsidRDefault="001B047A" w:rsidP="000C702D">
      <w:pPr>
        <w:pStyle w:val="H1"/>
        <w:rPr>
          <w:rFonts w:cs="Arial"/>
        </w:rPr>
      </w:pPr>
      <w:r w:rsidRPr="00722C73">
        <w:t>Liste de contrôle des exigences relatives aux transferts électroniques</w:t>
      </w: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62"/>
        <w:gridCol w:w="2785"/>
        <w:gridCol w:w="1001"/>
      </w:tblGrid>
      <w:tr w:rsidR="00B56B45" w:rsidRPr="00722C73" w14:paraId="06D66B2E" w14:textId="77777777" w:rsidTr="00A3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bottom w:val="single" w:sz="8" w:space="0" w:color="auto"/>
            </w:tcBorders>
            <w:shd w:val="clear" w:color="auto" w:fill="DC281E"/>
          </w:tcPr>
          <w:p w14:paraId="596981BC" w14:textId="7D568E0E" w:rsidR="00B56B45" w:rsidRPr="00722C73" w:rsidRDefault="00B56B45" w:rsidP="0023591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722C73">
              <w:t>Pré-requis pour la sélection d</w:t>
            </w:r>
            <w:r w:rsidR="00B22461" w:rsidRPr="00722C73">
              <w:t>’</w:t>
            </w:r>
            <w:r w:rsidRPr="00722C73">
              <w:t xml:space="preserve">un </w:t>
            </w:r>
            <w:r w:rsidR="0023591C" w:rsidRPr="00722C73">
              <w:t>prestataire</w:t>
            </w:r>
            <w:r w:rsidRPr="00722C73">
              <w:t xml:space="preserve"> de services de transfert</w:t>
            </w:r>
            <w:r w:rsidR="002E4143" w:rsidRPr="00722C73">
              <w:t>s</w:t>
            </w:r>
            <w:r w:rsidRPr="00722C73">
              <w:t xml:space="preserve"> électronique</w:t>
            </w:r>
            <w:r w:rsidR="002E4143" w:rsidRPr="00722C73">
              <w:t>s</w:t>
            </w:r>
            <w:r w:rsidRPr="00722C73">
              <w:t xml:space="preserve"> (carte/téléphone mobile)</w:t>
            </w:r>
          </w:p>
        </w:tc>
        <w:tc>
          <w:tcPr>
            <w:tcW w:w="1414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14:paraId="3FA2F305" w14:textId="77777777" w:rsidR="00B56B45" w:rsidRPr="00722C73" w:rsidRDefault="00B56B45" w:rsidP="004764D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22C73">
              <w:t>Commentaires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14:paraId="6951EBF8" w14:textId="77777777" w:rsidR="00B56B45" w:rsidRPr="00722C73" w:rsidRDefault="00B56B45" w:rsidP="000C702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722C73">
              <w:rPr>
                <w:rFonts w:ascii="MS Gothic" w:hAnsi="MS Gothic"/>
                <w:b w:val="0"/>
              </w:rPr>
              <w:t>✓</w:t>
            </w:r>
          </w:p>
        </w:tc>
      </w:tr>
      <w:tr w:rsidR="00B56B45" w:rsidRPr="00722C73" w14:paraId="0DA8A748" w14:textId="77777777" w:rsidTr="00A3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6ADA6E45" w14:textId="2D9F7612" w:rsidR="00B56B45" w:rsidRPr="00722C73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1.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>Il existe un réseau de téléphonie mobile fiable et accessible dans la zone cible du projet</w:t>
            </w:r>
          </w:p>
        </w:tc>
        <w:tc>
          <w:tcPr>
            <w:tcW w:w="1414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58C52D7F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1F6F58A6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34C0A567" w14:textId="77777777" w:rsidTr="00A32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bottom w:val="single" w:sz="8" w:space="0" w:color="auto"/>
            </w:tcBorders>
            <w:shd w:val="clear" w:color="auto" w:fill="F3F3F3"/>
          </w:tcPr>
          <w:p w14:paraId="1A2639DE" w14:textId="7FB0410B" w:rsidR="00B56B45" w:rsidRPr="00722C73" w:rsidRDefault="00B56B45" w:rsidP="0023591C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2.</w:t>
            </w:r>
            <w:r w:rsidRPr="00722C73">
              <w:tab/>
            </w:r>
            <w:r w:rsidR="0023591C" w:rsidRPr="00722C73">
              <w:rPr>
                <w:b w:val="0"/>
                <w:color w:val="000000"/>
              </w:rPr>
              <w:t>La plate</w:t>
            </w:r>
            <w:r w:rsidRPr="00722C73">
              <w:rPr>
                <w:b w:val="0"/>
                <w:color w:val="000000"/>
              </w:rPr>
              <w:t xml:space="preserve">forme </w:t>
            </w:r>
            <w:r w:rsidR="0023591C" w:rsidRPr="00722C73">
              <w:rPr>
                <w:b w:val="0"/>
                <w:color w:val="000000"/>
              </w:rPr>
              <w:t>de paiements</w:t>
            </w:r>
            <w:r w:rsidRPr="00722C73">
              <w:rPr>
                <w:b w:val="0"/>
                <w:color w:val="000000"/>
              </w:rPr>
              <w:t xml:space="preserve"> de masse peut gérer le nombre de transferts nécessaires</w:t>
            </w:r>
          </w:p>
        </w:tc>
        <w:tc>
          <w:tcPr>
            <w:tcW w:w="1414" w:type="pct"/>
            <w:tcBorders>
              <w:bottom w:val="single" w:sz="8" w:space="0" w:color="auto"/>
            </w:tcBorders>
            <w:shd w:val="clear" w:color="auto" w:fill="F3F3F3"/>
          </w:tcPr>
          <w:p w14:paraId="4786C2C7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17EB30ED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78B0DD01" w14:textId="77777777" w:rsidTr="00A3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D9627D3" w14:textId="1362280B" w:rsidR="00B56B45" w:rsidRPr="00722C73" w:rsidRDefault="00B56B45" w:rsidP="002E7CA1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3.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 xml:space="preserve">Le </w:t>
            </w:r>
            <w:r w:rsidR="0023591C" w:rsidRPr="00722C73">
              <w:rPr>
                <w:b w:val="0"/>
                <w:color w:val="000000"/>
              </w:rPr>
              <w:t>prestataire</w:t>
            </w:r>
            <w:r w:rsidRPr="00722C73">
              <w:rPr>
                <w:b w:val="0"/>
                <w:color w:val="000000"/>
              </w:rPr>
              <w:t xml:space="preserve"> de services est en mesure de fournir </w:t>
            </w:r>
            <w:r w:rsidR="002E7CA1" w:rsidRPr="00722C73">
              <w:rPr>
                <w:b w:val="0"/>
                <w:color w:val="000000"/>
              </w:rPr>
              <w:t>un soutien technique à l’organisation humanitaire</w:t>
            </w:r>
          </w:p>
        </w:tc>
        <w:tc>
          <w:tcPr>
            <w:tcW w:w="1414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6482A776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035F4398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637391A0" w14:textId="77777777" w:rsidTr="00A32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bottom w:val="single" w:sz="8" w:space="0" w:color="auto"/>
            </w:tcBorders>
            <w:shd w:val="clear" w:color="auto" w:fill="F3F3F3"/>
          </w:tcPr>
          <w:p w14:paraId="341B77CF" w14:textId="468A34BD" w:rsidR="00B56B45" w:rsidRPr="00722C73" w:rsidRDefault="00B56B45" w:rsidP="002E7CA1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4.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 xml:space="preserve">Le </w:t>
            </w:r>
            <w:r w:rsidR="0023591C" w:rsidRPr="00722C73">
              <w:rPr>
                <w:b w:val="0"/>
                <w:color w:val="000000"/>
              </w:rPr>
              <w:t xml:space="preserve">prestataire </w:t>
            </w:r>
            <w:r w:rsidRPr="00722C73">
              <w:rPr>
                <w:b w:val="0"/>
                <w:color w:val="000000"/>
              </w:rPr>
              <w:t>de services est en mesure d</w:t>
            </w:r>
            <w:r w:rsidR="002E7CA1" w:rsidRPr="00722C73">
              <w:rPr>
                <w:b w:val="0"/>
                <w:color w:val="000000"/>
              </w:rPr>
              <w:t xml:space="preserve">e </w:t>
            </w:r>
            <w:r w:rsidRPr="00722C73">
              <w:rPr>
                <w:b w:val="0"/>
                <w:color w:val="000000"/>
              </w:rPr>
              <w:t>crypter les donn</w:t>
            </w:r>
            <w:r w:rsidR="002E7CA1" w:rsidRPr="00722C73">
              <w:rPr>
                <w:b w:val="0"/>
                <w:color w:val="000000"/>
              </w:rPr>
              <w:t xml:space="preserve">ées échangées </w:t>
            </w:r>
            <w:r w:rsidR="002E4143" w:rsidRPr="00722C73">
              <w:rPr>
                <w:b w:val="0"/>
                <w:color w:val="000000"/>
              </w:rPr>
              <w:t xml:space="preserve">entre </w:t>
            </w:r>
            <w:r w:rsidR="002E7CA1" w:rsidRPr="00722C73">
              <w:rPr>
                <w:b w:val="0"/>
                <w:color w:val="000000"/>
              </w:rPr>
              <w:t xml:space="preserve">l’organisation humanitaire </w:t>
            </w:r>
            <w:r w:rsidR="002E4143" w:rsidRPr="00722C73">
              <w:rPr>
                <w:b w:val="0"/>
                <w:color w:val="000000"/>
              </w:rPr>
              <w:t xml:space="preserve">et la </w:t>
            </w:r>
            <w:r w:rsidRPr="00722C73">
              <w:rPr>
                <w:b w:val="0"/>
                <w:color w:val="000000"/>
              </w:rPr>
              <w:t>société de téléphonie mobile</w:t>
            </w:r>
          </w:p>
        </w:tc>
        <w:tc>
          <w:tcPr>
            <w:tcW w:w="1414" w:type="pct"/>
            <w:tcBorders>
              <w:bottom w:val="single" w:sz="8" w:space="0" w:color="auto"/>
            </w:tcBorders>
            <w:shd w:val="clear" w:color="auto" w:fill="F3F3F3"/>
          </w:tcPr>
          <w:p w14:paraId="1CD01133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75309290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583B7133" w14:textId="77777777" w:rsidTr="00A3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63A695F1" w14:textId="77F6C610" w:rsidR="00B56B45" w:rsidRPr="00722C73" w:rsidRDefault="00B56B45" w:rsidP="002E7CA1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5.</w:t>
            </w:r>
            <w:r w:rsidRPr="00722C73">
              <w:tab/>
            </w:r>
            <w:r w:rsidR="002E7CA1" w:rsidRPr="00722C73">
              <w:rPr>
                <w:b w:val="0"/>
                <w:color w:val="000000"/>
              </w:rPr>
              <w:t>Le réseau d’agents d</w:t>
            </w:r>
            <w:r w:rsidRPr="00722C73">
              <w:rPr>
                <w:b w:val="0"/>
                <w:color w:val="000000"/>
              </w:rPr>
              <w:t>e distribution</w:t>
            </w:r>
            <w:r w:rsidR="002E7CA1" w:rsidRPr="00722C73">
              <w:rPr>
                <w:b w:val="0"/>
                <w:color w:val="000000"/>
              </w:rPr>
              <w:t xml:space="preserve"> qui collabore avec </w:t>
            </w:r>
            <w:r w:rsidRPr="00722C73">
              <w:rPr>
                <w:b w:val="0"/>
                <w:color w:val="000000"/>
              </w:rPr>
              <w:t xml:space="preserve">le prestataire de services dispose de liquidités suffisantes pour faire face aux </w:t>
            </w:r>
            <w:r w:rsidR="002E7CA1" w:rsidRPr="00722C73">
              <w:rPr>
                <w:b w:val="0"/>
                <w:color w:val="000000"/>
              </w:rPr>
              <w:t>demandes</w:t>
            </w:r>
            <w:r w:rsidRPr="00722C73">
              <w:rPr>
                <w:b w:val="0"/>
                <w:color w:val="000000"/>
              </w:rPr>
              <w:t xml:space="preserve"> des bénéficiaires</w:t>
            </w:r>
          </w:p>
        </w:tc>
        <w:tc>
          <w:tcPr>
            <w:tcW w:w="1414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08D33132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2912FB32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0C0FDCF5" w14:textId="77777777" w:rsidTr="00A32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bottom w:val="single" w:sz="8" w:space="0" w:color="auto"/>
            </w:tcBorders>
            <w:shd w:val="clear" w:color="auto" w:fill="F3F3F3"/>
          </w:tcPr>
          <w:p w14:paraId="7B7288AA" w14:textId="25903219" w:rsidR="00B56B45" w:rsidRPr="00722C73" w:rsidRDefault="00B56B45" w:rsidP="002E7CA1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6.</w:t>
            </w:r>
            <w:r w:rsidRPr="00722C73">
              <w:tab/>
            </w:r>
            <w:r w:rsidR="002E7CA1" w:rsidRPr="00722C73">
              <w:rPr>
                <w:b w:val="0"/>
                <w:color w:val="000000"/>
              </w:rPr>
              <w:t>Le réseau d’agents de distribution est assez proche</w:t>
            </w:r>
            <w:r w:rsidRPr="00722C73">
              <w:rPr>
                <w:b w:val="0"/>
                <w:color w:val="000000"/>
              </w:rPr>
              <w:t xml:space="preserve"> des</w:t>
            </w:r>
            <w:r w:rsidR="002E4143" w:rsidRPr="00722C73">
              <w:rPr>
                <w:b w:val="0"/>
                <w:color w:val="000000"/>
              </w:rPr>
              <w:t xml:space="preserve"> bénéficiaires pour permettre une</w:t>
            </w:r>
            <w:r w:rsidRPr="00722C73">
              <w:rPr>
                <w:b w:val="0"/>
                <w:color w:val="000000"/>
              </w:rPr>
              <w:t xml:space="preserve"> distribution </w:t>
            </w:r>
            <w:r w:rsidR="002E7CA1" w:rsidRPr="00722C73">
              <w:rPr>
                <w:b w:val="0"/>
                <w:color w:val="000000"/>
              </w:rPr>
              <w:t>sans coût significatif</w:t>
            </w:r>
            <w:r w:rsidRPr="00722C73">
              <w:rPr>
                <w:b w:val="0"/>
                <w:color w:val="000000"/>
              </w:rPr>
              <w:t xml:space="preserve"> pour </w:t>
            </w:r>
            <w:r w:rsidR="002E7CA1" w:rsidRPr="00722C73">
              <w:rPr>
                <w:b w:val="0"/>
                <w:color w:val="000000"/>
              </w:rPr>
              <w:t>ces personnes</w:t>
            </w:r>
          </w:p>
        </w:tc>
        <w:tc>
          <w:tcPr>
            <w:tcW w:w="1414" w:type="pct"/>
            <w:tcBorders>
              <w:bottom w:val="single" w:sz="8" w:space="0" w:color="auto"/>
            </w:tcBorders>
            <w:shd w:val="clear" w:color="auto" w:fill="F3F3F3"/>
          </w:tcPr>
          <w:p w14:paraId="73F1EB79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22E37BC4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1990AA12" w14:textId="77777777" w:rsidTr="00A3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79C52CF" w14:textId="04DFAB18" w:rsidR="00B56B45" w:rsidRPr="00722C73" w:rsidRDefault="00B56B45" w:rsidP="002E7CA1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7.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>Les commission</w:t>
            </w:r>
            <w:r w:rsidR="002E7CA1" w:rsidRPr="00722C73">
              <w:rPr>
                <w:b w:val="0"/>
                <w:color w:val="000000"/>
              </w:rPr>
              <w:t>s /frais de s</w:t>
            </w:r>
            <w:r w:rsidRPr="00722C73">
              <w:rPr>
                <w:b w:val="0"/>
                <w:color w:val="000000"/>
              </w:rPr>
              <w:t>ervice</w:t>
            </w:r>
            <w:r w:rsidR="002E7CA1" w:rsidRPr="00722C73">
              <w:rPr>
                <w:b w:val="0"/>
                <w:color w:val="000000"/>
              </w:rPr>
              <w:t xml:space="preserve"> facturés pour la </w:t>
            </w:r>
            <w:r w:rsidRPr="00722C73">
              <w:rPr>
                <w:b w:val="0"/>
                <w:color w:val="000000"/>
              </w:rPr>
              <w:t xml:space="preserve">fourniture du service de transfert </w:t>
            </w:r>
            <w:r w:rsidR="002E7CA1" w:rsidRPr="00722C73">
              <w:rPr>
                <w:b w:val="0"/>
                <w:color w:val="000000"/>
              </w:rPr>
              <w:t>sont</w:t>
            </w:r>
            <w:r w:rsidRPr="00722C73">
              <w:rPr>
                <w:b w:val="0"/>
                <w:color w:val="000000"/>
              </w:rPr>
              <w:t xml:space="preserve"> acceptable</w:t>
            </w:r>
            <w:r w:rsidR="002E7CA1" w:rsidRPr="00722C73">
              <w:rPr>
                <w:b w:val="0"/>
                <w:color w:val="000000"/>
              </w:rPr>
              <w:t>s</w:t>
            </w:r>
          </w:p>
        </w:tc>
        <w:tc>
          <w:tcPr>
            <w:tcW w:w="1414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2321A4B2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5CB7FDCE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5AF32143" w14:textId="77777777" w:rsidTr="00A32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bottom w:val="single" w:sz="8" w:space="0" w:color="auto"/>
            </w:tcBorders>
            <w:shd w:val="clear" w:color="auto" w:fill="F3F3F3"/>
          </w:tcPr>
          <w:p w14:paraId="5DD92D09" w14:textId="3A75C090" w:rsidR="00B56B45" w:rsidRPr="00722C73" w:rsidRDefault="00B56B45" w:rsidP="002E7CA1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8.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 xml:space="preserve">Les frais </w:t>
            </w:r>
            <w:r w:rsidR="002E7CA1" w:rsidRPr="00722C73">
              <w:rPr>
                <w:b w:val="0"/>
                <w:color w:val="000000"/>
              </w:rPr>
              <w:t>facturés</w:t>
            </w:r>
            <w:r w:rsidRPr="00722C73">
              <w:rPr>
                <w:b w:val="0"/>
                <w:color w:val="000000"/>
              </w:rPr>
              <w:t xml:space="preserve"> aux bénéficiaires pour </w:t>
            </w:r>
            <w:r w:rsidR="002E7CA1" w:rsidRPr="00722C73">
              <w:rPr>
                <w:b w:val="0"/>
                <w:color w:val="000000"/>
              </w:rPr>
              <w:t>obtenir</w:t>
            </w:r>
            <w:r w:rsidRPr="00722C73">
              <w:rPr>
                <w:b w:val="0"/>
                <w:color w:val="000000"/>
              </w:rPr>
              <w:t xml:space="preserve"> leur argent </w:t>
            </w:r>
            <w:r w:rsidR="002E7CA1" w:rsidRPr="00722C73">
              <w:rPr>
                <w:b w:val="0"/>
                <w:color w:val="000000"/>
              </w:rPr>
              <w:t>auprès</w:t>
            </w:r>
            <w:r w:rsidRPr="00722C73">
              <w:rPr>
                <w:b w:val="0"/>
                <w:color w:val="000000"/>
              </w:rPr>
              <w:t xml:space="preserve"> des agents </w:t>
            </w:r>
            <w:r w:rsidR="002E7CA1" w:rsidRPr="00722C73">
              <w:rPr>
                <w:b w:val="0"/>
                <w:color w:val="000000"/>
              </w:rPr>
              <w:t>sont</w:t>
            </w:r>
            <w:r w:rsidRPr="00722C73">
              <w:rPr>
                <w:b w:val="0"/>
                <w:color w:val="000000"/>
              </w:rPr>
              <w:t xml:space="preserve"> acceptable</w:t>
            </w:r>
            <w:r w:rsidR="002E7CA1" w:rsidRPr="00722C73">
              <w:rPr>
                <w:b w:val="0"/>
                <w:color w:val="000000"/>
              </w:rPr>
              <w:t>s</w:t>
            </w:r>
          </w:p>
        </w:tc>
        <w:tc>
          <w:tcPr>
            <w:tcW w:w="1414" w:type="pct"/>
            <w:tcBorders>
              <w:bottom w:val="single" w:sz="8" w:space="0" w:color="auto"/>
            </w:tcBorders>
            <w:shd w:val="clear" w:color="auto" w:fill="F3F3F3"/>
          </w:tcPr>
          <w:p w14:paraId="6FA18A75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2349A2B1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5B33F395" w14:textId="77777777" w:rsidTr="00A3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3C4FF3B0" w14:textId="10B6C5B0" w:rsidR="00B56B45" w:rsidRPr="00722C73" w:rsidRDefault="00B56B45" w:rsidP="002E7CA1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9.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 xml:space="preserve">Les bénéficiaires ont accès à des téléphones mobiles/cartes ou </w:t>
            </w:r>
            <w:r w:rsidR="002E7CA1" w:rsidRPr="00722C73">
              <w:rPr>
                <w:b w:val="0"/>
                <w:color w:val="000000"/>
              </w:rPr>
              <w:t>ce matériel peut leur être fourni</w:t>
            </w:r>
            <w:r w:rsidRPr="00722C73">
              <w:rPr>
                <w:b w:val="0"/>
                <w:color w:val="000000"/>
              </w:rPr>
              <w:t xml:space="preserve"> rapidement</w:t>
            </w:r>
          </w:p>
        </w:tc>
        <w:tc>
          <w:tcPr>
            <w:tcW w:w="1414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62447370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770D7AFB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576CC034" w14:textId="77777777" w:rsidTr="00A32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bottom w:val="single" w:sz="8" w:space="0" w:color="auto"/>
            </w:tcBorders>
            <w:shd w:val="clear" w:color="auto" w:fill="F3F3F3"/>
          </w:tcPr>
          <w:p w14:paraId="73147377" w14:textId="1C4500E8" w:rsidR="00B56B45" w:rsidRPr="00722C73" w:rsidRDefault="00B56B45" w:rsidP="00A32D24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10.</w:t>
            </w:r>
            <w:r w:rsidRPr="00722C73">
              <w:tab/>
            </w:r>
            <w:r w:rsidR="002E4143" w:rsidRPr="00722C73">
              <w:rPr>
                <w:b w:val="0"/>
                <w:color w:val="000000"/>
              </w:rPr>
              <w:t xml:space="preserve">Les bénéficiaires </w:t>
            </w:r>
            <w:r w:rsidR="002E7CA1" w:rsidRPr="00722C73">
              <w:rPr>
                <w:b w:val="0"/>
                <w:color w:val="000000"/>
              </w:rPr>
              <w:t xml:space="preserve">disposent de connaissances suffisantes pour utiliser le système </w:t>
            </w:r>
            <w:r w:rsidRPr="00722C73">
              <w:rPr>
                <w:b w:val="0"/>
                <w:color w:val="000000"/>
              </w:rPr>
              <w:t xml:space="preserve">ou </w:t>
            </w:r>
            <w:r w:rsidR="002E7CA1" w:rsidRPr="00722C73">
              <w:rPr>
                <w:b w:val="0"/>
                <w:color w:val="000000"/>
              </w:rPr>
              <w:t xml:space="preserve">un soutien peut leur </w:t>
            </w:r>
            <w:r w:rsidRPr="00722C73">
              <w:rPr>
                <w:b w:val="0"/>
                <w:color w:val="000000"/>
              </w:rPr>
              <w:t>être</w:t>
            </w:r>
            <w:r w:rsidR="002E7CA1" w:rsidRPr="00722C73">
              <w:rPr>
                <w:b w:val="0"/>
                <w:color w:val="000000"/>
              </w:rPr>
              <w:t xml:space="preserve"> apporté </w:t>
            </w:r>
            <w:r w:rsidR="00A32D24" w:rsidRPr="00722C73">
              <w:rPr>
                <w:b w:val="0"/>
                <w:color w:val="000000"/>
              </w:rPr>
              <w:t xml:space="preserve">afin qu’ils puissent le faire rapidement </w:t>
            </w:r>
          </w:p>
        </w:tc>
        <w:tc>
          <w:tcPr>
            <w:tcW w:w="1414" w:type="pct"/>
            <w:tcBorders>
              <w:bottom w:val="single" w:sz="8" w:space="0" w:color="auto"/>
            </w:tcBorders>
            <w:shd w:val="clear" w:color="auto" w:fill="F3F3F3"/>
          </w:tcPr>
          <w:p w14:paraId="729EA259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4AC735EE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08EA3F7A" w14:textId="77777777" w:rsidTr="00A3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02167571" w14:textId="742774BF" w:rsidR="00B56B45" w:rsidRPr="00722C73" w:rsidRDefault="00B56B45" w:rsidP="00A32D24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11.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>Les bénéficiaires disposent de</w:t>
            </w:r>
            <w:r w:rsidR="002E4143" w:rsidRPr="00722C73">
              <w:rPr>
                <w:b w:val="0"/>
                <w:color w:val="000000"/>
              </w:rPr>
              <w:t>s pièces d</w:t>
            </w:r>
            <w:r w:rsidR="00B22461" w:rsidRPr="00722C73">
              <w:rPr>
                <w:b w:val="0"/>
                <w:color w:val="000000"/>
              </w:rPr>
              <w:t>’</w:t>
            </w:r>
            <w:r w:rsidR="002E4143" w:rsidRPr="00722C73">
              <w:rPr>
                <w:b w:val="0"/>
                <w:color w:val="000000"/>
              </w:rPr>
              <w:t>identité</w:t>
            </w:r>
            <w:r w:rsidRPr="00722C73">
              <w:rPr>
                <w:b w:val="0"/>
                <w:color w:val="000000"/>
              </w:rPr>
              <w:t xml:space="preserve"> nécessaire</w:t>
            </w:r>
            <w:r w:rsidR="002E4143" w:rsidRPr="00722C73">
              <w:rPr>
                <w:b w:val="0"/>
                <w:color w:val="000000"/>
              </w:rPr>
              <w:t>s</w:t>
            </w:r>
            <w:r w:rsidRPr="00722C73">
              <w:rPr>
                <w:b w:val="0"/>
                <w:color w:val="000000"/>
              </w:rPr>
              <w:t xml:space="preserve"> pour s</w:t>
            </w:r>
            <w:r w:rsidR="00B22461" w:rsidRPr="00722C73">
              <w:rPr>
                <w:b w:val="0"/>
                <w:color w:val="000000"/>
              </w:rPr>
              <w:t>’</w:t>
            </w:r>
            <w:r w:rsidR="00A32D24" w:rsidRPr="00722C73">
              <w:rPr>
                <w:b w:val="0"/>
                <w:color w:val="000000"/>
              </w:rPr>
              <w:t>enregistrer à ce</w:t>
            </w:r>
            <w:r w:rsidRPr="00722C73">
              <w:rPr>
                <w:b w:val="0"/>
                <w:color w:val="000000"/>
              </w:rPr>
              <w:t xml:space="preserve"> service</w:t>
            </w:r>
          </w:p>
        </w:tc>
        <w:tc>
          <w:tcPr>
            <w:tcW w:w="1414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32A42EC4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5FA2F051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14E60DF5" w14:textId="77777777" w:rsidTr="00A32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bottom w:val="single" w:sz="8" w:space="0" w:color="auto"/>
            </w:tcBorders>
            <w:shd w:val="clear" w:color="auto" w:fill="F3F3F3"/>
          </w:tcPr>
          <w:p w14:paraId="1D91DBF4" w14:textId="44FAF0FC" w:rsidR="00B56B45" w:rsidRPr="00722C73" w:rsidRDefault="00B56B45" w:rsidP="009E5728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12.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 xml:space="preserve">Les bénéficiaires </w:t>
            </w:r>
            <w:r w:rsidR="00A32D24" w:rsidRPr="00722C73">
              <w:rPr>
                <w:b w:val="0"/>
                <w:color w:val="000000"/>
              </w:rPr>
              <w:t>qui utilisent</w:t>
            </w:r>
            <w:r w:rsidRPr="00722C73">
              <w:rPr>
                <w:b w:val="0"/>
                <w:color w:val="000000"/>
              </w:rPr>
              <w:t xml:space="preserve"> l</w:t>
            </w:r>
            <w:r w:rsidR="00B22461" w:rsidRPr="00722C73">
              <w:rPr>
                <w:b w:val="0"/>
                <w:color w:val="000000"/>
              </w:rPr>
              <w:t>’</w:t>
            </w:r>
            <w:r w:rsidRPr="00722C73">
              <w:rPr>
                <w:b w:val="0"/>
                <w:color w:val="000000"/>
              </w:rPr>
              <w:t xml:space="preserve">argent mobile </w:t>
            </w:r>
            <w:r w:rsidR="008E3313" w:rsidRPr="00722C73">
              <w:rPr>
                <w:b w:val="0"/>
                <w:color w:val="000000"/>
              </w:rPr>
              <w:t xml:space="preserve">disposent </w:t>
            </w:r>
            <w:r w:rsidRPr="00722C73">
              <w:rPr>
                <w:b w:val="0"/>
                <w:color w:val="000000"/>
              </w:rPr>
              <w:t>d</w:t>
            </w:r>
            <w:r w:rsidR="00B22461" w:rsidRPr="00722C73">
              <w:rPr>
                <w:b w:val="0"/>
                <w:color w:val="000000"/>
              </w:rPr>
              <w:t>’</w:t>
            </w:r>
            <w:r w:rsidR="00A32D24" w:rsidRPr="00722C73">
              <w:rPr>
                <w:b w:val="0"/>
                <w:color w:val="000000"/>
              </w:rPr>
              <w:t xml:space="preserve">un accès </w:t>
            </w:r>
            <w:r w:rsidRPr="00722C73">
              <w:rPr>
                <w:b w:val="0"/>
                <w:color w:val="000000"/>
              </w:rPr>
              <w:t>à une source d</w:t>
            </w:r>
            <w:r w:rsidR="00B22461" w:rsidRPr="00722C73">
              <w:rPr>
                <w:b w:val="0"/>
                <w:color w:val="000000"/>
              </w:rPr>
              <w:t>’</w:t>
            </w:r>
            <w:r w:rsidR="00A32D24" w:rsidRPr="00722C73">
              <w:rPr>
                <w:b w:val="0"/>
                <w:color w:val="000000"/>
              </w:rPr>
              <w:t>alimentation</w:t>
            </w:r>
            <w:r w:rsidRPr="00722C73">
              <w:rPr>
                <w:b w:val="0"/>
                <w:color w:val="000000"/>
              </w:rPr>
              <w:t xml:space="preserve"> </w:t>
            </w:r>
            <w:r w:rsidR="009E5728" w:rsidRPr="00722C73">
              <w:rPr>
                <w:b w:val="0"/>
                <w:color w:val="000000"/>
              </w:rPr>
              <w:t>d’une bonne efficacité par rapport aux coûts</w:t>
            </w:r>
            <w:r w:rsidR="009E5728">
              <w:rPr>
                <w:b w:val="0"/>
                <w:color w:val="000000"/>
              </w:rPr>
              <w:t>,</w:t>
            </w:r>
            <w:bookmarkStart w:id="0" w:name="_GoBack"/>
            <w:bookmarkEnd w:id="0"/>
            <w:r w:rsidR="009E5728" w:rsidRPr="00722C73">
              <w:rPr>
                <w:b w:val="0"/>
                <w:color w:val="000000"/>
              </w:rPr>
              <w:t xml:space="preserve"> </w:t>
            </w:r>
            <w:r w:rsidRPr="00722C73">
              <w:rPr>
                <w:b w:val="0"/>
                <w:color w:val="000000"/>
              </w:rPr>
              <w:t xml:space="preserve">pour </w:t>
            </w:r>
            <w:r w:rsidR="00A32D24" w:rsidRPr="00722C73">
              <w:rPr>
                <w:b w:val="0"/>
                <w:color w:val="000000"/>
              </w:rPr>
              <w:t xml:space="preserve">recharger leurs </w:t>
            </w:r>
            <w:r w:rsidRPr="00722C73">
              <w:rPr>
                <w:b w:val="0"/>
                <w:color w:val="000000"/>
              </w:rPr>
              <w:t xml:space="preserve">téléphones </w:t>
            </w:r>
            <w:r w:rsidR="00A32D24" w:rsidRPr="00722C73">
              <w:rPr>
                <w:b w:val="0"/>
                <w:color w:val="000000"/>
              </w:rPr>
              <w:t>ou un tel accès peut leur être fourni</w:t>
            </w:r>
          </w:p>
        </w:tc>
        <w:tc>
          <w:tcPr>
            <w:tcW w:w="1414" w:type="pct"/>
            <w:tcBorders>
              <w:bottom w:val="single" w:sz="8" w:space="0" w:color="auto"/>
            </w:tcBorders>
            <w:shd w:val="clear" w:color="auto" w:fill="F3F3F3"/>
          </w:tcPr>
          <w:p w14:paraId="7FAFCEB1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16995F34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3EF5946F" w14:textId="77777777" w:rsidTr="00A3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8B22F18" w14:textId="22C9FB1E" w:rsidR="00B56B45" w:rsidRPr="00722C73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13.</w:t>
            </w:r>
            <w:r w:rsidRPr="00722C73">
              <w:tab/>
            </w:r>
            <w:r w:rsidRPr="00722C73">
              <w:rPr>
                <w:b w:val="0"/>
                <w:color w:val="000000"/>
              </w:rPr>
              <w:t>Une politique de protection des données est en place et régit la gestion des données des bénéficiaires</w:t>
            </w:r>
          </w:p>
        </w:tc>
        <w:tc>
          <w:tcPr>
            <w:tcW w:w="1414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46C5834F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224B5481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7C809E85" w14:textId="77777777" w:rsidTr="00A32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bottom w:val="single" w:sz="8" w:space="0" w:color="auto"/>
            </w:tcBorders>
            <w:shd w:val="clear" w:color="auto" w:fill="F3F3F3"/>
          </w:tcPr>
          <w:p w14:paraId="6E4C294F" w14:textId="3FC021C5" w:rsidR="00B56B45" w:rsidRPr="00722C73" w:rsidRDefault="00B56B45" w:rsidP="00A32D24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14.</w:t>
            </w:r>
            <w:r w:rsidRPr="00722C73">
              <w:tab/>
            </w:r>
            <w:r w:rsidR="00A32D24" w:rsidRPr="00722C73">
              <w:rPr>
                <w:b w:val="0"/>
                <w:color w:val="000000"/>
              </w:rPr>
              <w:t>Le respect des</w:t>
            </w:r>
            <w:r w:rsidRPr="00722C73">
              <w:rPr>
                <w:b w:val="0"/>
                <w:color w:val="000000"/>
              </w:rPr>
              <w:t xml:space="preserve"> mesures antiterroristes convenues </w:t>
            </w:r>
            <w:r w:rsidR="00A32D24" w:rsidRPr="00722C73">
              <w:rPr>
                <w:b w:val="0"/>
                <w:color w:val="000000"/>
              </w:rPr>
              <w:t>à l’échelle internationale (liste des personnes soumises à des restrictions</w:t>
            </w:r>
            <w:r w:rsidRPr="00722C73">
              <w:rPr>
                <w:b w:val="0"/>
                <w:color w:val="000000"/>
              </w:rPr>
              <w:t>) est garanti</w:t>
            </w:r>
          </w:p>
        </w:tc>
        <w:tc>
          <w:tcPr>
            <w:tcW w:w="1414" w:type="pct"/>
            <w:tcBorders>
              <w:bottom w:val="single" w:sz="8" w:space="0" w:color="auto"/>
            </w:tcBorders>
            <w:shd w:val="clear" w:color="auto" w:fill="F3F3F3"/>
          </w:tcPr>
          <w:p w14:paraId="7AD9A45F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0A83C747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722C73" w14:paraId="1E5B5B87" w14:textId="77777777" w:rsidTr="00A3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/>
          </w:tcPr>
          <w:p w14:paraId="6D4E4934" w14:textId="6BE3A96B" w:rsidR="00B56B45" w:rsidRPr="00722C73" w:rsidRDefault="00B56B45" w:rsidP="00A32D24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722C73">
              <w:rPr>
                <w:b w:val="0"/>
                <w:color w:val="000000"/>
              </w:rPr>
              <w:t>15.</w:t>
            </w:r>
            <w:r w:rsidRPr="00722C73">
              <w:tab/>
            </w:r>
            <w:r w:rsidR="00A32D24" w:rsidRPr="00722C73">
              <w:rPr>
                <w:b w:val="0"/>
                <w:color w:val="000000"/>
              </w:rPr>
              <w:t>L’organisation humanitaire</w:t>
            </w:r>
            <w:r w:rsidR="00A32D24" w:rsidRPr="00722C73">
              <w:rPr>
                <w:color w:val="000000"/>
              </w:rPr>
              <w:t xml:space="preserve"> </w:t>
            </w:r>
            <w:r w:rsidR="00470399" w:rsidRPr="00722C73">
              <w:rPr>
                <w:b w:val="0"/>
                <w:color w:val="000000"/>
              </w:rPr>
              <w:t xml:space="preserve">est protégée </w:t>
            </w:r>
            <w:r w:rsidR="00A32D24" w:rsidRPr="00722C73">
              <w:rPr>
                <w:b w:val="0"/>
                <w:color w:val="000000"/>
              </w:rPr>
              <w:t>dans l’éventualité</w:t>
            </w:r>
            <w:r w:rsidRPr="00722C73">
              <w:rPr>
                <w:b w:val="0"/>
                <w:color w:val="000000"/>
              </w:rPr>
              <w:t xml:space="preserve"> où le </w:t>
            </w:r>
            <w:r w:rsidR="00A32D24" w:rsidRPr="00722C73">
              <w:rPr>
                <w:b w:val="0"/>
                <w:color w:val="000000"/>
              </w:rPr>
              <w:t>prestataire</w:t>
            </w:r>
            <w:r w:rsidR="00FD137C" w:rsidRPr="00722C73">
              <w:rPr>
                <w:b w:val="0"/>
                <w:color w:val="000000"/>
              </w:rPr>
              <w:t xml:space="preserve"> deviendrait insolvable, tels</w:t>
            </w:r>
            <w:r w:rsidRPr="00722C73">
              <w:rPr>
                <w:b w:val="0"/>
                <w:color w:val="000000"/>
              </w:rPr>
              <w:t xml:space="preserve"> que l</w:t>
            </w:r>
            <w:r w:rsidR="00A32D24" w:rsidRPr="00722C73">
              <w:rPr>
                <w:b w:val="0"/>
                <w:color w:val="000000"/>
              </w:rPr>
              <w:t xml:space="preserve">e cantonnement </w:t>
            </w:r>
            <w:r w:rsidRPr="00722C73">
              <w:rPr>
                <w:b w:val="0"/>
                <w:color w:val="000000"/>
              </w:rPr>
              <w:t>des fonds transférés.</w:t>
            </w:r>
          </w:p>
        </w:tc>
        <w:tc>
          <w:tcPr>
            <w:tcW w:w="14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</w:tcPr>
          <w:p w14:paraId="6F5B3784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14:paraId="196DA4E3" w14:textId="77777777" w:rsidR="00B56B45" w:rsidRPr="00722C73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0999235C" w14:textId="1168F2A3" w:rsidR="004764DA" w:rsidRPr="00722C73" w:rsidRDefault="004764DA" w:rsidP="000C702D">
      <w:pPr>
        <w:spacing w:before="120" w:after="0"/>
        <w:jc w:val="right"/>
        <w:rPr>
          <w:rFonts w:cs="Arial"/>
          <w:i/>
          <w:sz w:val="18"/>
          <w:szCs w:val="18"/>
        </w:rPr>
      </w:pPr>
      <w:r w:rsidRPr="00722C73">
        <w:rPr>
          <w:i/>
          <w:sz w:val="18"/>
        </w:rPr>
        <w:t xml:space="preserve">Source : </w:t>
      </w:r>
      <w:r w:rsidR="0098223C" w:rsidRPr="00722C73">
        <w:rPr>
          <w:i/>
          <w:sz w:val="18"/>
        </w:rPr>
        <w:t xml:space="preserve">CaLP, </w:t>
      </w:r>
      <w:r w:rsidRPr="00722C73">
        <w:rPr>
          <w:color w:val="000000"/>
          <w:sz w:val="18"/>
        </w:rPr>
        <w:t xml:space="preserve">Directives pour la mise en </w:t>
      </w:r>
      <w:r w:rsidR="00BF5516" w:rsidRPr="00722C73">
        <w:rPr>
          <w:color w:val="000000"/>
          <w:sz w:val="18"/>
        </w:rPr>
        <w:t>œuvre</w:t>
      </w:r>
      <w:r w:rsidRPr="00722C73">
        <w:rPr>
          <w:color w:val="000000"/>
          <w:sz w:val="18"/>
        </w:rPr>
        <w:t xml:space="preserve"> de transferts électroniques en situation d</w:t>
      </w:r>
      <w:r w:rsidR="00B22461" w:rsidRPr="00722C73">
        <w:rPr>
          <w:color w:val="000000"/>
          <w:sz w:val="18"/>
        </w:rPr>
        <w:t>’</w:t>
      </w:r>
      <w:r w:rsidRPr="00722C73">
        <w:rPr>
          <w:color w:val="000000"/>
          <w:sz w:val="18"/>
        </w:rPr>
        <w:t>urgence</w:t>
      </w:r>
      <w:r w:rsidR="0098223C" w:rsidRPr="00722C73">
        <w:rPr>
          <w:i/>
          <w:color w:val="000000"/>
          <w:sz w:val="18"/>
        </w:rPr>
        <w:t xml:space="preserve"> </w:t>
      </w:r>
      <w:r w:rsidRPr="00722C73">
        <w:rPr>
          <w:i/>
          <w:color w:val="000000"/>
          <w:sz w:val="18"/>
        </w:rPr>
        <w:t>(2013)</w:t>
      </w:r>
      <w:r w:rsidR="0098223C" w:rsidRPr="00722C73">
        <w:rPr>
          <w:i/>
          <w:color w:val="000000"/>
          <w:sz w:val="18"/>
        </w:rPr>
        <w:t>.</w:t>
      </w:r>
      <w:r w:rsidRPr="00722C73">
        <w:rPr>
          <w:i/>
          <w:color w:val="000000"/>
          <w:sz w:val="18"/>
        </w:rPr>
        <w:t xml:space="preserve"> </w:t>
      </w:r>
    </w:p>
    <w:sectPr w:rsidR="004764DA" w:rsidRPr="00722C73" w:rsidSect="00276899">
      <w:headerReference w:type="default" r:id="rId8"/>
      <w:footerReference w:type="even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0608" w14:textId="77777777" w:rsidR="00CE22FA" w:rsidRDefault="00CE22FA" w:rsidP="00E22934">
      <w:r>
        <w:separator/>
      </w:r>
    </w:p>
  </w:endnote>
  <w:endnote w:type="continuationSeparator" w:id="0">
    <w:p w14:paraId="6912737B" w14:textId="77777777" w:rsidR="00CE22FA" w:rsidRDefault="00CE22FA" w:rsidP="00E2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2B2D" w14:textId="77777777" w:rsidR="00E22934" w:rsidRDefault="00E22934" w:rsidP="00E22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60F8E" w14:textId="77777777" w:rsidR="00E22934" w:rsidRDefault="00E22934" w:rsidP="00E229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26CD" w14:textId="77777777" w:rsidR="000C702D" w:rsidRPr="00B45C74" w:rsidRDefault="000C702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E572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67D3B00" w14:textId="58B329EB" w:rsidR="000C702D" w:rsidRPr="00AA1C58" w:rsidRDefault="000C702D" w:rsidP="00BF5516">
    <w:pPr>
      <w:pStyle w:val="Footer"/>
    </w:pPr>
    <w:r>
      <w:rPr>
        <w:b/>
      </w:rPr>
      <w:t>Module 4.</w:t>
    </w:r>
    <w:r>
      <w:t xml:space="preserve"> Étape 3. </w:t>
    </w:r>
    <w:r w:rsidR="00BF5516">
      <w:t>É</w:t>
    </w:r>
    <w:r>
      <w:t>tape</w:t>
    </w:r>
    <w:r w:rsidR="00BF5516">
      <w:t xml:space="preserve"> subsidiaire</w:t>
    </w:r>
    <w:r>
      <w:t xml:space="preserve"> 1. </w:t>
    </w:r>
    <w:r w:rsidR="009E5728">
      <w:fldChar w:fldCharType="begin"/>
    </w:r>
    <w:r w:rsidR="009E5728">
      <w:instrText xml:space="preserve"> STYLEREF  H1 \t  \* MERGEFORMAT </w:instrText>
    </w:r>
    <w:r w:rsidR="009E5728">
      <w:fldChar w:fldCharType="separate"/>
    </w:r>
    <w:r w:rsidR="009E5728" w:rsidRPr="009E5728">
      <w:rPr>
        <w:bCs/>
        <w:noProof/>
      </w:rPr>
      <w:t>Liste de contrôle des exigences</w:t>
    </w:r>
    <w:r w:rsidR="009E5728">
      <w:rPr>
        <w:noProof/>
      </w:rPr>
      <w:t xml:space="preserve"> relatives aux transferts électroniques</w:t>
    </w:r>
    <w:r w:rsidR="009E57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96CB" w14:textId="77777777" w:rsidR="00CE22FA" w:rsidRDefault="00CE22FA" w:rsidP="00E22934">
      <w:r>
        <w:separator/>
      </w:r>
    </w:p>
  </w:footnote>
  <w:footnote w:type="continuationSeparator" w:id="0">
    <w:p w14:paraId="7837ABE7" w14:textId="77777777" w:rsidR="00CE22FA" w:rsidRDefault="00CE22FA" w:rsidP="00E2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D19C" w14:textId="27152203" w:rsidR="000C702D" w:rsidRPr="00074036" w:rsidRDefault="00BF5516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45"/>
    <w:rsid w:val="0006607D"/>
    <w:rsid w:val="0009665A"/>
    <w:rsid w:val="00097E71"/>
    <w:rsid w:val="000C702D"/>
    <w:rsid w:val="00147700"/>
    <w:rsid w:val="001B047A"/>
    <w:rsid w:val="001F4B12"/>
    <w:rsid w:val="00207C49"/>
    <w:rsid w:val="0023591C"/>
    <w:rsid w:val="00276899"/>
    <w:rsid w:val="002E4143"/>
    <w:rsid w:val="002E7CA1"/>
    <w:rsid w:val="00354DDF"/>
    <w:rsid w:val="003938F2"/>
    <w:rsid w:val="003E0496"/>
    <w:rsid w:val="004426CD"/>
    <w:rsid w:val="00470399"/>
    <w:rsid w:val="004764DA"/>
    <w:rsid w:val="00722C73"/>
    <w:rsid w:val="007E4EAF"/>
    <w:rsid w:val="007F51B4"/>
    <w:rsid w:val="008B2D15"/>
    <w:rsid w:val="008E3313"/>
    <w:rsid w:val="0098223C"/>
    <w:rsid w:val="009B13D0"/>
    <w:rsid w:val="009E5728"/>
    <w:rsid w:val="00A21F46"/>
    <w:rsid w:val="00A32D24"/>
    <w:rsid w:val="00AA1C58"/>
    <w:rsid w:val="00B22461"/>
    <w:rsid w:val="00B56B45"/>
    <w:rsid w:val="00BB79F0"/>
    <w:rsid w:val="00BF5516"/>
    <w:rsid w:val="00C62B57"/>
    <w:rsid w:val="00CE22FA"/>
    <w:rsid w:val="00D41061"/>
    <w:rsid w:val="00E22934"/>
    <w:rsid w:val="00FB26F1"/>
    <w:rsid w:val="00FD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A13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19</cp:revision>
  <cp:lastPrinted>2015-09-30T21:22:00Z</cp:lastPrinted>
  <dcterms:created xsi:type="dcterms:W3CDTF">2015-07-30T03:02:00Z</dcterms:created>
  <dcterms:modified xsi:type="dcterms:W3CDTF">2016-04-29T13:09:00Z</dcterms:modified>
</cp:coreProperties>
</file>