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723" w:rsidRPr="00DD134C" w:rsidRDefault="00F84975" w:rsidP="00D578D1">
      <w:pPr>
        <w:pStyle w:val="H1"/>
        <w:rPr>
          <w:rFonts w:cs="Arial"/>
          <w:lang w:val="fr-FR"/>
        </w:rPr>
      </w:pPr>
      <w:r w:rsidRPr="00DD134C">
        <w:rPr>
          <w:rFonts w:cs="Arial"/>
          <w:lang w:val="fr-FR"/>
        </w:rPr>
        <w:t>Critères de ciblage</w:t>
      </w:r>
    </w:p>
    <w:p w:rsidR="00C44DEA" w:rsidRPr="00DD134C" w:rsidRDefault="006C1EE8" w:rsidP="006C1EE8">
      <w:pPr>
        <w:rPr>
          <w:rFonts w:cs="Arial"/>
          <w:lang w:val="fr-FR"/>
        </w:rPr>
      </w:pPr>
      <w:r w:rsidRPr="00DD134C">
        <w:rPr>
          <w:rFonts w:cs="Arial"/>
          <w:lang w:val="fr-FR"/>
        </w:rPr>
        <w:t>Cet</w:t>
      </w:r>
      <w:r w:rsidR="00F84975" w:rsidRPr="00DD134C">
        <w:rPr>
          <w:rFonts w:cs="Arial"/>
          <w:lang w:val="fr-FR"/>
        </w:rPr>
        <w:t xml:space="preserve"> outil vous </w:t>
      </w:r>
      <w:r w:rsidRPr="00DD134C">
        <w:rPr>
          <w:rFonts w:cs="Arial"/>
          <w:lang w:val="fr-FR"/>
        </w:rPr>
        <w:t>donnera des informations sur</w:t>
      </w:r>
      <w:r w:rsidR="00F84975" w:rsidRPr="00DD134C">
        <w:rPr>
          <w:rFonts w:cs="Arial"/>
          <w:lang w:val="fr-FR"/>
        </w:rPr>
        <w:t xml:space="preserve"> les éléments </w:t>
      </w:r>
      <w:r w:rsidRPr="00DD134C">
        <w:rPr>
          <w:rFonts w:cs="Arial"/>
          <w:lang w:val="fr-FR"/>
        </w:rPr>
        <w:t>à prendre en compte</w:t>
      </w:r>
      <w:r w:rsidR="00F84975" w:rsidRPr="00DD134C">
        <w:rPr>
          <w:rFonts w:cs="Arial"/>
          <w:lang w:val="fr-FR"/>
        </w:rPr>
        <w:t xml:space="preserve"> pour définir des critères de ciblage appropriés en cohérence avec : </w:t>
      </w:r>
    </w:p>
    <w:p w:rsidR="00C44DEA" w:rsidRPr="00DD134C" w:rsidRDefault="00F84975" w:rsidP="004445E8">
      <w:pPr>
        <w:pStyle w:val="Bullet2"/>
        <w:rPr>
          <w:color w:val="000000"/>
          <w:lang w:val="fr-FR"/>
        </w:rPr>
      </w:pPr>
      <w:r w:rsidRPr="00DD134C">
        <w:rPr>
          <w:lang w:val="fr-FR"/>
        </w:rPr>
        <w:t>votre objectif ;</w:t>
      </w:r>
    </w:p>
    <w:p w:rsidR="00C44DEA" w:rsidRPr="00DD134C" w:rsidRDefault="00DD0631" w:rsidP="004445E8">
      <w:pPr>
        <w:pStyle w:val="Bullet2"/>
        <w:rPr>
          <w:color w:val="000000"/>
          <w:lang w:val="fr-FR"/>
        </w:rPr>
      </w:pPr>
      <w:r w:rsidRPr="00DD134C">
        <w:rPr>
          <w:lang w:val="fr-FR"/>
        </w:rPr>
        <w:t xml:space="preserve">la modalité et le mécanisme </w:t>
      </w:r>
      <w:r w:rsidR="00F84975" w:rsidRPr="00DD134C">
        <w:rPr>
          <w:lang w:val="fr-FR"/>
        </w:rPr>
        <w:t>de transfert</w:t>
      </w:r>
      <w:r w:rsidR="006C1EE8" w:rsidRPr="00DD134C">
        <w:rPr>
          <w:lang w:val="fr-FR"/>
        </w:rPr>
        <w:t>s</w:t>
      </w:r>
      <w:r w:rsidR="00F84975" w:rsidRPr="00DD134C">
        <w:rPr>
          <w:lang w:val="fr-FR"/>
        </w:rPr>
        <w:t xml:space="preserve"> choisis ;</w:t>
      </w:r>
    </w:p>
    <w:p w:rsidR="00C44DEA" w:rsidRPr="00DD134C" w:rsidRDefault="00DD0631" w:rsidP="004445E8">
      <w:pPr>
        <w:pStyle w:val="Bullet2"/>
        <w:rPr>
          <w:color w:val="000000"/>
          <w:lang w:val="fr-FR"/>
        </w:rPr>
      </w:pPr>
      <w:r w:rsidRPr="00DD134C">
        <w:rPr>
          <w:lang w:val="fr-FR"/>
        </w:rPr>
        <w:t>l’</w:t>
      </w:r>
      <w:r w:rsidR="00F84975" w:rsidRPr="00DD134C">
        <w:rPr>
          <w:lang w:val="fr-FR"/>
        </w:rPr>
        <w:t>approche</w:t>
      </w:r>
      <w:r w:rsidRPr="00DD134C">
        <w:rPr>
          <w:lang w:val="fr-FR"/>
        </w:rPr>
        <w:t xml:space="preserve"> choisie</w:t>
      </w:r>
      <w:r w:rsidR="00F84975" w:rsidRPr="00DD134C">
        <w:rPr>
          <w:lang w:val="fr-FR"/>
        </w:rPr>
        <w:t xml:space="preserve"> en matière de ciblage.</w:t>
      </w:r>
    </w:p>
    <w:p w:rsidR="00F84975" w:rsidRPr="00DD134C" w:rsidRDefault="00DD0631" w:rsidP="006C1EE8">
      <w:pPr>
        <w:spacing w:before="240"/>
        <w:rPr>
          <w:rFonts w:cs="Arial"/>
          <w:lang w:val="fr-FR"/>
        </w:rPr>
      </w:pPr>
      <w:r w:rsidRPr="00DD134C">
        <w:rPr>
          <w:rFonts w:cs="Arial"/>
          <w:lang w:val="fr-FR"/>
        </w:rPr>
        <w:t>Les</w:t>
      </w:r>
      <w:r w:rsidR="00F84975" w:rsidRPr="00DD134C">
        <w:rPr>
          <w:rFonts w:cs="Arial"/>
          <w:lang w:val="fr-FR"/>
        </w:rPr>
        <w:t xml:space="preserve"> critères de ciblage doivent</w:t>
      </w:r>
      <w:r w:rsidRPr="00DD134C">
        <w:rPr>
          <w:rFonts w:cs="Arial"/>
          <w:lang w:val="fr-FR"/>
        </w:rPr>
        <w:t xml:space="preserve"> </w:t>
      </w:r>
      <w:r w:rsidR="006C1EE8" w:rsidRPr="00DD134C">
        <w:rPr>
          <w:rFonts w:cs="Arial"/>
          <w:lang w:val="fr-FR"/>
        </w:rPr>
        <w:t>être réalistes et applicables</w:t>
      </w:r>
      <w:r w:rsidR="00F84975" w:rsidRPr="00DD134C">
        <w:rPr>
          <w:rFonts w:cs="Arial"/>
          <w:lang w:val="fr-FR"/>
        </w:rPr>
        <w:t xml:space="preserve">. </w:t>
      </w:r>
      <w:r w:rsidR="006C1EE8" w:rsidRPr="00DD134C">
        <w:rPr>
          <w:rFonts w:cs="Arial"/>
          <w:lang w:val="fr-FR"/>
        </w:rPr>
        <w:t>Dans ce contexte, ils doivent </w:t>
      </w:r>
      <w:r w:rsidR="00F84975" w:rsidRPr="00DD134C">
        <w:rPr>
          <w:rFonts w:cs="Arial"/>
          <w:lang w:val="fr-FR"/>
        </w:rPr>
        <w:t>:</w:t>
      </w:r>
    </w:p>
    <w:p w:rsidR="00C44DEA" w:rsidRPr="00DD134C" w:rsidRDefault="00F84975" w:rsidP="004445E8">
      <w:pPr>
        <w:pStyle w:val="Bullet2"/>
        <w:rPr>
          <w:color w:val="000000"/>
          <w:lang w:val="fr-FR"/>
        </w:rPr>
      </w:pPr>
      <w:r w:rsidRPr="00DD134C">
        <w:rPr>
          <w:lang w:val="fr-FR"/>
        </w:rPr>
        <w:t>être adaptés au contexte et à la population locale ;</w:t>
      </w:r>
    </w:p>
    <w:p w:rsidR="00F84975" w:rsidRPr="00DD134C" w:rsidRDefault="00F84975" w:rsidP="004445E8">
      <w:pPr>
        <w:pStyle w:val="Bullet2"/>
        <w:rPr>
          <w:color w:val="000000"/>
          <w:lang w:val="fr-FR"/>
        </w:rPr>
      </w:pPr>
      <w:r w:rsidRPr="00DD134C">
        <w:rPr>
          <w:color w:val="000000"/>
          <w:lang w:val="fr-FR"/>
        </w:rPr>
        <w:t>être clairs, simples et faciles à comprendre ;</w:t>
      </w:r>
    </w:p>
    <w:p w:rsidR="00C44DEA" w:rsidRPr="00DD134C" w:rsidRDefault="006C1EE8" w:rsidP="006C1EE8">
      <w:pPr>
        <w:pStyle w:val="Bullet2"/>
        <w:rPr>
          <w:color w:val="000000"/>
          <w:lang w:val="fr-FR"/>
        </w:rPr>
      </w:pPr>
      <w:r w:rsidRPr="00DD134C">
        <w:rPr>
          <w:lang w:val="fr-FR"/>
        </w:rPr>
        <w:t>être mesurables à l’aide</w:t>
      </w:r>
      <w:r w:rsidR="00F84975" w:rsidRPr="00DD134C">
        <w:rPr>
          <w:lang w:val="fr-FR"/>
        </w:rPr>
        <w:t xml:space="preserve"> des ressources disponibles.</w:t>
      </w:r>
    </w:p>
    <w:p w:rsidR="00F84975" w:rsidRPr="00DD134C" w:rsidRDefault="00F84975" w:rsidP="009238D1">
      <w:pPr>
        <w:spacing w:before="240"/>
        <w:rPr>
          <w:rFonts w:cs="Arial"/>
          <w:lang w:val="fr-FR"/>
        </w:rPr>
      </w:pPr>
      <w:r w:rsidRPr="00DD134C">
        <w:rPr>
          <w:rFonts w:cs="Arial"/>
          <w:lang w:val="fr-FR"/>
        </w:rPr>
        <w:t xml:space="preserve">Le ciblage des ménages et des individus </w:t>
      </w:r>
      <w:r w:rsidR="006C1EE8" w:rsidRPr="00DD134C">
        <w:rPr>
          <w:rFonts w:cs="Arial"/>
          <w:lang w:val="fr-FR"/>
        </w:rPr>
        <w:t>exige de définir des</w:t>
      </w:r>
      <w:r w:rsidRPr="00DD134C">
        <w:rPr>
          <w:rFonts w:cs="Arial"/>
          <w:lang w:val="fr-FR"/>
        </w:rPr>
        <w:t xml:space="preserve"> critères </w:t>
      </w:r>
      <w:r w:rsidR="006C1EE8" w:rsidRPr="00DD134C">
        <w:rPr>
          <w:rFonts w:cs="Arial"/>
          <w:lang w:val="fr-FR"/>
        </w:rPr>
        <w:t>qui vous permettront</w:t>
      </w:r>
      <w:r w:rsidRPr="00DD134C">
        <w:rPr>
          <w:rFonts w:cs="Arial"/>
          <w:lang w:val="fr-FR"/>
        </w:rPr>
        <w:t xml:space="preserve"> de </w:t>
      </w:r>
      <w:r w:rsidR="00FC5843" w:rsidRPr="00DD134C">
        <w:rPr>
          <w:rFonts w:cs="Arial"/>
          <w:lang w:val="fr-FR"/>
        </w:rPr>
        <w:t>répondre aux</w:t>
      </w:r>
      <w:r w:rsidRPr="00DD134C">
        <w:rPr>
          <w:rFonts w:cs="Arial"/>
          <w:lang w:val="fr-FR"/>
        </w:rPr>
        <w:t xml:space="preserve"> besoins particuliers d’un </w:t>
      </w:r>
      <w:r w:rsidR="00FC5843" w:rsidRPr="00DD134C">
        <w:rPr>
          <w:rFonts w:cs="Arial"/>
          <w:lang w:val="fr-FR"/>
        </w:rPr>
        <w:t>peti</w:t>
      </w:r>
      <w:r w:rsidR="006C1EE8" w:rsidRPr="00DD134C">
        <w:rPr>
          <w:rFonts w:cs="Arial"/>
          <w:lang w:val="fr-FR"/>
        </w:rPr>
        <w:t>t groupe cible, à l’inverse des</w:t>
      </w:r>
      <w:r w:rsidR="00FC5843" w:rsidRPr="00DD134C">
        <w:rPr>
          <w:rFonts w:cs="Arial"/>
          <w:lang w:val="fr-FR"/>
        </w:rPr>
        <w:t xml:space="preserve"> distribution</w:t>
      </w:r>
      <w:r w:rsidR="006C1EE8" w:rsidRPr="00DD134C">
        <w:rPr>
          <w:rFonts w:cs="Arial"/>
          <w:lang w:val="fr-FR"/>
        </w:rPr>
        <w:t xml:space="preserve">s générales </w:t>
      </w:r>
      <w:r w:rsidR="00DA0B04" w:rsidRPr="00DD134C">
        <w:rPr>
          <w:rFonts w:cs="Arial"/>
          <w:lang w:val="fr-FR"/>
        </w:rPr>
        <w:t>qui</w:t>
      </w:r>
      <w:r w:rsidR="006C1EE8" w:rsidRPr="00DD134C">
        <w:rPr>
          <w:rFonts w:cs="Arial"/>
          <w:lang w:val="fr-FR"/>
        </w:rPr>
        <w:t xml:space="preserve"> visent généralement à </w:t>
      </w:r>
      <w:r w:rsidR="00FC5843" w:rsidRPr="00DD134C">
        <w:rPr>
          <w:rFonts w:cs="Arial"/>
          <w:lang w:val="fr-FR"/>
        </w:rPr>
        <w:t xml:space="preserve">satisfaire </w:t>
      </w:r>
      <w:r w:rsidR="006C1EE8" w:rsidRPr="00DD134C">
        <w:rPr>
          <w:rFonts w:cs="Arial"/>
          <w:lang w:val="fr-FR"/>
        </w:rPr>
        <w:t>aux</w:t>
      </w:r>
      <w:r w:rsidR="00FC5843" w:rsidRPr="00DD134C">
        <w:rPr>
          <w:rFonts w:cs="Arial"/>
          <w:lang w:val="fr-FR"/>
        </w:rPr>
        <w:t xml:space="preserve"> besoins immédiats. </w:t>
      </w:r>
      <w:r w:rsidR="006C1EE8" w:rsidRPr="00DD134C">
        <w:rPr>
          <w:rFonts w:cs="Arial"/>
          <w:lang w:val="fr-FR"/>
        </w:rPr>
        <w:t>Ces</w:t>
      </w:r>
      <w:r w:rsidR="00FC5843" w:rsidRPr="00DD134C">
        <w:rPr>
          <w:rFonts w:cs="Arial"/>
          <w:lang w:val="fr-FR"/>
        </w:rPr>
        <w:t xml:space="preserve"> critères</w:t>
      </w:r>
      <w:r w:rsidR="009238D1" w:rsidRPr="00DD134C">
        <w:rPr>
          <w:rFonts w:cs="Arial"/>
          <w:lang w:val="fr-FR"/>
        </w:rPr>
        <w:t xml:space="preserve">, qui visent à </w:t>
      </w:r>
      <w:r w:rsidR="009238D1" w:rsidRPr="00DD134C">
        <w:rPr>
          <w:rFonts w:cs="Arial"/>
          <w:lang w:val="fr-FR"/>
        </w:rPr>
        <w:t>identifier les ménages ou les individus pouvant prétendre à une aide financière</w:t>
      </w:r>
      <w:r w:rsidR="009238D1" w:rsidRPr="00DD134C">
        <w:rPr>
          <w:rFonts w:cs="Arial"/>
          <w:lang w:val="fr-FR"/>
        </w:rPr>
        <w:t xml:space="preserve">, </w:t>
      </w:r>
      <w:r w:rsidR="006C1EE8" w:rsidRPr="00DD134C">
        <w:rPr>
          <w:rFonts w:cs="Arial"/>
          <w:lang w:val="fr-FR"/>
        </w:rPr>
        <w:t>doivent</w:t>
      </w:r>
      <w:r w:rsidR="00FC5843" w:rsidRPr="00DD134C">
        <w:rPr>
          <w:rFonts w:cs="Arial"/>
          <w:lang w:val="fr-FR"/>
        </w:rPr>
        <w:t xml:space="preserve"> idéalement </w:t>
      </w:r>
      <w:r w:rsidR="006C1EE8" w:rsidRPr="00DD134C">
        <w:rPr>
          <w:rFonts w:cs="Arial"/>
          <w:lang w:val="fr-FR"/>
        </w:rPr>
        <w:t xml:space="preserve">être </w:t>
      </w:r>
      <w:r w:rsidR="009238D1" w:rsidRPr="00DD134C">
        <w:rPr>
          <w:rFonts w:cs="Arial"/>
          <w:lang w:val="fr-FR"/>
        </w:rPr>
        <w:t xml:space="preserve">définis </w:t>
      </w:r>
      <w:r w:rsidR="00FC5843" w:rsidRPr="00DD134C">
        <w:rPr>
          <w:rFonts w:cs="Arial"/>
          <w:lang w:val="fr-FR"/>
        </w:rPr>
        <w:t>en concertation avec le</w:t>
      </w:r>
      <w:r w:rsidR="009238D1" w:rsidRPr="00DD134C">
        <w:rPr>
          <w:rFonts w:cs="Arial"/>
          <w:lang w:val="fr-FR"/>
        </w:rPr>
        <w:t>s membres de la communauté</w:t>
      </w:r>
      <w:r w:rsidR="00FC5843" w:rsidRPr="00DD134C">
        <w:rPr>
          <w:rFonts w:cs="Arial"/>
          <w:lang w:val="fr-FR"/>
        </w:rPr>
        <w:t>.</w:t>
      </w:r>
    </w:p>
    <w:p w:rsidR="00FC5843" w:rsidRPr="00DD134C" w:rsidRDefault="00FC5843" w:rsidP="00EA7616">
      <w:pPr>
        <w:pStyle w:val="Heading3"/>
        <w:rPr>
          <w:lang w:val="fr-FR"/>
        </w:rPr>
      </w:pPr>
      <w:r w:rsidRPr="00DD134C">
        <w:rPr>
          <w:lang w:val="fr-FR"/>
        </w:rPr>
        <w:t>Ciblage des ménages ou des individus sur la base de critères d’éligibilité définis au préalable</w:t>
      </w:r>
    </w:p>
    <w:p w:rsidR="00847BE9" w:rsidRPr="00DD134C" w:rsidRDefault="00FC5843" w:rsidP="00AB77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fr-FR"/>
        </w:rPr>
      </w:pPr>
      <w:r w:rsidRPr="00DD134C">
        <w:rPr>
          <w:rFonts w:cs="Arial"/>
          <w:bCs/>
          <w:color w:val="000000"/>
          <w:lang w:val="fr-FR"/>
        </w:rPr>
        <w:t xml:space="preserve">La décision </w:t>
      </w:r>
      <w:r w:rsidR="00847BE9" w:rsidRPr="00DD134C">
        <w:rPr>
          <w:rFonts w:cs="Arial"/>
          <w:bCs/>
          <w:color w:val="000000"/>
          <w:lang w:val="fr-FR"/>
        </w:rPr>
        <w:t xml:space="preserve">de cibler des ménages ou des individus dépendra de l’objectif de l’intervention. </w:t>
      </w:r>
      <w:r w:rsidR="00847BE9" w:rsidRPr="00DD134C">
        <w:rPr>
          <w:lang w:val="fr-FR"/>
        </w:rPr>
        <w:t xml:space="preserve">En règle générale, si l’objectif est de satisfaire </w:t>
      </w:r>
      <w:r w:rsidR="009238D1" w:rsidRPr="00DD134C">
        <w:rPr>
          <w:lang w:val="fr-FR"/>
        </w:rPr>
        <w:t>aux</w:t>
      </w:r>
      <w:r w:rsidR="00847BE9" w:rsidRPr="00DD134C">
        <w:rPr>
          <w:lang w:val="fr-FR"/>
        </w:rPr>
        <w:t xml:space="preserve"> besoins </w:t>
      </w:r>
      <w:r w:rsidR="009238D1" w:rsidRPr="00DD134C">
        <w:rPr>
          <w:lang w:val="fr-FR"/>
        </w:rPr>
        <w:t>essentiels</w:t>
      </w:r>
      <w:r w:rsidR="00847BE9" w:rsidRPr="00DD134C">
        <w:rPr>
          <w:lang w:val="fr-FR"/>
        </w:rPr>
        <w:t xml:space="preserve"> des ménages </w:t>
      </w:r>
      <w:r w:rsidR="009238D1" w:rsidRPr="00DD134C">
        <w:rPr>
          <w:lang w:val="fr-FR"/>
        </w:rPr>
        <w:t>(coût d’un panier de provisions de base)</w:t>
      </w:r>
      <w:r w:rsidR="00847BE9" w:rsidRPr="00DD134C">
        <w:rPr>
          <w:lang w:val="fr-FR"/>
        </w:rPr>
        <w:t>, il est préférable de cibler les ménage</w:t>
      </w:r>
      <w:r w:rsidR="00AB776A" w:rsidRPr="00DD134C">
        <w:rPr>
          <w:lang w:val="fr-FR"/>
        </w:rPr>
        <w:t>s. La même règle s’applique aux interventions dans le secteur du logement prévoyant des transferts monétaires</w:t>
      </w:r>
      <w:r w:rsidR="00847BE9" w:rsidRPr="00DD134C">
        <w:rPr>
          <w:lang w:val="fr-FR"/>
        </w:rPr>
        <w:t xml:space="preserve">. </w:t>
      </w:r>
    </w:p>
    <w:p w:rsidR="00847BE9" w:rsidRPr="00DD134C" w:rsidRDefault="00847BE9" w:rsidP="00847B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fr-FR"/>
        </w:rPr>
      </w:pPr>
      <w:r w:rsidRPr="00DD134C">
        <w:rPr>
          <w:lang w:val="fr-FR"/>
        </w:rPr>
        <w:t>Si l’objectif est de soutenir le relèvement et les moyens de subsistance ou d’améliorer les soins de santé et le soutien nutritionnel fournis aux groupes vulnérables, il est préférable de cibler les individus.</w:t>
      </w:r>
    </w:p>
    <w:p w:rsidR="00FC5843" w:rsidRPr="00DD134C" w:rsidRDefault="00847BE9" w:rsidP="007A49F6">
      <w:pPr>
        <w:rPr>
          <w:lang w:val="fr-FR"/>
        </w:rPr>
      </w:pPr>
      <w:r w:rsidRPr="00DD134C">
        <w:rPr>
          <w:lang w:val="fr-FR"/>
        </w:rPr>
        <w:t>Certains types d’intervention (p</w:t>
      </w:r>
      <w:r w:rsidR="007A49F6" w:rsidRPr="00DD134C">
        <w:rPr>
          <w:lang w:val="fr-FR"/>
        </w:rPr>
        <w:t xml:space="preserve">ar </w:t>
      </w:r>
      <w:r w:rsidRPr="00DD134C">
        <w:rPr>
          <w:lang w:val="fr-FR"/>
        </w:rPr>
        <w:t>ex. dans le secteur du logement ou de l’eau) cibleront des communautés entières.</w:t>
      </w:r>
    </w:p>
    <w:p w:rsidR="00847BE9" w:rsidRPr="00DD134C" w:rsidRDefault="00847BE9" w:rsidP="007A49F6">
      <w:pPr>
        <w:rPr>
          <w:lang w:val="fr-FR"/>
        </w:rPr>
      </w:pPr>
      <w:r w:rsidRPr="00DD134C">
        <w:rPr>
          <w:lang w:val="fr-FR"/>
        </w:rPr>
        <w:t>Vous devrez trouve</w:t>
      </w:r>
      <w:r w:rsidR="00DC2F73" w:rsidRPr="00DD134C">
        <w:rPr>
          <w:lang w:val="fr-FR"/>
        </w:rPr>
        <w:t xml:space="preserve">r le bon équilibre </w:t>
      </w:r>
      <w:r w:rsidR="007A49F6" w:rsidRPr="00DD134C">
        <w:rPr>
          <w:lang w:val="fr-FR"/>
        </w:rPr>
        <w:t xml:space="preserve">entre adopter </w:t>
      </w:r>
      <w:r w:rsidR="00DC2F73" w:rsidRPr="00DD134C">
        <w:rPr>
          <w:lang w:val="fr-FR"/>
        </w:rPr>
        <w:t xml:space="preserve">une méthode de ciblage permettant </w:t>
      </w:r>
      <w:r w:rsidR="007A49F6" w:rsidRPr="00DD134C">
        <w:rPr>
          <w:lang w:val="fr-FR"/>
        </w:rPr>
        <w:t>une mise en œuvre rapide</w:t>
      </w:r>
      <w:r w:rsidR="00DC2F73" w:rsidRPr="00DD134C">
        <w:rPr>
          <w:lang w:val="fr-FR"/>
        </w:rPr>
        <w:t xml:space="preserve"> </w:t>
      </w:r>
      <w:r w:rsidR="007A49F6" w:rsidRPr="00DD134C">
        <w:rPr>
          <w:lang w:val="fr-FR"/>
        </w:rPr>
        <w:t>des</w:t>
      </w:r>
      <w:r w:rsidR="00DC2F73" w:rsidRPr="00DD134C">
        <w:rPr>
          <w:lang w:val="fr-FR"/>
        </w:rPr>
        <w:t xml:space="preserve"> transferts monétaires</w:t>
      </w:r>
      <w:r w:rsidR="007A49F6" w:rsidRPr="00DD134C">
        <w:rPr>
          <w:lang w:val="fr-FR"/>
        </w:rPr>
        <w:t xml:space="preserve"> et affiner votre système</w:t>
      </w:r>
      <w:r w:rsidR="005B0263" w:rsidRPr="00DD134C">
        <w:rPr>
          <w:lang w:val="fr-FR"/>
        </w:rPr>
        <w:t xml:space="preserve"> jusqu’à ce que les erreurs d’exclusion et d’inclusion </w:t>
      </w:r>
      <w:r w:rsidR="007A49F6" w:rsidRPr="00DD134C">
        <w:rPr>
          <w:lang w:val="fr-FR"/>
        </w:rPr>
        <w:t>aient été</w:t>
      </w:r>
      <w:r w:rsidR="005B0263" w:rsidRPr="00DD134C">
        <w:rPr>
          <w:lang w:val="fr-FR"/>
        </w:rPr>
        <w:t xml:space="preserve"> réduites au minimum.</w:t>
      </w:r>
    </w:p>
    <w:p w:rsidR="005B0263" w:rsidRPr="00DD134C" w:rsidRDefault="005B0263" w:rsidP="007A49F6">
      <w:pPr>
        <w:rPr>
          <w:rFonts w:cs="Arial"/>
          <w:lang w:val="fr-FR"/>
        </w:rPr>
      </w:pPr>
      <w:r w:rsidRPr="00DD134C">
        <w:rPr>
          <w:rFonts w:cs="Arial"/>
          <w:b/>
          <w:lang w:val="fr-FR"/>
        </w:rPr>
        <w:t>Des valeurs limites</w:t>
      </w:r>
      <w:r w:rsidRPr="00DD134C">
        <w:rPr>
          <w:rFonts w:cs="Arial"/>
          <w:lang w:val="fr-FR"/>
        </w:rPr>
        <w:t xml:space="preserve"> peuvent être </w:t>
      </w:r>
      <w:r w:rsidR="00DA0B04" w:rsidRPr="00DD134C">
        <w:rPr>
          <w:rFonts w:cs="Arial"/>
          <w:lang w:val="fr-FR"/>
        </w:rPr>
        <w:t>fixées</w:t>
      </w:r>
      <w:r w:rsidRPr="00DD134C">
        <w:rPr>
          <w:rFonts w:cs="Arial"/>
          <w:lang w:val="fr-FR"/>
        </w:rPr>
        <w:t xml:space="preserve"> afin de déterminer quels seront les ménages ou les groupes </w:t>
      </w:r>
      <w:r w:rsidR="007A49F6" w:rsidRPr="00DD134C">
        <w:rPr>
          <w:rFonts w:cs="Arial"/>
          <w:lang w:val="fr-FR"/>
        </w:rPr>
        <w:t>ciblés</w:t>
      </w:r>
      <w:r w:rsidRPr="00DD134C">
        <w:rPr>
          <w:rFonts w:cs="Arial"/>
          <w:lang w:val="fr-FR"/>
        </w:rPr>
        <w:t xml:space="preserve"> : par exemple les ménages possédant moins de </w:t>
      </w:r>
      <w:r w:rsidRPr="00DD134C">
        <w:rPr>
          <w:rFonts w:cs="Arial"/>
          <w:i/>
          <w:lang w:val="fr-FR"/>
        </w:rPr>
        <w:t xml:space="preserve">N </w:t>
      </w:r>
      <w:r w:rsidRPr="00DD134C">
        <w:rPr>
          <w:rFonts w:cs="Arial"/>
          <w:lang w:val="fr-FR"/>
        </w:rPr>
        <w:t xml:space="preserve">chèvres ou citernes d’eau, ou les ménages gagnant moins de </w:t>
      </w:r>
      <w:r w:rsidRPr="00DD134C">
        <w:rPr>
          <w:rFonts w:cs="Arial"/>
          <w:i/>
          <w:lang w:val="fr-FR"/>
        </w:rPr>
        <w:t>X</w:t>
      </w:r>
      <w:r w:rsidRPr="00DD134C">
        <w:rPr>
          <w:rFonts w:cs="Arial"/>
          <w:lang w:val="fr-FR"/>
        </w:rPr>
        <w:t xml:space="preserve"> par mois.</w:t>
      </w:r>
    </w:p>
    <w:p w:rsidR="005B0263" w:rsidRPr="00DD134C" w:rsidRDefault="005B0263" w:rsidP="00C35E9D">
      <w:pPr>
        <w:rPr>
          <w:rFonts w:cs="Arial"/>
          <w:lang w:val="fr-FR"/>
        </w:rPr>
      </w:pPr>
      <w:r w:rsidRPr="00DD134C">
        <w:rPr>
          <w:rFonts w:cs="Arial"/>
          <w:lang w:val="fr-FR"/>
        </w:rPr>
        <w:t xml:space="preserve">Des </w:t>
      </w:r>
      <w:r w:rsidRPr="00DD134C">
        <w:rPr>
          <w:rFonts w:cs="Arial"/>
          <w:b/>
          <w:lang w:val="fr-FR"/>
        </w:rPr>
        <w:t xml:space="preserve">quotas </w:t>
      </w:r>
      <w:r w:rsidRPr="00DD134C">
        <w:rPr>
          <w:rFonts w:cs="Arial"/>
          <w:lang w:val="fr-FR"/>
        </w:rPr>
        <w:t>(correspondant par exemple à un certain pourcentage de</w:t>
      </w:r>
      <w:r w:rsidR="00DA0B04" w:rsidRPr="00DD134C">
        <w:rPr>
          <w:rFonts w:cs="Arial"/>
          <w:lang w:val="fr-FR"/>
        </w:rPr>
        <w:t>s</w:t>
      </w:r>
      <w:r w:rsidRPr="00DD134C">
        <w:rPr>
          <w:rFonts w:cs="Arial"/>
          <w:lang w:val="fr-FR"/>
        </w:rPr>
        <w:t xml:space="preserve"> ménages touchés dans chaque village) peuvent également être fixés. Les quotas sont transparents et simples à appliquer, mais ils ne tiennent pas compte des variations des besoins d’un endroit à l’autre. Ils se révèlent donc plus efficaces lorsque la situation est relativement homogène.</w:t>
      </w:r>
      <w:r w:rsidR="00976E7E" w:rsidRPr="00DD134C">
        <w:rPr>
          <w:rFonts w:cs="Arial"/>
          <w:lang w:val="fr-FR"/>
        </w:rPr>
        <w:t xml:space="preserve"> </w:t>
      </w:r>
      <w:r w:rsidR="00DA0B04" w:rsidRPr="00DD134C">
        <w:rPr>
          <w:rFonts w:cs="Arial"/>
          <w:lang w:val="fr-FR"/>
        </w:rPr>
        <w:t>Un quota ciblant</w:t>
      </w:r>
      <w:r w:rsidR="00C35E9D" w:rsidRPr="00DD134C">
        <w:rPr>
          <w:rFonts w:cs="Arial"/>
          <w:lang w:val="fr-FR"/>
        </w:rPr>
        <w:t xml:space="preserve"> 50 </w:t>
      </w:r>
      <w:r w:rsidR="00976E7E" w:rsidRPr="00DD134C">
        <w:rPr>
          <w:rFonts w:cs="Arial"/>
          <w:lang w:val="fr-FR"/>
        </w:rPr>
        <w:t>% des ménages d’une communauté donné</w:t>
      </w:r>
      <w:r w:rsidR="00A2325B" w:rsidRPr="00DD134C">
        <w:rPr>
          <w:rFonts w:cs="Arial"/>
          <w:lang w:val="fr-FR"/>
        </w:rPr>
        <w:t>e</w:t>
      </w:r>
      <w:r w:rsidR="00976E7E" w:rsidRPr="00DD134C">
        <w:rPr>
          <w:rFonts w:cs="Arial"/>
          <w:lang w:val="fr-FR"/>
        </w:rPr>
        <w:t xml:space="preserve"> peut </w:t>
      </w:r>
      <w:r w:rsidR="00A2325B" w:rsidRPr="00DD134C">
        <w:rPr>
          <w:rFonts w:cs="Arial"/>
          <w:lang w:val="fr-FR"/>
        </w:rPr>
        <w:t>constituer</w:t>
      </w:r>
      <w:r w:rsidR="00976E7E" w:rsidRPr="00DD134C">
        <w:rPr>
          <w:rFonts w:cs="Arial"/>
          <w:lang w:val="fr-FR"/>
        </w:rPr>
        <w:t xml:space="preserve"> un bon point de départ, car</w:t>
      </w:r>
      <w:r w:rsidR="00A2325B" w:rsidRPr="00DD134C">
        <w:rPr>
          <w:rFonts w:cs="Arial"/>
          <w:lang w:val="fr-FR"/>
        </w:rPr>
        <w:t>, en fixant un</w:t>
      </w:r>
      <w:r w:rsidR="00976E7E" w:rsidRPr="00DD134C">
        <w:rPr>
          <w:rFonts w:cs="Arial"/>
          <w:lang w:val="fr-FR"/>
        </w:rPr>
        <w:t xml:space="preserve"> quota inférieur</w:t>
      </w:r>
      <w:r w:rsidR="00A2325B" w:rsidRPr="00DD134C">
        <w:rPr>
          <w:rFonts w:cs="Arial"/>
          <w:lang w:val="fr-FR"/>
        </w:rPr>
        <w:t>,</w:t>
      </w:r>
      <w:r w:rsidR="00976E7E" w:rsidRPr="00DD134C">
        <w:rPr>
          <w:rFonts w:cs="Arial"/>
          <w:lang w:val="fr-FR"/>
        </w:rPr>
        <w:t xml:space="preserve"> </w:t>
      </w:r>
      <w:r w:rsidR="00A2325B" w:rsidRPr="00DD134C">
        <w:rPr>
          <w:rFonts w:cs="Arial"/>
          <w:lang w:val="fr-FR"/>
        </w:rPr>
        <w:t>vous risquez</w:t>
      </w:r>
      <w:r w:rsidR="00DA0B04" w:rsidRPr="00DD134C">
        <w:rPr>
          <w:rFonts w:cs="Arial"/>
          <w:lang w:val="fr-FR"/>
        </w:rPr>
        <w:t xml:space="preserve"> </w:t>
      </w:r>
      <w:r w:rsidR="00A2325B" w:rsidRPr="00DD134C">
        <w:rPr>
          <w:rFonts w:cs="Arial"/>
          <w:lang w:val="fr-FR"/>
        </w:rPr>
        <w:t>de consacrer</w:t>
      </w:r>
      <w:r w:rsidR="00976E7E" w:rsidRPr="00DD134C">
        <w:rPr>
          <w:rFonts w:cs="Arial"/>
          <w:lang w:val="fr-FR"/>
        </w:rPr>
        <w:t xml:space="preserve"> trop de temps </w:t>
      </w:r>
      <w:r w:rsidR="00A2325B" w:rsidRPr="00DD134C">
        <w:rPr>
          <w:rFonts w:cs="Arial"/>
          <w:lang w:val="fr-FR"/>
        </w:rPr>
        <w:t xml:space="preserve">à la </w:t>
      </w:r>
      <w:r w:rsidR="00DA0B04" w:rsidRPr="00DD134C">
        <w:rPr>
          <w:rFonts w:cs="Arial"/>
          <w:lang w:val="fr-FR"/>
        </w:rPr>
        <w:t>correction des erreurs d</w:t>
      </w:r>
      <w:r w:rsidR="00A2325B" w:rsidRPr="00DD134C">
        <w:rPr>
          <w:rFonts w:cs="Arial"/>
          <w:lang w:val="fr-FR"/>
        </w:rPr>
        <w:t>’exclusion</w:t>
      </w:r>
      <w:r w:rsidR="00C35E9D" w:rsidRPr="00DD134C">
        <w:rPr>
          <w:rFonts w:cs="Arial"/>
          <w:lang w:val="fr-FR"/>
        </w:rPr>
        <w:t xml:space="preserve"> au moment</w:t>
      </w:r>
      <w:r w:rsidR="00C35E9D" w:rsidRPr="00DD134C">
        <w:rPr>
          <w:rFonts w:cs="Arial"/>
          <w:lang w:val="fr-FR"/>
        </w:rPr>
        <w:t xml:space="preserve"> de la mise en œuvre</w:t>
      </w:r>
      <w:r w:rsidR="00A2325B" w:rsidRPr="00DD134C">
        <w:rPr>
          <w:rFonts w:cs="Arial"/>
          <w:lang w:val="fr-FR"/>
        </w:rPr>
        <w:t>.</w:t>
      </w:r>
    </w:p>
    <w:p w:rsidR="008D5723" w:rsidRPr="00DD134C" w:rsidRDefault="00237715" w:rsidP="00237715">
      <w:pPr>
        <w:spacing w:before="120" w:after="240"/>
        <w:rPr>
          <w:rFonts w:cs="Arial"/>
          <w:lang w:val="fr-FR"/>
        </w:rPr>
      </w:pPr>
      <w:r w:rsidRPr="00DD134C">
        <w:rPr>
          <w:rFonts w:cs="Arial"/>
          <w:lang w:val="fr-FR"/>
        </w:rPr>
        <w:t>Vous trouverez ci-aprè</w:t>
      </w:r>
      <w:r w:rsidR="00976E7E" w:rsidRPr="00DD134C">
        <w:rPr>
          <w:rFonts w:cs="Arial"/>
          <w:lang w:val="fr-FR"/>
        </w:rPr>
        <w:t>s</w:t>
      </w:r>
      <w:r w:rsidR="00DA0B04" w:rsidRPr="00DD134C">
        <w:rPr>
          <w:rFonts w:cs="Arial"/>
          <w:lang w:val="fr-FR"/>
        </w:rPr>
        <w:t xml:space="preserve"> des</w:t>
      </w:r>
      <w:r w:rsidR="008D5723" w:rsidRPr="00DD134C">
        <w:rPr>
          <w:rFonts w:cs="Arial"/>
          <w:lang w:val="fr-FR"/>
        </w:rPr>
        <w:t xml:space="preserve"> </w:t>
      </w:r>
      <w:r w:rsidR="00976E7E" w:rsidRPr="00DD134C">
        <w:rPr>
          <w:rFonts w:cs="Arial"/>
          <w:b/>
          <w:lang w:val="fr-FR"/>
        </w:rPr>
        <w:t>exe</w:t>
      </w:r>
      <w:r w:rsidR="008D5723" w:rsidRPr="00DD134C">
        <w:rPr>
          <w:rFonts w:cs="Arial"/>
          <w:b/>
          <w:lang w:val="fr-FR"/>
        </w:rPr>
        <w:t xml:space="preserve">mples </w:t>
      </w:r>
      <w:r w:rsidR="00976E7E" w:rsidRPr="00DD134C">
        <w:rPr>
          <w:rFonts w:cs="Arial"/>
          <w:b/>
          <w:lang w:val="fr-FR"/>
        </w:rPr>
        <w:t>de critères de ciblage</w:t>
      </w:r>
      <w:r w:rsidR="00DA0B04" w:rsidRPr="00DD134C">
        <w:rPr>
          <w:rFonts w:cs="Arial"/>
          <w:lang w:val="fr-FR"/>
        </w:rPr>
        <w:t>.</w:t>
      </w:r>
    </w:p>
    <w:tbl>
      <w:tblPr>
        <w:tblStyle w:val="TableGrid"/>
        <w:tblW w:w="0" w:type="auto"/>
        <w:tblBorders>
          <w:top w:val="none" w:sz="0" w:space="0" w:color="auto"/>
          <w:left w:val="none" w:sz="0" w:space="0" w:color="auto"/>
          <w:bottom w:val="single" w:sz="4" w:space="0" w:color="C0504D" w:themeColor="accent2"/>
          <w:right w:val="none" w:sz="0" w:space="0" w:color="auto"/>
          <w:insideH w:val="single" w:sz="4" w:space="0" w:color="C0504D" w:themeColor="accent2"/>
          <w:insideV w:val="none" w:sz="0" w:space="0" w:color="auto"/>
        </w:tblBorders>
        <w:tblLook w:val="00A0" w:firstRow="1" w:lastRow="0" w:firstColumn="1" w:lastColumn="0" w:noHBand="0" w:noVBand="0"/>
      </w:tblPr>
      <w:tblGrid>
        <w:gridCol w:w="2669"/>
        <w:gridCol w:w="7179"/>
      </w:tblGrid>
      <w:tr w:rsidR="008D5723" w:rsidRPr="00DD134C" w:rsidTr="00D50D6B">
        <w:trPr>
          <w:cantSplit/>
        </w:trPr>
        <w:tc>
          <w:tcPr>
            <w:tcW w:w="2669" w:type="dxa"/>
            <w:tcBorders>
              <w:bottom w:val="nil"/>
            </w:tcBorders>
          </w:tcPr>
          <w:p w:rsidR="008D5723" w:rsidRPr="00DD134C" w:rsidRDefault="00A2325B" w:rsidP="008D5723">
            <w:pPr>
              <w:rPr>
                <w:rFonts w:cs="Arial"/>
                <w:b/>
                <w:sz w:val="22"/>
                <w:lang w:val="fr-FR"/>
              </w:rPr>
            </w:pPr>
            <w:r w:rsidRPr="00DD134C">
              <w:rPr>
                <w:rFonts w:cs="Arial"/>
                <w:b/>
                <w:lang w:val="fr-FR"/>
              </w:rPr>
              <w:lastRenderedPageBreak/>
              <w:t>Critères relatifs au contexte</w:t>
            </w:r>
          </w:p>
        </w:tc>
        <w:tc>
          <w:tcPr>
            <w:tcW w:w="7179" w:type="dxa"/>
            <w:tcBorders>
              <w:bottom w:val="nil"/>
            </w:tcBorders>
          </w:tcPr>
          <w:p w:rsidR="00A2325B" w:rsidRPr="00DD134C" w:rsidRDefault="00B162D5" w:rsidP="00281526">
            <w:pPr>
              <w:pStyle w:val="Bullet2"/>
              <w:spacing w:before="0"/>
              <w:ind w:left="714" w:hanging="357"/>
              <w:rPr>
                <w:lang w:val="fr-FR"/>
              </w:rPr>
            </w:pPr>
            <w:r w:rsidRPr="00DD134C">
              <w:rPr>
                <w:lang w:val="fr-FR"/>
              </w:rPr>
              <w:t>L</w:t>
            </w:r>
            <w:r w:rsidR="00A2325B" w:rsidRPr="00DD134C">
              <w:rPr>
                <w:lang w:val="fr-FR"/>
              </w:rPr>
              <w:t>es m</w:t>
            </w:r>
            <w:r w:rsidR="00237715" w:rsidRPr="00DD134C">
              <w:rPr>
                <w:lang w:val="fr-FR"/>
              </w:rPr>
              <w:t>énages qui ont perdu plus de 50 </w:t>
            </w:r>
            <w:r w:rsidR="00A2325B" w:rsidRPr="00DD134C">
              <w:rPr>
                <w:lang w:val="fr-FR"/>
              </w:rPr>
              <w:t>% de leurs récoltes ou de leur bétail</w:t>
            </w:r>
          </w:p>
          <w:p w:rsidR="008D5723" w:rsidRPr="00DD134C" w:rsidRDefault="00B162D5" w:rsidP="00281526">
            <w:pPr>
              <w:pStyle w:val="Bullet2"/>
              <w:spacing w:before="0"/>
              <w:ind w:left="714" w:hanging="357"/>
              <w:rPr>
                <w:lang w:val="fr-FR"/>
              </w:rPr>
            </w:pPr>
            <w:r w:rsidRPr="00DD134C">
              <w:rPr>
                <w:lang w:val="fr-FR"/>
              </w:rPr>
              <w:t>L</w:t>
            </w:r>
            <w:r w:rsidR="00A2325B" w:rsidRPr="00DD134C">
              <w:rPr>
                <w:lang w:val="fr-FR"/>
              </w:rPr>
              <w:t>es ménages qui ont perdu leur logement</w:t>
            </w:r>
          </w:p>
          <w:p w:rsidR="008D5723" w:rsidRPr="00DD134C" w:rsidRDefault="00B162D5" w:rsidP="004445E8">
            <w:pPr>
              <w:pStyle w:val="Bullet2"/>
              <w:rPr>
                <w:lang w:val="fr-FR"/>
              </w:rPr>
            </w:pPr>
            <w:r w:rsidRPr="00DD134C">
              <w:rPr>
                <w:lang w:val="fr-FR"/>
              </w:rPr>
              <w:t>L</w:t>
            </w:r>
            <w:r w:rsidR="00A2325B" w:rsidRPr="00DD134C">
              <w:rPr>
                <w:lang w:val="fr-FR"/>
              </w:rPr>
              <w:t>es ménages dont les dettes sont supérieures à un montant donné (ou à une proportion donnée de leur revenu)</w:t>
            </w:r>
          </w:p>
          <w:p w:rsidR="008D5723" w:rsidRPr="00DD134C" w:rsidRDefault="00B162D5" w:rsidP="00F9797B">
            <w:pPr>
              <w:pStyle w:val="Bullet2"/>
              <w:jc w:val="left"/>
              <w:rPr>
                <w:lang w:val="fr-FR"/>
              </w:rPr>
            </w:pPr>
            <w:r w:rsidRPr="00DD134C">
              <w:rPr>
                <w:lang w:val="fr-FR"/>
              </w:rPr>
              <w:t>L</w:t>
            </w:r>
            <w:r w:rsidR="00A2325B" w:rsidRPr="00DD134C">
              <w:rPr>
                <w:lang w:val="fr-FR"/>
              </w:rPr>
              <w:t xml:space="preserve">es ménages ne disposant d’aucun soutien familial / </w:t>
            </w:r>
            <w:r w:rsidR="00DA0B04" w:rsidRPr="00DD134C">
              <w:rPr>
                <w:lang w:val="fr-FR"/>
              </w:rPr>
              <w:t xml:space="preserve">d’aucun </w:t>
            </w:r>
            <w:r w:rsidR="00A2325B" w:rsidRPr="00DD134C">
              <w:rPr>
                <w:lang w:val="fr-FR"/>
              </w:rPr>
              <w:t xml:space="preserve">accès à </w:t>
            </w:r>
            <w:r w:rsidR="00465E8E" w:rsidRPr="00DD134C">
              <w:rPr>
                <w:lang w:val="fr-FR"/>
              </w:rPr>
              <w:t>des transferts de fonds</w:t>
            </w:r>
          </w:p>
          <w:p w:rsidR="008D5723" w:rsidRPr="00DD134C" w:rsidRDefault="00B162D5" w:rsidP="004445E8">
            <w:pPr>
              <w:pStyle w:val="Bullet2"/>
              <w:rPr>
                <w:lang w:val="fr-FR"/>
              </w:rPr>
            </w:pPr>
            <w:r w:rsidRPr="00DD134C">
              <w:rPr>
                <w:lang w:val="fr-FR"/>
              </w:rPr>
              <w:t>L</w:t>
            </w:r>
            <w:r w:rsidR="00465E8E" w:rsidRPr="00DD134C">
              <w:rPr>
                <w:lang w:val="fr-FR"/>
              </w:rPr>
              <w:t>es ménages ne disposant d’aucun accès au crédit</w:t>
            </w:r>
          </w:p>
          <w:p w:rsidR="00717F2D" w:rsidRPr="00DD134C" w:rsidRDefault="00717F2D" w:rsidP="00465E8E">
            <w:pPr>
              <w:pStyle w:val="Bullet2"/>
              <w:numPr>
                <w:ilvl w:val="0"/>
                <w:numId w:val="0"/>
              </w:numPr>
              <w:rPr>
                <w:lang w:val="fr-FR"/>
              </w:rPr>
            </w:pPr>
          </w:p>
        </w:tc>
      </w:tr>
      <w:tr w:rsidR="008D5723" w:rsidRPr="00DD134C" w:rsidTr="00D50D6B">
        <w:trPr>
          <w:cantSplit/>
        </w:trPr>
        <w:tc>
          <w:tcPr>
            <w:tcW w:w="2669" w:type="dxa"/>
            <w:tcBorders>
              <w:top w:val="nil"/>
              <w:bottom w:val="nil"/>
            </w:tcBorders>
          </w:tcPr>
          <w:p w:rsidR="008D5723" w:rsidRPr="00DD134C" w:rsidRDefault="00465E8E" w:rsidP="00806425">
            <w:pPr>
              <w:rPr>
                <w:rFonts w:cs="Arial"/>
                <w:b/>
                <w:lang w:val="fr-FR"/>
              </w:rPr>
            </w:pPr>
            <w:r w:rsidRPr="00DD134C">
              <w:rPr>
                <w:rFonts w:cs="Arial"/>
                <w:b/>
                <w:lang w:val="fr-FR"/>
              </w:rPr>
              <w:t xml:space="preserve">Critères </w:t>
            </w:r>
            <w:r w:rsidR="00806425" w:rsidRPr="00DD134C">
              <w:rPr>
                <w:rFonts w:cs="Arial"/>
                <w:b/>
                <w:lang w:val="fr-FR"/>
              </w:rPr>
              <w:t>sociaux</w:t>
            </w:r>
          </w:p>
        </w:tc>
        <w:tc>
          <w:tcPr>
            <w:tcW w:w="7179" w:type="dxa"/>
            <w:tcBorders>
              <w:top w:val="nil"/>
              <w:bottom w:val="nil"/>
            </w:tcBorders>
          </w:tcPr>
          <w:p w:rsidR="00A46524" w:rsidRPr="00DD134C" w:rsidRDefault="00B162D5" w:rsidP="00281526">
            <w:pPr>
              <w:pStyle w:val="Bullet2"/>
              <w:spacing w:before="0"/>
              <w:ind w:left="714" w:hanging="357"/>
              <w:rPr>
                <w:lang w:val="fr-FR"/>
              </w:rPr>
            </w:pPr>
            <w:r w:rsidRPr="00DD134C">
              <w:rPr>
                <w:lang w:val="fr-FR"/>
              </w:rPr>
              <w:t>L</w:t>
            </w:r>
            <w:r w:rsidR="00A46524" w:rsidRPr="00DD134C">
              <w:rPr>
                <w:lang w:val="fr-FR"/>
              </w:rPr>
              <w:t>es ménages dont certains membres souffrent de maladies chroniques</w:t>
            </w:r>
          </w:p>
          <w:p w:rsidR="008D5723" w:rsidRPr="00DD134C" w:rsidRDefault="00B162D5" w:rsidP="00281526">
            <w:pPr>
              <w:pStyle w:val="Bullet2"/>
              <w:spacing w:before="0"/>
              <w:ind w:left="714" w:hanging="357"/>
              <w:rPr>
                <w:lang w:val="fr-FR"/>
              </w:rPr>
            </w:pPr>
            <w:r w:rsidRPr="00DD134C">
              <w:rPr>
                <w:lang w:val="fr-FR"/>
              </w:rPr>
              <w:t>L</w:t>
            </w:r>
            <w:r w:rsidR="00A46524" w:rsidRPr="00DD134C">
              <w:rPr>
                <w:lang w:val="fr-FR"/>
              </w:rPr>
              <w:t>es ménages dont certains membres souffrent d’un handicap</w:t>
            </w:r>
          </w:p>
          <w:p w:rsidR="008D5723" w:rsidRPr="00DD134C" w:rsidRDefault="00B162D5" w:rsidP="004445E8">
            <w:pPr>
              <w:pStyle w:val="Bullet2"/>
              <w:rPr>
                <w:lang w:val="fr-FR"/>
              </w:rPr>
            </w:pPr>
            <w:r w:rsidRPr="00DD134C">
              <w:rPr>
                <w:lang w:val="fr-FR"/>
              </w:rPr>
              <w:t>L</w:t>
            </w:r>
            <w:r w:rsidR="00A46524" w:rsidRPr="00DD134C">
              <w:rPr>
                <w:lang w:val="fr-FR"/>
              </w:rPr>
              <w:t>es ménages dirigés par des personnes âgées</w:t>
            </w:r>
          </w:p>
          <w:p w:rsidR="008D5723" w:rsidRPr="00DD134C" w:rsidRDefault="00B162D5" w:rsidP="004445E8">
            <w:pPr>
              <w:pStyle w:val="Bullet2"/>
              <w:rPr>
                <w:lang w:val="fr-FR"/>
              </w:rPr>
            </w:pPr>
            <w:r w:rsidRPr="00DD134C">
              <w:rPr>
                <w:lang w:val="fr-FR"/>
              </w:rPr>
              <w:t>L</w:t>
            </w:r>
            <w:r w:rsidR="00A46524" w:rsidRPr="00DD134C">
              <w:rPr>
                <w:lang w:val="fr-FR"/>
              </w:rPr>
              <w:t>es ménages dirigés par des enfants</w:t>
            </w:r>
          </w:p>
          <w:p w:rsidR="008D5723" w:rsidRPr="00DD134C" w:rsidRDefault="00B162D5" w:rsidP="004445E8">
            <w:pPr>
              <w:pStyle w:val="Bullet2"/>
              <w:rPr>
                <w:lang w:val="fr-FR"/>
              </w:rPr>
            </w:pPr>
            <w:r w:rsidRPr="00DD134C">
              <w:rPr>
                <w:lang w:val="fr-FR"/>
              </w:rPr>
              <w:t>L</w:t>
            </w:r>
            <w:r w:rsidR="00A46524" w:rsidRPr="00DD134C">
              <w:rPr>
                <w:lang w:val="fr-FR"/>
              </w:rPr>
              <w:t>es ménages dirigés par des femmes</w:t>
            </w:r>
          </w:p>
          <w:p w:rsidR="008D5723" w:rsidRPr="00DD134C" w:rsidRDefault="00B162D5" w:rsidP="004445E8">
            <w:pPr>
              <w:pStyle w:val="Bullet2"/>
              <w:rPr>
                <w:lang w:val="fr-FR"/>
              </w:rPr>
            </w:pPr>
            <w:r w:rsidRPr="00DD134C">
              <w:rPr>
                <w:lang w:val="fr-FR"/>
              </w:rPr>
              <w:t>L</w:t>
            </w:r>
            <w:r w:rsidR="00A46524" w:rsidRPr="00DD134C">
              <w:rPr>
                <w:lang w:val="fr-FR"/>
              </w:rPr>
              <w:t>es ménages comptant plus de huit membres et dont</w:t>
            </w:r>
            <w:r w:rsidR="00806425" w:rsidRPr="00DD134C">
              <w:rPr>
                <w:lang w:val="fr-FR"/>
              </w:rPr>
              <w:t xml:space="preserve"> seul</w:t>
            </w:r>
            <w:r w:rsidR="00A46524" w:rsidRPr="00DD134C">
              <w:rPr>
                <w:lang w:val="fr-FR"/>
              </w:rPr>
              <w:t xml:space="preserve"> l’un d’entre eux dispose d’un revenu</w:t>
            </w:r>
          </w:p>
          <w:p w:rsidR="008D5723" w:rsidRPr="00DD134C" w:rsidRDefault="00B162D5" w:rsidP="004A4A13">
            <w:pPr>
              <w:pStyle w:val="Bullet2"/>
              <w:keepNext/>
              <w:keepLines/>
              <w:ind w:left="714" w:hanging="357"/>
              <w:rPr>
                <w:lang w:val="fr-FR"/>
              </w:rPr>
            </w:pPr>
            <w:r w:rsidRPr="00DD134C">
              <w:rPr>
                <w:lang w:val="fr-FR"/>
              </w:rPr>
              <w:t>L</w:t>
            </w:r>
            <w:r w:rsidR="004A4A13" w:rsidRPr="00DD134C">
              <w:rPr>
                <w:lang w:val="fr-FR"/>
              </w:rPr>
              <w:t>es ménages dont le revenu mensuel est inférieur à un montant donné</w:t>
            </w:r>
          </w:p>
        </w:tc>
      </w:tr>
      <w:tr w:rsidR="008D5723" w:rsidRPr="00DD134C" w:rsidTr="00D50D6B">
        <w:trPr>
          <w:cantSplit/>
        </w:trPr>
        <w:tc>
          <w:tcPr>
            <w:tcW w:w="2669" w:type="dxa"/>
            <w:tcBorders>
              <w:top w:val="nil"/>
              <w:bottom w:val="nil"/>
            </w:tcBorders>
          </w:tcPr>
          <w:p w:rsidR="008D5723" w:rsidRPr="00DD134C" w:rsidRDefault="00465E8E" w:rsidP="00045659">
            <w:pPr>
              <w:keepNext/>
              <w:keepLines/>
              <w:spacing w:before="240"/>
              <w:jc w:val="left"/>
              <w:rPr>
                <w:rFonts w:cs="Arial"/>
                <w:b/>
                <w:lang w:val="fr-FR"/>
              </w:rPr>
            </w:pPr>
            <w:r w:rsidRPr="00DD134C">
              <w:rPr>
                <w:rFonts w:cs="Arial"/>
                <w:b/>
                <w:lang w:val="fr-FR"/>
              </w:rPr>
              <w:t>Groupes vulnérables</w:t>
            </w:r>
          </w:p>
        </w:tc>
        <w:tc>
          <w:tcPr>
            <w:tcW w:w="7179" w:type="dxa"/>
            <w:tcBorders>
              <w:top w:val="nil"/>
              <w:bottom w:val="nil"/>
            </w:tcBorders>
          </w:tcPr>
          <w:p w:rsidR="008D5723" w:rsidRPr="00DD134C" w:rsidRDefault="00B162D5" w:rsidP="00D50D6B">
            <w:pPr>
              <w:pStyle w:val="Bullet2"/>
              <w:keepNext/>
              <w:keepLines/>
              <w:spacing w:before="240"/>
              <w:ind w:left="714" w:hanging="357"/>
              <w:rPr>
                <w:szCs w:val="20"/>
                <w:lang w:val="fr-FR"/>
              </w:rPr>
            </w:pPr>
            <w:r w:rsidRPr="00DD134C">
              <w:rPr>
                <w:szCs w:val="20"/>
                <w:lang w:val="fr-FR"/>
              </w:rPr>
              <w:t>L</w:t>
            </w:r>
            <w:r w:rsidR="00465E8E" w:rsidRPr="00DD134C">
              <w:rPr>
                <w:szCs w:val="20"/>
                <w:lang w:val="fr-FR"/>
              </w:rPr>
              <w:t>es personnes déplacées</w:t>
            </w:r>
          </w:p>
          <w:p w:rsidR="008D5723" w:rsidRPr="00DD134C" w:rsidRDefault="00B162D5" w:rsidP="00CB00BC">
            <w:pPr>
              <w:pStyle w:val="Bullet2"/>
              <w:keepNext/>
              <w:keepLines/>
              <w:rPr>
                <w:szCs w:val="20"/>
                <w:lang w:val="fr-FR"/>
              </w:rPr>
            </w:pPr>
            <w:r w:rsidRPr="00DD134C">
              <w:rPr>
                <w:szCs w:val="20"/>
                <w:lang w:val="fr-FR"/>
              </w:rPr>
              <w:t>L</w:t>
            </w:r>
            <w:r w:rsidR="00465E8E" w:rsidRPr="00DD134C">
              <w:rPr>
                <w:szCs w:val="20"/>
                <w:lang w:val="fr-FR"/>
              </w:rPr>
              <w:t>es réfugiés</w:t>
            </w:r>
          </w:p>
          <w:p w:rsidR="008D5723" w:rsidRPr="00DD134C" w:rsidRDefault="00B162D5" w:rsidP="00CB00BC">
            <w:pPr>
              <w:pStyle w:val="Bullet2"/>
              <w:keepNext/>
              <w:keepLines/>
              <w:rPr>
                <w:szCs w:val="20"/>
                <w:lang w:val="fr-FR"/>
              </w:rPr>
            </w:pPr>
            <w:r w:rsidRPr="00DD134C">
              <w:rPr>
                <w:szCs w:val="20"/>
                <w:lang w:val="fr-FR"/>
              </w:rPr>
              <w:t>L</w:t>
            </w:r>
            <w:r w:rsidR="00045659" w:rsidRPr="00DD134C">
              <w:rPr>
                <w:szCs w:val="20"/>
                <w:lang w:val="fr-FR"/>
              </w:rPr>
              <w:t>es familles d’accueil</w:t>
            </w:r>
          </w:p>
          <w:p w:rsidR="008D5723" w:rsidRPr="00DD134C" w:rsidRDefault="00B162D5" w:rsidP="00237715">
            <w:pPr>
              <w:pStyle w:val="Bullet2"/>
              <w:keepNext/>
              <w:keepLines/>
              <w:ind w:left="714" w:hanging="357"/>
              <w:rPr>
                <w:szCs w:val="20"/>
                <w:lang w:val="fr-FR"/>
              </w:rPr>
            </w:pPr>
            <w:r w:rsidRPr="00DD134C">
              <w:rPr>
                <w:szCs w:val="20"/>
                <w:lang w:val="fr-FR"/>
              </w:rPr>
              <w:t>D</w:t>
            </w:r>
            <w:r w:rsidR="00465E8E" w:rsidRPr="00DD134C">
              <w:rPr>
                <w:szCs w:val="20"/>
                <w:lang w:val="fr-FR"/>
              </w:rPr>
              <w:t>es groupes</w:t>
            </w:r>
            <w:r w:rsidR="00045659" w:rsidRPr="00DD134C">
              <w:rPr>
                <w:szCs w:val="20"/>
                <w:lang w:val="fr-FR"/>
              </w:rPr>
              <w:t xml:space="preserve"> spécifiques </w:t>
            </w:r>
            <w:r w:rsidR="00DD134C" w:rsidRPr="00DD134C">
              <w:rPr>
                <w:szCs w:val="20"/>
                <w:lang w:val="fr-FR"/>
              </w:rPr>
              <w:t>(par</w:t>
            </w:r>
            <w:r w:rsidR="00237715" w:rsidRPr="00DD134C">
              <w:rPr>
                <w:szCs w:val="20"/>
                <w:lang w:val="fr-FR"/>
              </w:rPr>
              <w:t xml:space="preserve"> type de </w:t>
            </w:r>
            <w:r w:rsidR="00045659" w:rsidRPr="00DD134C">
              <w:rPr>
                <w:szCs w:val="20"/>
                <w:lang w:val="fr-FR"/>
              </w:rPr>
              <w:t>moyens de subsistance</w:t>
            </w:r>
            <w:r w:rsidR="00237715" w:rsidRPr="00DD134C">
              <w:rPr>
                <w:szCs w:val="20"/>
                <w:lang w:val="fr-FR"/>
              </w:rPr>
              <w:t>)</w:t>
            </w:r>
            <w:r w:rsidR="00045659" w:rsidRPr="00DD134C">
              <w:rPr>
                <w:szCs w:val="20"/>
                <w:lang w:val="fr-FR"/>
              </w:rPr>
              <w:t> :</w:t>
            </w:r>
          </w:p>
          <w:p w:rsidR="008D5723" w:rsidRPr="00DD134C" w:rsidRDefault="00045659" w:rsidP="00237715">
            <w:pPr>
              <w:pStyle w:val="Char3CharCharChar"/>
              <w:keepNext/>
              <w:keepLines/>
              <w:numPr>
                <w:ilvl w:val="1"/>
                <w:numId w:val="1"/>
              </w:numPr>
              <w:spacing w:after="240" w:line="240" w:lineRule="auto"/>
              <w:ind w:left="1065" w:hanging="357"/>
              <w:contextualSpacing/>
              <w:rPr>
                <w:rFonts w:ascii="Arial" w:hAnsi="Arial" w:cs="Arial"/>
                <w:lang w:val="fr-FR"/>
              </w:rPr>
            </w:pPr>
            <w:r w:rsidRPr="00DD134C">
              <w:rPr>
                <w:rFonts w:ascii="Arial" w:hAnsi="Arial" w:cs="Arial"/>
                <w:lang w:val="fr-FR"/>
              </w:rPr>
              <w:t xml:space="preserve">les communautés </w:t>
            </w:r>
            <w:r w:rsidR="00237715" w:rsidRPr="00DD134C">
              <w:rPr>
                <w:rFonts w:ascii="Arial" w:hAnsi="Arial" w:cs="Arial"/>
                <w:lang w:val="fr-FR"/>
              </w:rPr>
              <w:t>d’éleveurs</w:t>
            </w:r>
            <w:r w:rsidR="008D5723" w:rsidRPr="00DD134C">
              <w:rPr>
                <w:rFonts w:ascii="Arial" w:hAnsi="Arial" w:cs="Arial"/>
                <w:lang w:val="fr-FR"/>
              </w:rPr>
              <w:t xml:space="preserve"> </w:t>
            </w:r>
            <w:r w:rsidR="00237715" w:rsidRPr="00DD134C">
              <w:rPr>
                <w:rFonts w:ascii="Arial" w:hAnsi="Arial" w:cs="Arial"/>
                <w:lang w:val="fr-FR"/>
              </w:rPr>
              <w:t>n’ayant pas de</w:t>
            </w:r>
            <w:r w:rsidRPr="00DD134C">
              <w:rPr>
                <w:rFonts w:ascii="Arial" w:hAnsi="Arial" w:cs="Arial"/>
                <w:lang w:val="fr-FR"/>
              </w:rPr>
              <w:t xml:space="preserve"> bétail ;</w:t>
            </w:r>
          </w:p>
          <w:p w:rsidR="008D5723" w:rsidRPr="00DD134C" w:rsidRDefault="00237715" w:rsidP="00237715">
            <w:pPr>
              <w:pStyle w:val="Char3CharCharChar"/>
              <w:keepNext/>
              <w:keepLines/>
              <w:numPr>
                <w:ilvl w:val="1"/>
                <w:numId w:val="1"/>
              </w:numPr>
              <w:spacing w:after="240" w:line="240" w:lineRule="auto"/>
              <w:ind w:left="1065" w:hanging="357"/>
              <w:contextualSpacing/>
              <w:rPr>
                <w:rFonts w:ascii="Arial" w:hAnsi="Arial" w:cs="Arial"/>
                <w:lang w:val="fr-FR"/>
              </w:rPr>
            </w:pPr>
            <w:r w:rsidRPr="00DD134C">
              <w:rPr>
                <w:rFonts w:ascii="Arial" w:hAnsi="Arial" w:cs="Arial"/>
                <w:lang w:val="fr-FR"/>
              </w:rPr>
              <w:t xml:space="preserve">les ménages d’agriculteurs n’ayant pas de </w:t>
            </w:r>
            <w:r w:rsidR="00045659" w:rsidRPr="00DD134C">
              <w:rPr>
                <w:rFonts w:ascii="Arial" w:hAnsi="Arial" w:cs="Arial"/>
                <w:lang w:val="fr-FR"/>
              </w:rPr>
              <w:t xml:space="preserve">terres </w:t>
            </w:r>
            <w:r w:rsidRPr="00DD134C">
              <w:rPr>
                <w:rFonts w:ascii="Arial" w:hAnsi="Arial" w:cs="Arial"/>
                <w:lang w:val="fr-FR"/>
              </w:rPr>
              <w:t xml:space="preserve">ni </w:t>
            </w:r>
            <w:r w:rsidR="00045659" w:rsidRPr="00DD134C">
              <w:rPr>
                <w:rFonts w:ascii="Arial" w:hAnsi="Arial" w:cs="Arial"/>
                <w:lang w:val="fr-FR"/>
              </w:rPr>
              <w:t>accès aux systèmes d’irrigation ;</w:t>
            </w:r>
          </w:p>
          <w:p w:rsidR="008D5723" w:rsidRPr="00DD134C" w:rsidRDefault="00045659" w:rsidP="00237715">
            <w:pPr>
              <w:pStyle w:val="Char3CharCharChar"/>
              <w:keepNext/>
              <w:keepLines/>
              <w:numPr>
                <w:ilvl w:val="1"/>
                <w:numId w:val="1"/>
              </w:numPr>
              <w:spacing w:after="240" w:line="240" w:lineRule="auto"/>
              <w:ind w:left="1065" w:hanging="357"/>
              <w:contextualSpacing/>
              <w:rPr>
                <w:rFonts w:ascii="Arial" w:hAnsi="Arial" w:cs="Arial"/>
                <w:lang w:val="fr-FR"/>
              </w:rPr>
            </w:pPr>
            <w:r w:rsidRPr="00DD134C">
              <w:rPr>
                <w:rFonts w:ascii="Arial" w:hAnsi="Arial" w:cs="Arial"/>
                <w:lang w:val="fr-FR"/>
              </w:rPr>
              <w:t xml:space="preserve">les ménages urbains </w:t>
            </w:r>
            <w:r w:rsidR="00237715" w:rsidRPr="00DD134C">
              <w:rPr>
                <w:rFonts w:ascii="Arial" w:hAnsi="Arial" w:cs="Arial"/>
                <w:lang w:val="fr-FR"/>
              </w:rPr>
              <w:t>n’ayant pas de</w:t>
            </w:r>
            <w:r w:rsidRPr="00DD134C">
              <w:rPr>
                <w:rFonts w:ascii="Arial" w:hAnsi="Arial" w:cs="Arial"/>
                <w:lang w:val="fr-FR"/>
              </w:rPr>
              <w:t xml:space="preserve"> logement permanent.</w:t>
            </w:r>
          </w:p>
        </w:tc>
      </w:tr>
    </w:tbl>
    <w:p w:rsidR="00506E40" w:rsidRPr="00DD134C" w:rsidRDefault="008D5723" w:rsidP="00237715">
      <w:pPr>
        <w:spacing w:after="360"/>
        <w:jc w:val="right"/>
        <w:rPr>
          <w:rFonts w:cs="Arial"/>
          <w:sz w:val="18"/>
          <w:lang w:val="fr-FR" w:eastAsia="es-ES"/>
        </w:rPr>
      </w:pPr>
      <w:r w:rsidRPr="00DD134C">
        <w:rPr>
          <w:rFonts w:cs="Arial"/>
          <w:sz w:val="18"/>
          <w:lang w:val="fr-FR" w:eastAsia="es-ES"/>
        </w:rPr>
        <w:t>Adapt</w:t>
      </w:r>
      <w:r w:rsidR="00806425" w:rsidRPr="00DD134C">
        <w:rPr>
          <w:rFonts w:cs="Arial"/>
          <w:sz w:val="18"/>
          <w:lang w:val="fr-FR" w:eastAsia="es-ES"/>
        </w:rPr>
        <w:t>é</w:t>
      </w:r>
      <w:r w:rsidR="00465E8E" w:rsidRPr="00DD134C">
        <w:rPr>
          <w:rFonts w:cs="Arial"/>
          <w:sz w:val="18"/>
          <w:lang w:val="fr-FR" w:eastAsia="es-ES"/>
        </w:rPr>
        <w:t xml:space="preserve"> </w:t>
      </w:r>
      <w:r w:rsidR="00237715" w:rsidRPr="00DD134C">
        <w:rPr>
          <w:rFonts w:cs="Arial"/>
          <w:sz w:val="18"/>
          <w:lang w:val="fr-FR" w:eastAsia="es-ES"/>
        </w:rPr>
        <w:t>d’</w:t>
      </w:r>
      <w:r w:rsidR="00506E40" w:rsidRPr="00DD134C">
        <w:rPr>
          <w:rFonts w:cs="Arial"/>
          <w:sz w:val="18"/>
          <w:lang w:val="fr-FR" w:eastAsia="es-ES"/>
        </w:rPr>
        <w:t>A</w:t>
      </w:r>
      <w:r w:rsidR="00237715" w:rsidRPr="00DD134C">
        <w:rPr>
          <w:rFonts w:cs="Arial"/>
          <w:sz w:val="18"/>
          <w:lang w:val="fr-FR" w:eastAsia="es-ES"/>
        </w:rPr>
        <w:t>ction contre la faim</w:t>
      </w:r>
      <w:r w:rsidR="00465E8E" w:rsidRPr="00DD134C">
        <w:rPr>
          <w:rFonts w:cs="Arial"/>
          <w:sz w:val="18"/>
          <w:lang w:val="fr-FR" w:eastAsia="es-ES"/>
        </w:rPr>
        <w:t>,</w:t>
      </w:r>
      <w:r w:rsidR="00506E40" w:rsidRPr="00DD134C">
        <w:rPr>
          <w:rFonts w:cs="Arial"/>
          <w:sz w:val="18"/>
          <w:lang w:val="fr-FR" w:eastAsia="es-ES"/>
        </w:rPr>
        <w:t xml:space="preserve"> 2007</w:t>
      </w:r>
      <w:r w:rsidR="002A645B" w:rsidRPr="00DD134C">
        <w:rPr>
          <w:rFonts w:cs="Arial"/>
          <w:sz w:val="18"/>
          <w:lang w:val="fr-FR" w:eastAsia="es-ES"/>
        </w:rPr>
        <w:t>.</w:t>
      </w:r>
    </w:p>
    <w:p w:rsidR="00045659" w:rsidRPr="00DD134C" w:rsidRDefault="00045659" w:rsidP="00237715">
      <w:pPr>
        <w:rPr>
          <w:rFonts w:cs="Arial"/>
          <w:lang w:val="fr-FR"/>
        </w:rPr>
      </w:pPr>
      <w:r w:rsidRPr="00DD134C">
        <w:rPr>
          <w:rFonts w:cs="Arial"/>
          <w:b/>
          <w:lang w:val="fr-FR"/>
        </w:rPr>
        <w:t xml:space="preserve">Les conseils clés </w:t>
      </w:r>
      <w:r w:rsidRPr="00DD134C">
        <w:rPr>
          <w:rFonts w:cs="Arial"/>
          <w:lang w:val="fr-FR"/>
        </w:rPr>
        <w:t xml:space="preserve">ci-dessous permettent de définir des critères de ciblage </w:t>
      </w:r>
      <w:r w:rsidR="00237715" w:rsidRPr="00DD134C">
        <w:rPr>
          <w:rFonts w:cs="Arial"/>
          <w:lang w:val="fr-FR"/>
        </w:rPr>
        <w:t>appropriés</w:t>
      </w:r>
      <w:r w:rsidRPr="00DD134C">
        <w:rPr>
          <w:rFonts w:cs="Arial"/>
          <w:lang w:val="fr-FR"/>
        </w:rPr>
        <w:t>.</w:t>
      </w:r>
    </w:p>
    <w:p w:rsidR="00045659" w:rsidRPr="00DD134C" w:rsidRDefault="00045659" w:rsidP="004445E8">
      <w:pPr>
        <w:pStyle w:val="Bullet2"/>
        <w:rPr>
          <w:lang w:val="fr-FR"/>
        </w:rPr>
      </w:pPr>
      <w:r w:rsidRPr="00DD134C">
        <w:rPr>
          <w:lang w:val="fr-FR"/>
        </w:rPr>
        <w:t>C</w:t>
      </w:r>
      <w:r w:rsidR="00BA1AD2" w:rsidRPr="00DD134C">
        <w:rPr>
          <w:lang w:val="fr-FR"/>
        </w:rPr>
        <w:t>onsultez</w:t>
      </w:r>
      <w:r w:rsidRPr="00DD134C">
        <w:rPr>
          <w:lang w:val="fr-FR"/>
        </w:rPr>
        <w:t xml:space="preserve"> la communauté touchée en organisant des discussions de groupe dans les zones géographiques </w:t>
      </w:r>
      <w:r w:rsidR="00B162D5" w:rsidRPr="00DD134C">
        <w:rPr>
          <w:lang w:val="fr-FR"/>
        </w:rPr>
        <w:t>concernées</w:t>
      </w:r>
      <w:r w:rsidRPr="00DD134C">
        <w:rPr>
          <w:lang w:val="fr-FR"/>
        </w:rPr>
        <w:t>.</w:t>
      </w:r>
    </w:p>
    <w:p w:rsidR="00CE3AF1" w:rsidRPr="00DD134C" w:rsidRDefault="00BA1AD2" w:rsidP="004445E8">
      <w:pPr>
        <w:pStyle w:val="Bullet2"/>
        <w:rPr>
          <w:lang w:val="fr-FR"/>
        </w:rPr>
      </w:pPr>
      <w:r w:rsidRPr="00DD134C">
        <w:rPr>
          <w:lang w:val="fr-FR"/>
        </w:rPr>
        <w:t>Définissez</w:t>
      </w:r>
      <w:r w:rsidR="00045659" w:rsidRPr="00DD134C">
        <w:rPr>
          <w:lang w:val="fr-FR"/>
        </w:rPr>
        <w:t xml:space="preserve"> des critères de ciblage accept</w:t>
      </w:r>
      <w:r w:rsidR="00806425" w:rsidRPr="00DD134C">
        <w:rPr>
          <w:lang w:val="fr-FR"/>
        </w:rPr>
        <w:t>ables pour la communauté et permetta</w:t>
      </w:r>
      <w:r w:rsidR="00045659" w:rsidRPr="00DD134C">
        <w:rPr>
          <w:lang w:val="fr-FR"/>
        </w:rPr>
        <w:t>nt d’identifier les ménages et les individus pouvant prétendre à une aide financière.</w:t>
      </w:r>
    </w:p>
    <w:p w:rsidR="00CE3AF1" w:rsidRPr="00DD134C" w:rsidRDefault="00806425" w:rsidP="00237715">
      <w:pPr>
        <w:pStyle w:val="Bullet2"/>
        <w:rPr>
          <w:lang w:val="fr-FR"/>
        </w:rPr>
      </w:pPr>
      <w:r w:rsidRPr="00DD134C">
        <w:rPr>
          <w:lang w:val="fr-FR"/>
        </w:rPr>
        <w:t>Un quota ciblant</w:t>
      </w:r>
      <w:r w:rsidR="00237715" w:rsidRPr="00DD134C">
        <w:rPr>
          <w:lang w:val="fr-FR"/>
        </w:rPr>
        <w:t xml:space="preserve"> 50 </w:t>
      </w:r>
      <w:r w:rsidR="0084603D" w:rsidRPr="00DD134C">
        <w:rPr>
          <w:lang w:val="fr-FR"/>
        </w:rPr>
        <w:t>% des ménages d’une communauté donnée peut constituer un bon point de départ. En fixant un quota inférieur, vous risq</w:t>
      </w:r>
      <w:r w:rsidR="00237715" w:rsidRPr="00DD134C">
        <w:rPr>
          <w:lang w:val="fr-FR"/>
        </w:rPr>
        <w:t>uez de consacrer trop de temps</w:t>
      </w:r>
      <w:r w:rsidR="0084603D" w:rsidRPr="00DD134C">
        <w:rPr>
          <w:lang w:val="fr-FR"/>
        </w:rPr>
        <w:t xml:space="preserve"> à </w:t>
      </w:r>
      <w:r w:rsidRPr="00DD134C">
        <w:rPr>
          <w:lang w:val="fr-FR"/>
        </w:rPr>
        <w:t>la correction des erreurs d</w:t>
      </w:r>
      <w:r w:rsidR="0084603D" w:rsidRPr="00DD134C">
        <w:rPr>
          <w:lang w:val="fr-FR"/>
        </w:rPr>
        <w:t>’exclusion</w:t>
      </w:r>
      <w:r w:rsidR="00237715" w:rsidRPr="00DD134C">
        <w:rPr>
          <w:lang w:val="fr-FR"/>
        </w:rPr>
        <w:t xml:space="preserve"> au moment de</w:t>
      </w:r>
      <w:r w:rsidR="00237715" w:rsidRPr="00DD134C">
        <w:rPr>
          <w:lang w:val="fr-FR"/>
        </w:rPr>
        <w:t xml:space="preserve"> la mise en œuvre</w:t>
      </w:r>
      <w:r w:rsidR="0084603D" w:rsidRPr="00DD134C">
        <w:rPr>
          <w:lang w:val="fr-FR"/>
        </w:rPr>
        <w:t>.</w:t>
      </w:r>
    </w:p>
    <w:p w:rsidR="0084603D" w:rsidRPr="00DD134C" w:rsidRDefault="00E72233" w:rsidP="004445E8">
      <w:pPr>
        <w:pStyle w:val="Bullet2"/>
        <w:rPr>
          <w:lang w:val="fr-FR"/>
        </w:rPr>
      </w:pPr>
      <w:r w:rsidRPr="00DD134C">
        <w:rPr>
          <w:lang w:val="fr-FR"/>
        </w:rPr>
        <w:t xml:space="preserve">Lorsque vous vous fondez sur des critères relatifs à la </w:t>
      </w:r>
      <w:r w:rsidR="009E1793" w:rsidRPr="00DD134C">
        <w:rPr>
          <w:lang w:val="fr-FR"/>
        </w:rPr>
        <w:t xml:space="preserve">vulnérabilité, </w:t>
      </w:r>
      <w:r w:rsidR="007311A5" w:rsidRPr="00DD134C">
        <w:rPr>
          <w:lang w:val="fr-FR"/>
        </w:rPr>
        <w:t>p</w:t>
      </w:r>
      <w:r w:rsidR="00BA1AD2" w:rsidRPr="00DD134C">
        <w:rPr>
          <w:lang w:val="fr-FR"/>
        </w:rPr>
        <w:t>renez</w:t>
      </w:r>
      <w:r w:rsidR="009E1793" w:rsidRPr="00DD134C">
        <w:rPr>
          <w:lang w:val="fr-FR"/>
        </w:rPr>
        <w:t xml:space="preserve"> le temps d’identifier les </w:t>
      </w:r>
      <w:r w:rsidR="006113E6" w:rsidRPr="00DD134C">
        <w:rPr>
          <w:lang w:val="fr-FR"/>
        </w:rPr>
        <w:t xml:space="preserve">indicateurs indirects </w:t>
      </w:r>
      <w:r w:rsidR="007311A5" w:rsidRPr="00DD134C">
        <w:rPr>
          <w:lang w:val="fr-FR"/>
        </w:rPr>
        <w:t>les plus appropriés pour</w:t>
      </w:r>
      <w:r w:rsidR="006113E6" w:rsidRPr="00DD134C">
        <w:rPr>
          <w:lang w:val="fr-FR"/>
        </w:rPr>
        <w:t xml:space="preserve"> identifier les groupes vulnérables : la vision qu</w:t>
      </w:r>
      <w:r w:rsidRPr="00DD134C">
        <w:rPr>
          <w:lang w:val="fr-FR"/>
        </w:rPr>
        <w:t>e se fait</w:t>
      </w:r>
      <w:r w:rsidR="006113E6" w:rsidRPr="00DD134C">
        <w:rPr>
          <w:lang w:val="fr-FR"/>
        </w:rPr>
        <w:t xml:space="preserve"> la communauté </w:t>
      </w:r>
      <w:r w:rsidRPr="00DD134C">
        <w:rPr>
          <w:lang w:val="fr-FR"/>
        </w:rPr>
        <w:t>de la</w:t>
      </w:r>
      <w:r w:rsidR="006113E6" w:rsidRPr="00DD134C">
        <w:rPr>
          <w:lang w:val="fr-FR"/>
        </w:rPr>
        <w:t xml:space="preserve"> vulnérabilité</w:t>
      </w:r>
      <w:r w:rsidRPr="00DD134C">
        <w:rPr>
          <w:lang w:val="fr-FR"/>
        </w:rPr>
        <w:t xml:space="preserve"> </w:t>
      </w:r>
      <w:r w:rsidR="006113E6" w:rsidRPr="00DD134C">
        <w:rPr>
          <w:lang w:val="fr-FR"/>
        </w:rPr>
        <w:t xml:space="preserve">peut différer </w:t>
      </w:r>
      <w:r w:rsidR="00BA1AD2" w:rsidRPr="00DD134C">
        <w:rPr>
          <w:lang w:val="fr-FR"/>
        </w:rPr>
        <w:t>de vos</w:t>
      </w:r>
      <w:r w:rsidR="006113E6" w:rsidRPr="00DD134C">
        <w:rPr>
          <w:lang w:val="fr-FR"/>
        </w:rPr>
        <w:t xml:space="preserve"> objectifs</w:t>
      </w:r>
      <w:r w:rsidR="007311A5" w:rsidRPr="00DD134C">
        <w:rPr>
          <w:lang w:val="fr-FR"/>
        </w:rPr>
        <w:t xml:space="preserve"> </w:t>
      </w:r>
      <w:r w:rsidR="006113E6" w:rsidRPr="00DD134C">
        <w:rPr>
          <w:lang w:val="fr-FR"/>
        </w:rPr>
        <w:t xml:space="preserve">et </w:t>
      </w:r>
      <w:r w:rsidR="007311A5" w:rsidRPr="00DD134C">
        <w:rPr>
          <w:lang w:val="fr-FR"/>
        </w:rPr>
        <w:t xml:space="preserve">il peut être nécessaire de </w:t>
      </w:r>
      <w:r w:rsidR="006113E6" w:rsidRPr="00DD134C">
        <w:rPr>
          <w:lang w:val="fr-FR"/>
        </w:rPr>
        <w:t>pr</w:t>
      </w:r>
      <w:r w:rsidR="007311A5" w:rsidRPr="00DD134C">
        <w:rPr>
          <w:lang w:val="fr-FR"/>
        </w:rPr>
        <w:t xml:space="preserve">endre le temps de concilier </w:t>
      </w:r>
      <w:r w:rsidR="00806425" w:rsidRPr="00DD134C">
        <w:rPr>
          <w:lang w:val="fr-FR"/>
        </w:rPr>
        <w:t>c</w:t>
      </w:r>
      <w:r w:rsidR="007311A5" w:rsidRPr="00DD134C">
        <w:rPr>
          <w:lang w:val="fr-FR"/>
        </w:rPr>
        <w:t>es différentes visions.</w:t>
      </w:r>
      <w:bookmarkStart w:id="0" w:name="_GoBack"/>
      <w:bookmarkEnd w:id="0"/>
    </w:p>
    <w:p w:rsidR="009A3B4D" w:rsidRPr="00DD134C" w:rsidRDefault="00AE7E2B" w:rsidP="00AE7E2B">
      <w:pPr>
        <w:pStyle w:val="Bullet2"/>
        <w:rPr>
          <w:lang w:val="fr-FR"/>
        </w:rPr>
      </w:pPr>
      <w:r w:rsidRPr="00DD134C">
        <w:rPr>
          <w:lang w:val="fr-FR"/>
        </w:rPr>
        <w:t>Décrivez votre</w:t>
      </w:r>
      <w:r w:rsidR="00D43900" w:rsidRPr="00DD134C">
        <w:rPr>
          <w:lang w:val="fr-FR"/>
        </w:rPr>
        <w:t xml:space="preserve"> </w:t>
      </w:r>
      <w:r w:rsidRPr="00DD134C">
        <w:rPr>
          <w:lang w:val="fr-FR"/>
        </w:rPr>
        <w:t>méthode et vos critères de</w:t>
      </w:r>
      <w:r w:rsidR="009A3B4D" w:rsidRPr="00DD134C">
        <w:rPr>
          <w:lang w:val="fr-FR"/>
        </w:rPr>
        <w:t xml:space="preserve"> ciblage dans </w:t>
      </w:r>
      <w:r w:rsidR="00BA1AD2" w:rsidRPr="00DD134C">
        <w:rPr>
          <w:lang w:val="fr-FR"/>
        </w:rPr>
        <w:t>le</w:t>
      </w:r>
      <w:r w:rsidR="009A3B4D" w:rsidRPr="00DD134C">
        <w:rPr>
          <w:lang w:val="fr-FR"/>
        </w:rPr>
        <w:t xml:space="preserve"> plan </w:t>
      </w:r>
      <w:r w:rsidR="00D43900" w:rsidRPr="00DD134C">
        <w:rPr>
          <w:lang w:val="fr-FR"/>
        </w:rPr>
        <w:t xml:space="preserve">relatif </w:t>
      </w:r>
      <w:r w:rsidR="00BA1AD2" w:rsidRPr="00DD134C">
        <w:rPr>
          <w:lang w:val="fr-FR"/>
        </w:rPr>
        <w:t>à</w:t>
      </w:r>
      <w:r w:rsidR="00491A57" w:rsidRPr="00DD134C">
        <w:rPr>
          <w:lang w:val="fr-FR"/>
        </w:rPr>
        <w:t xml:space="preserve"> la communication avec les bénéficiaires et à la redevabilité.</w:t>
      </w:r>
    </w:p>
    <w:p w:rsidR="00584D0F" w:rsidRPr="00DD134C" w:rsidRDefault="00584D0F" w:rsidP="00AE7E2B">
      <w:pPr>
        <w:spacing w:before="240"/>
        <w:rPr>
          <w:rFonts w:cs="Arial"/>
          <w:lang w:val="fr-FR"/>
        </w:rPr>
      </w:pPr>
      <w:r w:rsidRPr="00DD134C">
        <w:rPr>
          <w:rFonts w:cs="Arial"/>
          <w:lang w:val="fr-FR"/>
        </w:rPr>
        <w:t xml:space="preserve">Dans le cadre des programmes de transferts monétaires, vous devrez </w:t>
      </w:r>
      <w:r w:rsidR="00AE7E2B" w:rsidRPr="00DD134C">
        <w:rPr>
          <w:rFonts w:cs="Arial"/>
          <w:lang w:val="fr-FR"/>
        </w:rPr>
        <w:t>vous poser la question de savoir si vo</w:t>
      </w:r>
      <w:r w:rsidR="00082DED" w:rsidRPr="00DD134C">
        <w:rPr>
          <w:rFonts w:cs="Arial"/>
          <w:lang w:val="fr-FR"/>
        </w:rPr>
        <w:t>s cr</w:t>
      </w:r>
      <w:r w:rsidR="002A645B" w:rsidRPr="00DD134C">
        <w:rPr>
          <w:rFonts w:cs="Arial"/>
          <w:lang w:val="fr-FR"/>
        </w:rPr>
        <w:t>itères de ciblage sont adap</w:t>
      </w:r>
      <w:r w:rsidR="00082DED" w:rsidRPr="00DD134C">
        <w:rPr>
          <w:rFonts w:cs="Arial"/>
          <w:lang w:val="fr-FR"/>
        </w:rPr>
        <w:t>t</w:t>
      </w:r>
      <w:r w:rsidR="002A645B" w:rsidRPr="00DD134C">
        <w:rPr>
          <w:rFonts w:cs="Arial"/>
          <w:lang w:val="fr-FR"/>
        </w:rPr>
        <w:t>és</w:t>
      </w:r>
      <w:r w:rsidR="00082DED" w:rsidRPr="00DD134C">
        <w:rPr>
          <w:rFonts w:cs="Arial"/>
          <w:lang w:val="fr-FR"/>
        </w:rPr>
        <w:t xml:space="preserve"> </w:t>
      </w:r>
      <w:r w:rsidR="00082DED" w:rsidRPr="00DD134C">
        <w:rPr>
          <w:rFonts w:cs="Arial"/>
          <w:b/>
          <w:lang w:val="fr-FR"/>
        </w:rPr>
        <w:t>à la modalité et au mécanisme de transfert</w:t>
      </w:r>
      <w:r w:rsidR="00AE7E2B" w:rsidRPr="00DD134C">
        <w:rPr>
          <w:rFonts w:cs="Arial"/>
          <w:b/>
          <w:lang w:val="fr-FR"/>
        </w:rPr>
        <w:t>s</w:t>
      </w:r>
      <w:r w:rsidR="00082DED" w:rsidRPr="00DD134C">
        <w:rPr>
          <w:rFonts w:cs="Arial"/>
          <w:b/>
          <w:lang w:val="fr-FR"/>
        </w:rPr>
        <w:t xml:space="preserve"> choisis</w:t>
      </w:r>
      <w:r w:rsidR="00082DED" w:rsidRPr="00DD134C">
        <w:rPr>
          <w:rFonts w:cs="Arial"/>
          <w:lang w:val="fr-FR"/>
        </w:rPr>
        <w:t>.</w:t>
      </w:r>
      <w:r w:rsidRPr="00DD134C">
        <w:rPr>
          <w:rFonts w:cs="Arial"/>
          <w:lang w:val="fr-FR"/>
        </w:rPr>
        <w:t xml:space="preserve"> </w:t>
      </w:r>
    </w:p>
    <w:p w:rsidR="00082DED" w:rsidRPr="00DD134C" w:rsidRDefault="00082DED" w:rsidP="004445E8">
      <w:pPr>
        <w:pStyle w:val="Bullet2"/>
        <w:rPr>
          <w:lang w:val="fr-FR"/>
        </w:rPr>
      </w:pPr>
      <w:r w:rsidRPr="00DD134C">
        <w:rPr>
          <w:lang w:val="fr-FR"/>
        </w:rPr>
        <w:t>Les bénéficiaires visés pourront-ils accéder aux marchés locaux pour acheter les biens et les services prévus ?</w:t>
      </w:r>
    </w:p>
    <w:p w:rsidR="00D34645" w:rsidRPr="00DD134C" w:rsidRDefault="00082DED" w:rsidP="004445E8">
      <w:pPr>
        <w:pStyle w:val="Bullet2"/>
        <w:rPr>
          <w:lang w:val="fr-FR"/>
        </w:rPr>
      </w:pPr>
      <w:r w:rsidRPr="00DD134C">
        <w:rPr>
          <w:lang w:val="fr-FR"/>
        </w:rPr>
        <w:t>Les bénéficiaires visés disposent-ils des compétences techniques nécessaires pour recevoir des transferts monétaires par le biais d</w:t>
      </w:r>
      <w:r w:rsidR="00BA1AD2" w:rsidRPr="00DD134C">
        <w:rPr>
          <w:lang w:val="fr-FR"/>
        </w:rPr>
        <w:t>’</w:t>
      </w:r>
      <w:r w:rsidRPr="00DD134C">
        <w:rPr>
          <w:lang w:val="fr-FR"/>
        </w:rPr>
        <w:t>opérateurs de téléphonie mobile ?</w:t>
      </w:r>
    </w:p>
    <w:p w:rsidR="00D34645" w:rsidRPr="00DD134C" w:rsidRDefault="00082DED" w:rsidP="004445E8">
      <w:pPr>
        <w:pStyle w:val="Bullet2"/>
        <w:rPr>
          <w:lang w:val="fr-FR"/>
        </w:rPr>
      </w:pPr>
      <w:r w:rsidRPr="00DD134C">
        <w:rPr>
          <w:lang w:val="fr-FR"/>
        </w:rPr>
        <w:t>Les bénéficiaires visés disposent-ils des pièces justificatives nécessaires pour avoir un compte bancaire ?</w:t>
      </w:r>
    </w:p>
    <w:p w:rsidR="00D34645" w:rsidRPr="00DD134C" w:rsidRDefault="00082DED" w:rsidP="00AE7E2B">
      <w:pPr>
        <w:rPr>
          <w:rFonts w:cs="Arial"/>
          <w:lang w:val="fr-FR"/>
        </w:rPr>
      </w:pPr>
      <w:r w:rsidRPr="00DD134C">
        <w:rPr>
          <w:rFonts w:cs="Arial"/>
          <w:lang w:val="fr-FR"/>
        </w:rPr>
        <w:t xml:space="preserve">Les </w:t>
      </w:r>
      <w:r w:rsidR="00AE7E2B" w:rsidRPr="00DD134C">
        <w:rPr>
          <w:rFonts w:cs="Arial"/>
          <w:lang w:val="fr-FR"/>
        </w:rPr>
        <w:t>questions relative</w:t>
      </w:r>
      <w:r w:rsidRPr="00DD134C">
        <w:rPr>
          <w:rFonts w:cs="Arial"/>
          <w:lang w:val="fr-FR"/>
        </w:rPr>
        <w:t>s à votre objectif, aux groupes cibles visés ainsi qu’aux modalités et aux mécanismes de transfert</w:t>
      </w:r>
      <w:r w:rsidR="00AE7E2B" w:rsidRPr="00DD134C">
        <w:rPr>
          <w:rFonts w:cs="Arial"/>
          <w:lang w:val="fr-FR"/>
        </w:rPr>
        <w:t>s</w:t>
      </w:r>
      <w:r w:rsidRPr="00DD134C">
        <w:rPr>
          <w:rFonts w:cs="Arial"/>
          <w:lang w:val="fr-FR"/>
        </w:rPr>
        <w:t xml:space="preserve"> (</w:t>
      </w:r>
      <w:r w:rsidR="00AE7E2B" w:rsidRPr="00DD134C">
        <w:rPr>
          <w:rFonts w:cs="Arial"/>
          <w:lang w:val="fr-FR"/>
        </w:rPr>
        <w:t>organismes tiers</w:t>
      </w:r>
      <w:r w:rsidRPr="00DD134C">
        <w:rPr>
          <w:rFonts w:cs="Arial"/>
          <w:lang w:val="fr-FR"/>
        </w:rPr>
        <w:t xml:space="preserve"> et méthode</w:t>
      </w:r>
      <w:r w:rsidR="00BA1AD2" w:rsidRPr="00DD134C">
        <w:rPr>
          <w:rFonts w:cs="Arial"/>
          <w:lang w:val="fr-FR"/>
        </w:rPr>
        <w:t>s</w:t>
      </w:r>
      <w:r w:rsidRPr="00DD134C">
        <w:rPr>
          <w:rFonts w:cs="Arial"/>
          <w:lang w:val="fr-FR"/>
        </w:rPr>
        <w:t>) sont tou</w:t>
      </w:r>
      <w:r w:rsidR="00AE7E2B" w:rsidRPr="00DD134C">
        <w:rPr>
          <w:rFonts w:cs="Arial"/>
          <w:lang w:val="fr-FR"/>
        </w:rPr>
        <w:t>te</w:t>
      </w:r>
      <w:r w:rsidRPr="00DD134C">
        <w:rPr>
          <w:rFonts w:cs="Arial"/>
          <w:lang w:val="fr-FR"/>
        </w:rPr>
        <w:t>s étroitement lié</w:t>
      </w:r>
      <w:r w:rsidR="00AE7E2B" w:rsidRPr="00DD134C">
        <w:rPr>
          <w:rFonts w:cs="Arial"/>
          <w:lang w:val="fr-FR"/>
        </w:rPr>
        <w:t>e</w:t>
      </w:r>
      <w:r w:rsidRPr="00DD134C">
        <w:rPr>
          <w:rFonts w:cs="Arial"/>
          <w:lang w:val="fr-FR"/>
        </w:rPr>
        <w:t>s et vous aideront à faire le meilleur choix.</w:t>
      </w:r>
    </w:p>
    <w:sectPr w:rsidR="00D34645" w:rsidRPr="00DD134C" w:rsidSect="00D578D1">
      <w:headerReference w:type="default" r:id="rId8"/>
      <w:footerReference w:type="even" r:id="rId9"/>
      <w:footerReference w:type="default" r:id="rId10"/>
      <w:pgSz w:w="11900" w:h="16840"/>
      <w:pgMar w:top="1134" w:right="1134" w:bottom="1134" w:left="1134"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B55" w:rsidRDefault="00A87B55" w:rsidP="00E81734">
      <w:r>
        <w:separator/>
      </w:r>
    </w:p>
  </w:endnote>
  <w:endnote w:type="continuationSeparator" w:id="0">
    <w:p w:rsidR="00A87B55" w:rsidRDefault="00A87B55" w:rsidP="00E81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34" w:rsidRDefault="00005C4A" w:rsidP="00C12DD5">
    <w:pPr>
      <w:pStyle w:val="Footer"/>
      <w:framePr w:wrap="around" w:vAnchor="text" w:hAnchor="margin" w:xAlign="right" w:y="1"/>
      <w:rPr>
        <w:rStyle w:val="PageNumber"/>
      </w:rPr>
    </w:pPr>
    <w:r>
      <w:rPr>
        <w:rStyle w:val="PageNumber"/>
      </w:rPr>
      <w:fldChar w:fldCharType="begin"/>
    </w:r>
    <w:r w:rsidR="00E81734">
      <w:rPr>
        <w:rStyle w:val="PageNumber"/>
      </w:rPr>
      <w:instrText xml:space="preserve">PAGE  </w:instrText>
    </w:r>
    <w:r>
      <w:rPr>
        <w:rStyle w:val="PageNumber"/>
      </w:rPr>
      <w:fldChar w:fldCharType="end"/>
    </w:r>
  </w:p>
  <w:p w:rsidR="00E81734" w:rsidRDefault="00E81734" w:rsidP="00E817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8D1" w:rsidRPr="00B45C74" w:rsidRDefault="00005C4A"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D578D1"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DD134C">
      <w:rPr>
        <w:b/>
        <w:noProof/>
        <w:color w:val="808080" w:themeColor="background1" w:themeShade="80"/>
        <w:sz w:val="18"/>
        <w:szCs w:val="18"/>
      </w:rPr>
      <w:t>2</w:t>
    </w:r>
    <w:r w:rsidRPr="00B45C74">
      <w:rPr>
        <w:b/>
        <w:color w:val="808080" w:themeColor="background1" w:themeShade="80"/>
        <w:sz w:val="18"/>
        <w:szCs w:val="18"/>
      </w:rPr>
      <w:fldChar w:fldCharType="end"/>
    </w:r>
  </w:p>
  <w:p w:rsidR="00D578D1" w:rsidRPr="00F84975" w:rsidRDefault="00D578D1" w:rsidP="00ED1B2B">
    <w:pPr>
      <w:pStyle w:val="Footer"/>
      <w:rPr>
        <w:lang w:val="fr-FR"/>
      </w:rPr>
    </w:pPr>
    <w:r w:rsidRPr="00F84975">
      <w:rPr>
        <w:b/>
        <w:lang w:val="fr-FR"/>
      </w:rPr>
      <w:t>Module 3.</w:t>
    </w:r>
    <w:r w:rsidRPr="00F84975">
      <w:rPr>
        <w:lang w:val="fr-FR"/>
      </w:rPr>
      <w:t xml:space="preserve"> </w:t>
    </w:r>
    <w:r w:rsidR="00F84975">
      <w:rPr>
        <w:lang w:val="fr-FR"/>
      </w:rPr>
      <w:t>É</w:t>
    </w:r>
    <w:r w:rsidR="00F84975" w:rsidRPr="00F84975">
      <w:rPr>
        <w:lang w:val="fr-FR"/>
      </w:rPr>
      <w:t>tape</w:t>
    </w:r>
    <w:r w:rsidRPr="00F84975">
      <w:rPr>
        <w:lang w:val="fr-FR"/>
      </w:rPr>
      <w:t xml:space="preserve"> 3. </w:t>
    </w:r>
    <w:r w:rsidR="00F84975">
      <w:rPr>
        <w:lang w:val="fr-FR"/>
      </w:rPr>
      <w:t>É</w:t>
    </w:r>
    <w:r w:rsidR="00F84975" w:rsidRPr="00F84975">
      <w:rPr>
        <w:lang w:val="fr-FR"/>
      </w:rPr>
      <w:t>tape subsidiaire</w:t>
    </w:r>
    <w:r w:rsidRPr="00F84975">
      <w:rPr>
        <w:lang w:val="fr-FR"/>
      </w:rPr>
      <w:t xml:space="preserve"> 2. </w:t>
    </w:r>
    <w:r w:rsidR="00DD134C">
      <w:fldChar w:fldCharType="begin"/>
    </w:r>
    <w:r w:rsidR="00DD134C">
      <w:instrText xml:space="preserve"> STYLEREF  H1 \t  \* MERGEFORMAT </w:instrText>
    </w:r>
    <w:r w:rsidR="00DD134C">
      <w:fldChar w:fldCharType="separate"/>
    </w:r>
    <w:r w:rsidR="00DD134C" w:rsidRPr="00DD134C">
      <w:rPr>
        <w:bCs/>
        <w:noProof/>
        <w:lang w:val="fr-FR"/>
      </w:rPr>
      <w:t>Critères</w:t>
    </w:r>
    <w:r w:rsidR="00DD134C" w:rsidRPr="00DD134C">
      <w:rPr>
        <w:i/>
        <w:noProof/>
        <w:lang w:val="fr-FR"/>
      </w:rPr>
      <w:t xml:space="preserve"> </w:t>
    </w:r>
    <w:r w:rsidR="00DD134C" w:rsidRPr="00DD134C">
      <w:rPr>
        <w:noProof/>
        <w:lang w:val="fr-FR"/>
      </w:rPr>
      <w:t>de ciblage</w:t>
    </w:r>
    <w:r w:rsidR="00DD134C">
      <w:rPr>
        <w:noProof/>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B55" w:rsidRDefault="00A87B55" w:rsidP="00E81734">
      <w:r>
        <w:separator/>
      </w:r>
    </w:p>
  </w:footnote>
  <w:footnote w:type="continuationSeparator" w:id="0">
    <w:p w:rsidR="00A87B55" w:rsidRDefault="00A87B55" w:rsidP="00E817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8D1" w:rsidRPr="00F84975" w:rsidRDefault="00F84975" w:rsidP="009439F5">
    <w:pPr>
      <w:pStyle w:val="Header"/>
      <w:rPr>
        <w:sz w:val="14"/>
        <w:szCs w:val="14"/>
        <w:lang w:val="fr-FR"/>
      </w:rPr>
    </w:pPr>
    <w:r>
      <w:rPr>
        <w:rStyle w:val="Pantone485"/>
        <w:sz w:val="14"/>
        <w:szCs w:val="14"/>
        <w:lang w:val="fr-FR"/>
      </w:rPr>
      <w:t>Mouvement international de la Croix-Rouge et du Croissant-Rouge</w:t>
    </w:r>
    <w:r w:rsidR="00D578D1" w:rsidRPr="00F84975">
      <w:rPr>
        <w:rFonts w:cs="Caecilia-Light"/>
        <w:color w:val="FF0000"/>
        <w:sz w:val="14"/>
        <w:szCs w:val="14"/>
        <w:lang w:val="fr-FR"/>
      </w:rPr>
      <w:t xml:space="preserve"> </w:t>
    </w:r>
    <w:r w:rsidR="00D578D1" w:rsidRPr="00F84975">
      <w:rPr>
        <w:rStyle w:val="PageNumber"/>
        <w:bCs/>
        <w:sz w:val="14"/>
        <w:szCs w:val="14"/>
        <w:lang w:val="fr-FR"/>
      </w:rPr>
      <w:t>I</w:t>
    </w:r>
    <w:r w:rsidR="00D578D1" w:rsidRPr="00F84975">
      <w:rPr>
        <w:rStyle w:val="PageNumber"/>
        <w:color w:val="FF0000"/>
        <w:sz w:val="14"/>
        <w:szCs w:val="14"/>
        <w:lang w:val="fr-FR"/>
      </w:rPr>
      <w:t xml:space="preserve"> </w:t>
    </w:r>
    <w:r>
      <w:rPr>
        <w:b/>
        <w:sz w:val="14"/>
        <w:szCs w:val="14"/>
        <w:lang w:val="fr-FR"/>
      </w:rPr>
      <w:t xml:space="preserve">Boîte à outils pour </w:t>
    </w:r>
    <w:r w:rsidR="009439F5">
      <w:rPr>
        <w:b/>
        <w:sz w:val="14"/>
        <w:szCs w:val="14"/>
        <w:lang w:val="fr-FR"/>
      </w:rPr>
      <w:t>les transferts monétaires</w:t>
    </w:r>
    <w:r>
      <w:rPr>
        <w:b/>
        <w:sz w:val="14"/>
        <w:szCs w:val="14"/>
        <w:lang w:val="fr-FR"/>
      </w:rPr>
      <w:t xml:space="preserve"> dans les situations d’urgence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C00848"/>
    <w:lvl w:ilvl="0">
      <w:start w:val="1"/>
      <w:numFmt w:val="decimal"/>
      <w:lvlText w:val="%1."/>
      <w:lvlJc w:val="left"/>
      <w:pPr>
        <w:tabs>
          <w:tab w:val="num" w:pos="1492"/>
        </w:tabs>
        <w:ind w:left="1492" w:hanging="360"/>
      </w:pPr>
    </w:lvl>
  </w:abstractNum>
  <w:abstractNum w:abstractNumId="1">
    <w:nsid w:val="FFFFFF7D"/>
    <w:multiLevelType w:val="singleLevel"/>
    <w:tmpl w:val="4648990E"/>
    <w:lvl w:ilvl="0">
      <w:start w:val="1"/>
      <w:numFmt w:val="decimal"/>
      <w:lvlText w:val="%1."/>
      <w:lvlJc w:val="left"/>
      <w:pPr>
        <w:tabs>
          <w:tab w:val="num" w:pos="1209"/>
        </w:tabs>
        <w:ind w:left="1209" w:hanging="360"/>
      </w:pPr>
    </w:lvl>
  </w:abstractNum>
  <w:abstractNum w:abstractNumId="2">
    <w:nsid w:val="FFFFFF7E"/>
    <w:multiLevelType w:val="singleLevel"/>
    <w:tmpl w:val="37367C32"/>
    <w:lvl w:ilvl="0">
      <w:start w:val="1"/>
      <w:numFmt w:val="decimal"/>
      <w:lvlText w:val="%1."/>
      <w:lvlJc w:val="left"/>
      <w:pPr>
        <w:tabs>
          <w:tab w:val="num" w:pos="926"/>
        </w:tabs>
        <w:ind w:left="926" w:hanging="360"/>
      </w:pPr>
    </w:lvl>
  </w:abstractNum>
  <w:abstractNum w:abstractNumId="3">
    <w:nsid w:val="FFFFFF7F"/>
    <w:multiLevelType w:val="singleLevel"/>
    <w:tmpl w:val="9B129E16"/>
    <w:lvl w:ilvl="0">
      <w:start w:val="1"/>
      <w:numFmt w:val="decimal"/>
      <w:lvlText w:val="%1."/>
      <w:lvlJc w:val="left"/>
      <w:pPr>
        <w:tabs>
          <w:tab w:val="num" w:pos="643"/>
        </w:tabs>
        <w:ind w:left="643" w:hanging="360"/>
      </w:pPr>
    </w:lvl>
  </w:abstractNum>
  <w:abstractNum w:abstractNumId="4">
    <w:nsid w:val="FFFFFF80"/>
    <w:multiLevelType w:val="singleLevel"/>
    <w:tmpl w:val="AD5425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2905C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34E3B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BB074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BDCD850"/>
    <w:lvl w:ilvl="0">
      <w:start w:val="1"/>
      <w:numFmt w:val="decimal"/>
      <w:lvlText w:val="%1."/>
      <w:lvlJc w:val="left"/>
      <w:pPr>
        <w:tabs>
          <w:tab w:val="num" w:pos="360"/>
        </w:tabs>
        <w:ind w:left="360" w:hanging="360"/>
      </w:pPr>
    </w:lvl>
  </w:abstractNum>
  <w:abstractNum w:abstractNumId="9">
    <w:nsid w:val="FFFFFF89"/>
    <w:multiLevelType w:val="singleLevel"/>
    <w:tmpl w:val="91A84464"/>
    <w:lvl w:ilvl="0">
      <w:start w:val="1"/>
      <w:numFmt w:val="bullet"/>
      <w:lvlText w:val=""/>
      <w:lvlJc w:val="left"/>
      <w:pPr>
        <w:tabs>
          <w:tab w:val="num" w:pos="360"/>
        </w:tabs>
        <w:ind w:left="360" w:hanging="360"/>
      </w:pPr>
      <w:rPr>
        <w:rFonts w:ascii="Symbol" w:hAnsi="Symbol" w:hint="default"/>
      </w:rPr>
    </w:lvl>
  </w:abstractNum>
  <w:abstractNum w:abstractNumId="1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5DA368A"/>
    <w:multiLevelType w:val="hybridMultilevel"/>
    <w:tmpl w:val="18AE271C"/>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Verdana" w:hint="default"/>
      </w:rPr>
    </w:lvl>
    <w:lvl w:ilvl="2" w:tplc="FFFFFFFF">
      <w:start w:val="1"/>
      <w:numFmt w:val="bullet"/>
      <w:lvlText w:val="-"/>
      <w:lvlJc w:val="left"/>
      <w:pPr>
        <w:ind w:left="1800" w:hanging="360"/>
      </w:pPr>
      <w:rPr>
        <w:rFonts w:ascii="Times New Roman" w:hAnsi="Times New Roman"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Verdana"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Verdana" w:hint="default"/>
      </w:rPr>
    </w:lvl>
    <w:lvl w:ilvl="8" w:tplc="FFFFFFFF" w:tentative="1">
      <w:start w:val="1"/>
      <w:numFmt w:val="bullet"/>
      <w:lvlText w:val=""/>
      <w:lvlJc w:val="left"/>
      <w:pPr>
        <w:ind w:left="6120" w:hanging="360"/>
      </w:pPr>
      <w:rPr>
        <w:rFonts w:ascii="Wingdings" w:hAnsi="Wingdings" w:hint="default"/>
      </w:rPr>
    </w:lvl>
  </w:abstractNum>
  <w:abstractNum w:abstractNumId="12">
    <w:nsid w:val="0D68791B"/>
    <w:multiLevelType w:val="hybridMultilevel"/>
    <w:tmpl w:val="B1CA433C"/>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24E669C"/>
    <w:multiLevelType w:val="hybridMultilevel"/>
    <w:tmpl w:val="6BE47FF8"/>
    <w:lvl w:ilvl="0" w:tplc="6694C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5B545D"/>
    <w:multiLevelType w:val="hybridMultilevel"/>
    <w:tmpl w:val="68DC3330"/>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A881827"/>
    <w:multiLevelType w:val="hybridMultilevel"/>
    <w:tmpl w:val="A1B2AA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F11403"/>
    <w:multiLevelType w:val="hybridMultilevel"/>
    <w:tmpl w:val="F990B43C"/>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E9D7CDD"/>
    <w:multiLevelType w:val="hybridMultilevel"/>
    <w:tmpl w:val="0BEA8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62FF1820"/>
    <w:multiLevelType w:val="hybridMultilevel"/>
    <w:tmpl w:val="6A3E23A2"/>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AF57536"/>
    <w:multiLevelType w:val="hybridMultilevel"/>
    <w:tmpl w:val="F15E39E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5">
    <w:nsid w:val="7F453D21"/>
    <w:multiLevelType w:val="hybridMultilevel"/>
    <w:tmpl w:val="D03C1976"/>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7"/>
  </w:num>
  <w:num w:numId="4">
    <w:abstractNumId w:val="25"/>
  </w:num>
  <w:num w:numId="5">
    <w:abstractNumId w:val="12"/>
  </w:num>
  <w:num w:numId="6">
    <w:abstractNumId w:val="22"/>
  </w:num>
  <w:num w:numId="7">
    <w:abstractNumId w:val="15"/>
  </w:num>
  <w:num w:numId="8">
    <w:abstractNumId w:val="16"/>
  </w:num>
  <w:num w:numId="9">
    <w:abstractNumId w:val="24"/>
  </w:num>
  <w:num w:numId="10">
    <w:abstractNumId w:val="20"/>
  </w:num>
  <w:num w:numId="11">
    <w:abstractNumId w:val="10"/>
  </w:num>
  <w:num w:numId="12">
    <w:abstractNumId w:val="18"/>
  </w:num>
  <w:num w:numId="13">
    <w:abstractNumId w:val="14"/>
  </w:num>
  <w:num w:numId="14">
    <w:abstractNumId w:val="19"/>
  </w:num>
  <w:num w:numId="15">
    <w:abstractNumId w:val="23"/>
  </w:num>
  <w:num w:numId="16">
    <w:abstractNumId w:val="2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embedSystemFonts/>
  <w:proofState w:spelling="clean" w:grammar="clean"/>
  <w:attachedTemplate r:id="rId1"/>
  <w:linkStyles/>
  <w:defaultTabStop w:val="708"/>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06E40"/>
    <w:rsid w:val="00005C4A"/>
    <w:rsid w:val="000113E9"/>
    <w:rsid w:val="00030296"/>
    <w:rsid w:val="00045659"/>
    <w:rsid w:val="00046059"/>
    <w:rsid w:val="00082DED"/>
    <w:rsid w:val="001B5F9F"/>
    <w:rsid w:val="00237715"/>
    <w:rsid w:val="00281526"/>
    <w:rsid w:val="002A645B"/>
    <w:rsid w:val="002B2F1F"/>
    <w:rsid w:val="002F07DC"/>
    <w:rsid w:val="003A0910"/>
    <w:rsid w:val="003E3FF1"/>
    <w:rsid w:val="004445E8"/>
    <w:rsid w:val="00465E8E"/>
    <w:rsid w:val="004755A9"/>
    <w:rsid w:val="0048440D"/>
    <w:rsid w:val="00491A57"/>
    <w:rsid w:val="00496653"/>
    <w:rsid w:val="004A4A13"/>
    <w:rsid w:val="004B2803"/>
    <w:rsid w:val="0050433D"/>
    <w:rsid w:val="00506E40"/>
    <w:rsid w:val="00523B60"/>
    <w:rsid w:val="00525140"/>
    <w:rsid w:val="005772C5"/>
    <w:rsid w:val="00584D0F"/>
    <w:rsid w:val="005B0263"/>
    <w:rsid w:val="005E0FD1"/>
    <w:rsid w:val="006113E6"/>
    <w:rsid w:val="006C1EE8"/>
    <w:rsid w:val="00717F2D"/>
    <w:rsid w:val="007311A5"/>
    <w:rsid w:val="00743CB7"/>
    <w:rsid w:val="0075002D"/>
    <w:rsid w:val="007A49F6"/>
    <w:rsid w:val="0080144E"/>
    <w:rsid w:val="00806425"/>
    <w:rsid w:val="0084603D"/>
    <w:rsid w:val="00847BE9"/>
    <w:rsid w:val="00894793"/>
    <w:rsid w:val="0089750D"/>
    <w:rsid w:val="008A2E96"/>
    <w:rsid w:val="008D5723"/>
    <w:rsid w:val="009238D1"/>
    <w:rsid w:val="00925178"/>
    <w:rsid w:val="009439F5"/>
    <w:rsid w:val="00976E7E"/>
    <w:rsid w:val="009A3B4D"/>
    <w:rsid w:val="009B12F9"/>
    <w:rsid w:val="009E1793"/>
    <w:rsid w:val="00A2325B"/>
    <w:rsid w:val="00A46524"/>
    <w:rsid w:val="00A87B55"/>
    <w:rsid w:val="00AB776A"/>
    <w:rsid w:val="00AC21D4"/>
    <w:rsid w:val="00AE7E2B"/>
    <w:rsid w:val="00B162D5"/>
    <w:rsid w:val="00B30CF3"/>
    <w:rsid w:val="00BA1AD2"/>
    <w:rsid w:val="00BA25A0"/>
    <w:rsid w:val="00BC41B0"/>
    <w:rsid w:val="00BC5765"/>
    <w:rsid w:val="00C35E9D"/>
    <w:rsid w:val="00C44DEA"/>
    <w:rsid w:val="00CB00BC"/>
    <w:rsid w:val="00CE3AF1"/>
    <w:rsid w:val="00D34645"/>
    <w:rsid w:val="00D43900"/>
    <w:rsid w:val="00D43B31"/>
    <w:rsid w:val="00D50D6B"/>
    <w:rsid w:val="00D578D1"/>
    <w:rsid w:val="00D94799"/>
    <w:rsid w:val="00D95835"/>
    <w:rsid w:val="00DA0B04"/>
    <w:rsid w:val="00DA4A07"/>
    <w:rsid w:val="00DC16F0"/>
    <w:rsid w:val="00DC2F73"/>
    <w:rsid w:val="00DD0631"/>
    <w:rsid w:val="00DD134C"/>
    <w:rsid w:val="00DD4274"/>
    <w:rsid w:val="00E430A4"/>
    <w:rsid w:val="00E504AA"/>
    <w:rsid w:val="00E72233"/>
    <w:rsid w:val="00E81734"/>
    <w:rsid w:val="00E94DAA"/>
    <w:rsid w:val="00EA7616"/>
    <w:rsid w:val="00EB5E5C"/>
    <w:rsid w:val="00EB6A50"/>
    <w:rsid w:val="00EC0920"/>
    <w:rsid w:val="00F27D48"/>
    <w:rsid w:val="00F84975"/>
    <w:rsid w:val="00F9797B"/>
    <w:rsid w:val="00FA3686"/>
    <w:rsid w:val="00FC5843"/>
    <w:rsid w:val="00FC6AD0"/>
  </w:rsids>
  <m:mathPr>
    <m:mathFont m:val="Cambria Math"/>
    <m:brkBin m:val="before"/>
    <m:brkBinSub m:val="--"/>
    <m:smallFrac m:val="0"/>
    <m:dispDef m:val="0"/>
    <m:lMargin m:val="0"/>
    <m:rMargin m:val="0"/>
    <m:defJc m:val="centerGroup"/>
    <m:wrapRight/>
    <m:intLim m:val="subSup"/>
    <m:naryLim m:val="subSup"/>
  </m:mathPr>
  <w:themeFontLang w:val="fr-CH"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lsdException w:name="heading 2" w:uiPriority="9" w:qFormat="1"/>
    <w:lsdException w:name="heading 3" w:uiPriority="9" w:qFormat="1"/>
    <w:lsdException w:name="footnote text" w:uiPriority="99"/>
    <w:lsdException w:name="header" w:uiPriority="99"/>
    <w:lsdException w:name="footer" w:uiPriority="99"/>
    <w:lsdException w:name="footnote reference" w:uiPriority="99"/>
    <w:lsdException w:name="annotation reference" w:uiPriority="99"/>
    <w:lsdException w:name="page number" w:uiPriority="99"/>
    <w:lsdException w:name="Default Paragraph Font" w:uiPriority="1"/>
    <w:lsdException w:name="Hyperlink" w:uiPriority="99"/>
    <w:lsdException w:name="FollowedHyperlink" w:uiPriority="99"/>
    <w:lsdException w:name="annotation subject" w:uiPriority="99"/>
    <w:lsdException w:name="No List" w:uiPriority="99"/>
    <w:lsdException w:name="Balloon Text" w:uiPriority="99"/>
    <w:lsdException w:name="Table Grid" w:uiPriority="59"/>
    <w:lsdException w:name="Revision" w:uiPriority="99"/>
    <w:lsdException w:name="List Paragraph" w:uiPriority="34" w:qFormat="1"/>
  </w:latentStyles>
  <w:style w:type="paragraph" w:default="1" w:styleId="Normal">
    <w:name w:val="Normal"/>
    <w:qFormat/>
    <w:rsid w:val="000113E9"/>
    <w:pPr>
      <w:spacing w:after="120"/>
      <w:jc w:val="both"/>
    </w:pPr>
    <w:rPr>
      <w:rFonts w:ascii="Arial" w:eastAsiaTheme="minorEastAsia" w:hAnsi="Arial" w:cs="Times New Roman"/>
      <w:sz w:val="20"/>
      <w:szCs w:val="20"/>
    </w:rPr>
  </w:style>
  <w:style w:type="paragraph" w:styleId="Heading1">
    <w:name w:val="heading 1"/>
    <w:basedOn w:val="H1"/>
    <w:next w:val="Normal"/>
    <w:link w:val="Heading1Char"/>
    <w:uiPriority w:val="9"/>
    <w:rsid w:val="000113E9"/>
  </w:style>
  <w:style w:type="paragraph" w:styleId="Heading2">
    <w:name w:val="heading 2"/>
    <w:basedOn w:val="Normal"/>
    <w:next w:val="Normal"/>
    <w:link w:val="Heading2Char"/>
    <w:uiPriority w:val="9"/>
    <w:unhideWhenUsed/>
    <w:qFormat/>
    <w:rsid w:val="000113E9"/>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0113E9"/>
    <w:pPr>
      <w:keepNext/>
      <w:spacing w:before="240"/>
      <w:jc w:val="left"/>
      <w:outlineLvl w:val="2"/>
    </w:pPr>
    <w:rPr>
      <w:b/>
      <w:sz w:val="2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3E9"/>
    <w:rPr>
      <w:rFonts w:ascii="Arial" w:eastAsiaTheme="minorEastAsia" w:hAnsi="Arial" w:cs="Times New Roman"/>
      <w:b/>
      <w:sz w:val="40"/>
      <w:szCs w:val="52"/>
    </w:rPr>
  </w:style>
  <w:style w:type="paragraph" w:customStyle="1" w:styleId="Char3CharCharChar">
    <w:name w:val="Char3 Char Char Char"/>
    <w:basedOn w:val="Normal"/>
    <w:rsid w:val="00506E40"/>
    <w:pPr>
      <w:spacing w:after="160" w:line="240" w:lineRule="exact"/>
    </w:pPr>
    <w:rPr>
      <w:rFonts w:ascii="Verdana" w:eastAsia="Times New Roman" w:hAnsi="Verdana"/>
    </w:rPr>
  </w:style>
  <w:style w:type="paragraph" w:customStyle="1" w:styleId="Textetable">
    <w:name w:val="Textetable"/>
    <w:basedOn w:val="Normal"/>
    <w:rsid w:val="00506E40"/>
    <w:pPr>
      <w:spacing w:before="80" w:after="80"/>
    </w:pPr>
    <w:rPr>
      <w:rFonts w:eastAsia="Times New Roman"/>
      <w:lang w:eastAsia="fr-FR"/>
    </w:rPr>
  </w:style>
  <w:style w:type="paragraph" w:styleId="ListParagraph">
    <w:name w:val="List Paragraph"/>
    <w:basedOn w:val="Normal"/>
    <w:link w:val="ListParagraphChar"/>
    <w:uiPriority w:val="34"/>
    <w:qFormat/>
    <w:rsid w:val="000113E9"/>
    <w:pPr>
      <w:spacing w:after="240"/>
      <w:ind w:left="720"/>
      <w:contextualSpacing/>
    </w:pPr>
    <w:rPr>
      <w:rFonts w:eastAsiaTheme="minorHAnsi" w:cstheme="minorBidi"/>
      <w:szCs w:val="22"/>
    </w:rPr>
  </w:style>
  <w:style w:type="table" w:styleId="TableGrid">
    <w:name w:val="Table Grid"/>
    <w:basedOn w:val="TableNormal"/>
    <w:uiPriority w:val="59"/>
    <w:rsid w:val="000113E9"/>
    <w:rPr>
      <w:rFonts w:ascii="Cambria" w:eastAsiaTheme="minorEastAs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13E9"/>
    <w:pPr>
      <w:spacing w:after="0" w:line="288" w:lineRule="auto"/>
      <w:jc w:val="left"/>
    </w:pPr>
    <w:rPr>
      <w:sz w:val="16"/>
    </w:rPr>
  </w:style>
  <w:style w:type="character" w:customStyle="1" w:styleId="HeaderChar">
    <w:name w:val="Header Char"/>
    <w:basedOn w:val="DefaultParagraphFont"/>
    <w:link w:val="Header"/>
    <w:uiPriority w:val="99"/>
    <w:rsid w:val="000113E9"/>
    <w:rPr>
      <w:rFonts w:ascii="Arial" w:eastAsiaTheme="minorEastAsia" w:hAnsi="Arial" w:cs="Times New Roman"/>
      <w:sz w:val="16"/>
      <w:szCs w:val="20"/>
    </w:rPr>
  </w:style>
  <w:style w:type="paragraph" w:styleId="Footer">
    <w:name w:val="footer"/>
    <w:basedOn w:val="Normal"/>
    <w:link w:val="FooterChar"/>
    <w:uiPriority w:val="99"/>
    <w:unhideWhenUsed/>
    <w:rsid w:val="000113E9"/>
    <w:pPr>
      <w:spacing w:after="0"/>
      <w:jc w:val="left"/>
    </w:pPr>
    <w:rPr>
      <w:sz w:val="16"/>
      <w:szCs w:val="18"/>
    </w:rPr>
  </w:style>
  <w:style w:type="character" w:customStyle="1" w:styleId="FooterChar">
    <w:name w:val="Footer Char"/>
    <w:basedOn w:val="DefaultParagraphFont"/>
    <w:link w:val="Footer"/>
    <w:uiPriority w:val="99"/>
    <w:rsid w:val="000113E9"/>
    <w:rPr>
      <w:rFonts w:ascii="Arial" w:eastAsiaTheme="minorEastAsia" w:hAnsi="Arial" w:cs="Times New Roman"/>
      <w:sz w:val="16"/>
      <w:szCs w:val="18"/>
    </w:rPr>
  </w:style>
  <w:style w:type="character" w:styleId="PageNumber">
    <w:name w:val="page number"/>
    <w:basedOn w:val="DefaultParagraphFont"/>
    <w:uiPriority w:val="99"/>
    <w:unhideWhenUsed/>
    <w:rsid w:val="000113E9"/>
    <w:rPr>
      <w:b/>
    </w:rPr>
  </w:style>
  <w:style w:type="character" w:customStyle="1" w:styleId="ListParagraphChar">
    <w:name w:val="List Paragraph Char"/>
    <w:basedOn w:val="DefaultParagraphFont"/>
    <w:link w:val="ListParagraph"/>
    <w:uiPriority w:val="34"/>
    <w:rsid w:val="000113E9"/>
    <w:rPr>
      <w:rFonts w:ascii="Arial" w:hAnsi="Arial"/>
      <w:sz w:val="20"/>
      <w:szCs w:val="22"/>
    </w:rPr>
  </w:style>
  <w:style w:type="character" w:customStyle="1" w:styleId="Heading2Char">
    <w:name w:val="Heading 2 Char"/>
    <w:basedOn w:val="DefaultParagraphFont"/>
    <w:link w:val="Heading2"/>
    <w:uiPriority w:val="9"/>
    <w:rsid w:val="000113E9"/>
    <w:rPr>
      <w:rFonts w:ascii="Arial" w:eastAsiaTheme="minorEastAsia" w:hAnsi="Arial" w:cs="Times New Roman"/>
      <w:b/>
      <w:caps/>
      <w:szCs w:val="26"/>
    </w:rPr>
  </w:style>
  <w:style w:type="character" w:customStyle="1" w:styleId="Heading3Char">
    <w:name w:val="Heading 3 Char"/>
    <w:basedOn w:val="DefaultParagraphFont"/>
    <w:link w:val="Heading3"/>
    <w:uiPriority w:val="9"/>
    <w:rsid w:val="000113E9"/>
    <w:rPr>
      <w:rFonts w:ascii="Arial" w:eastAsiaTheme="minorEastAsia" w:hAnsi="Arial" w:cs="Times New Roman"/>
      <w:b/>
      <w:sz w:val="22"/>
    </w:rPr>
  </w:style>
  <w:style w:type="paragraph" w:customStyle="1" w:styleId="Default">
    <w:name w:val="Default"/>
    <w:rsid w:val="000113E9"/>
    <w:pPr>
      <w:widowControl w:val="0"/>
      <w:autoSpaceDE w:val="0"/>
      <w:autoSpaceDN w:val="0"/>
      <w:adjustRightInd w:val="0"/>
    </w:pPr>
    <w:rPr>
      <w:rFonts w:ascii="Arial" w:eastAsiaTheme="minorEastAsia" w:hAnsi="Arial" w:cs="Arial"/>
      <w:color w:val="000000"/>
    </w:rPr>
  </w:style>
  <w:style w:type="character" w:styleId="CommentReference">
    <w:name w:val="annotation reference"/>
    <w:basedOn w:val="DefaultParagraphFont"/>
    <w:uiPriority w:val="99"/>
    <w:unhideWhenUsed/>
    <w:rsid w:val="000113E9"/>
    <w:rPr>
      <w:sz w:val="18"/>
      <w:szCs w:val="18"/>
    </w:rPr>
  </w:style>
  <w:style w:type="paragraph" w:styleId="CommentText">
    <w:name w:val="annotation text"/>
    <w:basedOn w:val="Normal"/>
    <w:link w:val="CommentTextChar"/>
    <w:rsid w:val="00D578D1"/>
  </w:style>
  <w:style w:type="character" w:customStyle="1" w:styleId="CommentTextChar">
    <w:name w:val="Comment Text Char"/>
    <w:basedOn w:val="DefaultParagraphFont"/>
    <w:link w:val="CommentText"/>
    <w:rsid w:val="00D578D1"/>
    <w:rPr>
      <w:rFonts w:ascii="Arial" w:eastAsiaTheme="minorEastAsia" w:hAnsi="Arial" w:cs="Times New Roman"/>
      <w:sz w:val="20"/>
      <w:szCs w:val="20"/>
    </w:rPr>
  </w:style>
  <w:style w:type="paragraph" w:styleId="CommentSubject">
    <w:name w:val="annotation subject"/>
    <w:basedOn w:val="Normal"/>
    <w:link w:val="CommentSubjectChar"/>
    <w:uiPriority w:val="99"/>
    <w:unhideWhenUsed/>
    <w:rsid w:val="000113E9"/>
    <w:rPr>
      <w:b/>
      <w:bCs/>
    </w:rPr>
  </w:style>
  <w:style w:type="character" w:customStyle="1" w:styleId="CommentSubjectChar">
    <w:name w:val="Comment Subject Char"/>
    <w:basedOn w:val="DefaultParagraphFont"/>
    <w:link w:val="CommentSubject"/>
    <w:uiPriority w:val="99"/>
    <w:rsid w:val="000113E9"/>
    <w:rPr>
      <w:rFonts w:ascii="Arial" w:eastAsiaTheme="minorEastAsia" w:hAnsi="Arial" w:cs="Times New Roman"/>
      <w:b/>
      <w:bCs/>
      <w:sz w:val="20"/>
      <w:szCs w:val="20"/>
    </w:rPr>
  </w:style>
  <w:style w:type="paragraph" w:styleId="BalloonText">
    <w:name w:val="Balloon Text"/>
    <w:basedOn w:val="Normal"/>
    <w:link w:val="BalloonTextChar"/>
    <w:uiPriority w:val="99"/>
    <w:unhideWhenUsed/>
    <w:rsid w:val="000113E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0113E9"/>
    <w:rPr>
      <w:rFonts w:ascii="Lucida Grande" w:eastAsiaTheme="minorEastAsia" w:hAnsi="Lucida Grande" w:cs="Lucida Grande"/>
      <w:sz w:val="18"/>
      <w:szCs w:val="18"/>
    </w:rPr>
  </w:style>
  <w:style w:type="character" w:styleId="Hyperlink">
    <w:name w:val="Hyperlink"/>
    <w:basedOn w:val="DefaultParagraphFont"/>
    <w:uiPriority w:val="99"/>
    <w:unhideWhenUsed/>
    <w:rsid w:val="000113E9"/>
    <w:rPr>
      <w:color w:val="0000FF" w:themeColor="hyperlink"/>
      <w:u w:val="single"/>
    </w:rPr>
  </w:style>
  <w:style w:type="character" w:styleId="FollowedHyperlink">
    <w:name w:val="FollowedHyperlink"/>
    <w:basedOn w:val="DefaultParagraphFont"/>
    <w:uiPriority w:val="99"/>
    <w:unhideWhenUsed/>
    <w:rsid w:val="000113E9"/>
    <w:rPr>
      <w:color w:val="800080" w:themeColor="followedHyperlink"/>
      <w:u w:val="single"/>
    </w:rPr>
  </w:style>
  <w:style w:type="paragraph" w:styleId="FootnoteText">
    <w:name w:val="footnote text"/>
    <w:basedOn w:val="Normal"/>
    <w:link w:val="FootnoteTextChar"/>
    <w:uiPriority w:val="99"/>
    <w:unhideWhenUsed/>
    <w:rsid w:val="000113E9"/>
    <w:pPr>
      <w:spacing w:after="0"/>
    </w:pPr>
    <w:rPr>
      <w:sz w:val="16"/>
      <w:szCs w:val="22"/>
    </w:rPr>
  </w:style>
  <w:style w:type="character" w:customStyle="1" w:styleId="FootnoteTextChar">
    <w:name w:val="Footnote Text Char"/>
    <w:basedOn w:val="DefaultParagraphFont"/>
    <w:link w:val="FootnoteText"/>
    <w:uiPriority w:val="99"/>
    <w:rsid w:val="000113E9"/>
    <w:rPr>
      <w:rFonts w:ascii="Arial" w:eastAsiaTheme="minorEastAsia" w:hAnsi="Arial" w:cs="Times New Roman"/>
      <w:sz w:val="16"/>
      <w:szCs w:val="22"/>
    </w:rPr>
  </w:style>
  <w:style w:type="character" w:styleId="FootnoteReference">
    <w:name w:val="footnote reference"/>
    <w:basedOn w:val="DefaultParagraphFont"/>
    <w:uiPriority w:val="99"/>
    <w:unhideWhenUsed/>
    <w:rsid w:val="000113E9"/>
    <w:rPr>
      <w:vertAlign w:val="superscript"/>
    </w:rPr>
  </w:style>
  <w:style w:type="paragraph" w:styleId="Revision">
    <w:name w:val="Revision"/>
    <w:hidden/>
    <w:uiPriority w:val="99"/>
    <w:rsid w:val="000113E9"/>
    <w:rPr>
      <w:rFonts w:ascii="Arial" w:eastAsiaTheme="minorEastAsia" w:hAnsi="Arial" w:cs="Arial"/>
      <w:sz w:val="21"/>
      <w:szCs w:val="21"/>
    </w:rPr>
  </w:style>
  <w:style w:type="paragraph" w:customStyle="1" w:styleId="BasicParagraph">
    <w:name w:val="[Basic Paragraph]"/>
    <w:basedOn w:val="Normal"/>
    <w:uiPriority w:val="99"/>
    <w:rsid w:val="000113E9"/>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0113E9"/>
    <w:pPr>
      <w:spacing w:before="360" w:after="240"/>
      <w:jc w:val="left"/>
      <w:outlineLvl w:val="0"/>
    </w:pPr>
    <w:rPr>
      <w:b/>
      <w:sz w:val="40"/>
      <w:szCs w:val="52"/>
    </w:rPr>
  </w:style>
  <w:style w:type="paragraph" w:customStyle="1" w:styleId="Bullet1">
    <w:name w:val="Bullet 1"/>
    <w:basedOn w:val="Normal"/>
    <w:rsid w:val="000113E9"/>
    <w:pPr>
      <w:numPr>
        <w:numId w:val="13"/>
      </w:numPr>
      <w:spacing w:before="60"/>
    </w:pPr>
    <w:rPr>
      <w:rFonts w:eastAsia="Times New Roman"/>
      <w:color w:val="000000"/>
    </w:rPr>
  </w:style>
  <w:style w:type="paragraph" w:customStyle="1" w:styleId="RefItem1">
    <w:name w:val="Ref Item 1"/>
    <w:basedOn w:val="Normal"/>
    <w:rsid w:val="000113E9"/>
    <w:pPr>
      <w:jc w:val="left"/>
    </w:pPr>
    <w:rPr>
      <w:color w:val="000000"/>
      <w:szCs w:val="24"/>
      <w:lang w:eastAsia="it-IT"/>
    </w:rPr>
  </w:style>
  <w:style w:type="paragraph" w:customStyle="1" w:styleId="RefTitre">
    <w:name w:val="Ref Titre"/>
    <w:basedOn w:val="Normal"/>
    <w:rsid w:val="000113E9"/>
    <w:pPr>
      <w:jc w:val="left"/>
    </w:pPr>
    <w:rPr>
      <w:rFonts w:eastAsia="Times New Roman"/>
      <w:b/>
      <w:bCs/>
      <w:sz w:val="26"/>
      <w:szCs w:val="26"/>
    </w:rPr>
  </w:style>
  <w:style w:type="paragraph" w:customStyle="1" w:styleId="Header1">
    <w:name w:val="Header 1"/>
    <w:basedOn w:val="Header"/>
    <w:rsid w:val="000113E9"/>
    <w:rPr>
      <w:b/>
      <w:sz w:val="24"/>
      <w:szCs w:val="24"/>
    </w:rPr>
  </w:style>
  <w:style w:type="character" w:customStyle="1" w:styleId="Pantone485">
    <w:name w:val="Pantone 485"/>
    <w:basedOn w:val="DefaultParagraphFont"/>
    <w:uiPriority w:val="1"/>
    <w:qFormat/>
    <w:rsid w:val="000113E9"/>
    <w:rPr>
      <w:rFonts w:cs="Caecilia-Light"/>
      <w:color w:val="DC281E"/>
      <w:szCs w:val="16"/>
    </w:rPr>
  </w:style>
  <w:style w:type="character" w:customStyle="1" w:styleId="H1Char">
    <w:name w:val="H1 Char"/>
    <w:basedOn w:val="DefaultParagraphFont"/>
    <w:link w:val="H1"/>
    <w:rsid w:val="000113E9"/>
    <w:rPr>
      <w:rFonts w:ascii="Arial" w:eastAsiaTheme="minorEastAsia" w:hAnsi="Arial" w:cs="Times New Roman"/>
      <w:b/>
      <w:sz w:val="40"/>
      <w:szCs w:val="52"/>
    </w:rPr>
  </w:style>
  <w:style w:type="table" w:customStyle="1" w:styleId="TableGray">
    <w:name w:val="Table Gray"/>
    <w:basedOn w:val="TableNormal"/>
    <w:uiPriority w:val="99"/>
    <w:rsid w:val="000113E9"/>
    <w:rPr>
      <w:rFonts w:eastAsiaTheme="minorEastAsia" w:cs="Times New Roman"/>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0113E9"/>
    <w:pPr>
      <w:numPr>
        <w:numId w:val="14"/>
      </w:numPr>
      <w:tabs>
        <w:tab w:val="left" w:pos="7230"/>
      </w:tabs>
      <w:spacing w:before="120" w:after="120"/>
      <w:contextualSpacing w:val="0"/>
    </w:pPr>
    <w:rPr>
      <w:rFonts w:cs="Arial"/>
    </w:rPr>
  </w:style>
  <w:style w:type="paragraph" w:customStyle="1" w:styleId="ListNumber1">
    <w:name w:val="List Number 1"/>
    <w:basedOn w:val="Normal"/>
    <w:rsid w:val="000113E9"/>
    <w:pPr>
      <w:numPr>
        <w:ilvl w:val="1"/>
        <w:numId w:val="11"/>
      </w:numPr>
      <w:contextualSpacing/>
    </w:pPr>
    <w:rPr>
      <w:rFonts w:eastAsiaTheme="minorHAnsi" w:cstheme="minorHAnsi"/>
      <w:szCs w:val="22"/>
    </w:rPr>
  </w:style>
  <w:style w:type="paragraph" w:customStyle="1" w:styleId="NormalNo">
    <w:name w:val="Normal + No"/>
    <w:basedOn w:val="Normal"/>
    <w:qFormat/>
    <w:rsid w:val="000113E9"/>
    <w:pPr>
      <w:numPr>
        <w:numId w:val="12"/>
      </w:numPr>
    </w:pPr>
    <w:rPr>
      <w:rFonts w:eastAsia="MS Mincho"/>
      <w:b/>
      <w:sz w:val="22"/>
    </w:rPr>
  </w:style>
  <w:style w:type="paragraph" w:customStyle="1" w:styleId="Bullet3">
    <w:name w:val="Bullet 3"/>
    <w:basedOn w:val="ListParagraph"/>
    <w:qFormat/>
    <w:rsid w:val="000113E9"/>
    <w:pPr>
      <w:numPr>
        <w:numId w:val="15"/>
      </w:numPr>
      <w:spacing w:before="120" w:after="120"/>
      <w:ind w:right="425"/>
    </w:pPr>
    <w:rPr>
      <w:rFonts w:cs="Arial"/>
      <w:i/>
      <w:iCs/>
    </w:rPr>
  </w:style>
  <w:style w:type="paragraph" w:customStyle="1" w:styleId="Indent">
    <w:name w:val="Indent"/>
    <w:basedOn w:val="Normal"/>
    <w:qFormat/>
    <w:rsid w:val="000113E9"/>
    <w:pPr>
      <w:ind w:left="567"/>
    </w:pPr>
    <w:rPr>
      <w:rFonts w:cs="Arial"/>
      <w:b/>
    </w:rPr>
  </w:style>
  <w:style w:type="paragraph" w:customStyle="1" w:styleId="TitreTableau">
    <w:name w:val="Titre Tableau"/>
    <w:basedOn w:val="Normal"/>
    <w:qFormat/>
    <w:rsid w:val="000113E9"/>
    <w:pPr>
      <w:spacing w:before="120"/>
      <w:jc w:val="center"/>
    </w:pPr>
    <w:rPr>
      <w:rFonts w:cs="Arial"/>
      <w:b/>
      <w:bCs/>
      <w:color w:val="FFFFFF" w:themeColor="background1"/>
      <w:lang w:val="en-CA"/>
    </w:rPr>
  </w:style>
  <w:style w:type="paragraph" w:customStyle="1" w:styleId="BulletTableau">
    <w:name w:val="Bullet Tableau"/>
    <w:basedOn w:val="Bullet2"/>
    <w:qFormat/>
    <w:rsid w:val="000113E9"/>
    <w:pPr>
      <w:keepNext/>
      <w:keepLines/>
      <w:framePr w:hSpace="141" w:wrap="around" w:vAnchor="text" w:hAnchor="margin" w:y="402"/>
      <w:numPr>
        <w:numId w:val="16"/>
      </w:numPr>
      <w:spacing w:beforeLines="60" w:afterLines="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lsdException w:name="heading 2" w:uiPriority="9" w:qFormat="1"/>
    <w:lsdException w:name="heading 3" w:uiPriority="9" w:qFormat="1"/>
    <w:lsdException w:name="footnote text" w:uiPriority="99"/>
    <w:lsdException w:name="header" w:uiPriority="99"/>
    <w:lsdException w:name="footer" w:uiPriority="99"/>
    <w:lsdException w:name="footnote reference" w:uiPriority="99"/>
    <w:lsdException w:name="annotation reference" w:uiPriority="99"/>
    <w:lsdException w:name="page number" w:uiPriority="99"/>
    <w:lsdException w:name="Default Paragraph Font" w:uiPriority="1"/>
    <w:lsdException w:name="Hyperlink" w:uiPriority="99"/>
    <w:lsdException w:name="FollowedHyperlink" w:uiPriority="99"/>
    <w:lsdException w:name="annotation subject" w:uiPriority="99"/>
    <w:lsdException w:name="No List" w:uiPriority="99"/>
    <w:lsdException w:name="Balloon Text" w:uiPriority="99"/>
    <w:lsdException w:name="Table Grid" w:uiPriority="59"/>
    <w:lsdException w:name="Revision" w:uiPriority="99"/>
    <w:lsdException w:name="List Paragraph" w:uiPriority="34" w:qFormat="1"/>
  </w:latentStyles>
  <w:style w:type="paragraph" w:default="1" w:styleId="Normal">
    <w:name w:val="Normal"/>
    <w:qFormat/>
    <w:rsid w:val="000113E9"/>
    <w:pPr>
      <w:spacing w:after="120"/>
      <w:jc w:val="both"/>
    </w:pPr>
    <w:rPr>
      <w:rFonts w:ascii="Arial" w:eastAsiaTheme="minorEastAsia" w:hAnsi="Arial" w:cs="Times New Roman"/>
      <w:sz w:val="20"/>
      <w:szCs w:val="20"/>
    </w:rPr>
  </w:style>
  <w:style w:type="paragraph" w:styleId="Heading1">
    <w:name w:val="heading 1"/>
    <w:basedOn w:val="H1"/>
    <w:next w:val="Normal"/>
    <w:link w:val="Heading1Char"/>
    <w:uiPriority w:val="9"/>
    <w:rsid w:val="000113E9"/>
  </w:style>
  <w:style w:type="paragraph" w:styleId="Heading2">
    <w:name w:val="heading 2"/>
    <w:basedOn w:val="Normal"/>
    <w:next w:val="Normal"/>
    <w:link w:val="Heading2Char"/>
    <w:uiPriority w:val="9"/>
    <w:unhideWhenUsed/>
    <w:qFormat/>
    <w:rsid w:val="000113E9"/>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0113E9"/>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3E9"/>
    <w:rPr>
      <w:rFonts w:ascii="Arial" w:eastAsiaTheme="minorEastAsia" w:hAnsi="Arial" w:cs="Times New Roman"/>
      <w:b/>
      <w:sz w:val="40"/>
      <w:szCs w:val="52"/>
    </w:rPr>
  </w:style>
  <w:style w:type="paragraph" w:customStyle="1" w:styleId="Char3CharCharChar">
    <w:name w:val="Char3 Char Char Char"/>
    <w:basedOn w:val="Normal"/>
    <w:rsid w:val="00506E40"/>
    <w:pPr>
      <w:spacing w:after="160" w:line="240" w:lineRule="exact"/>
    </w:pPr>
    <w:rPr>
      <w:rFonts w:ascii="Verdana" w:eastAsia="Times New Roman" w:hAnsi="Verdana"/>
    </w:rPr>
  </w:style>
  <w:style w:type="paragraph" w:customStyle="1" w:styleId="Textetable">
    <w:name w:val="Textetable"/>
    <w:basedOn w:val="Normal"/>
    <w:rsid w:val="00506E40"/>
    <w:pPr>
      <w:spacing w:before="80" w:after="80"/>
    </w:pPr>
    <w:rPr>
      <w:rFonts w:eastAsia="Times New Roman"/>
      <w:lang w:eastAsia="fr-FR"/>
    </w:rPr>
  </w:style>
  <w:style w:type="paragraph" w:styleId="ListParagraph">
    <w:name w:val="List Paragraph"/>
    <w:basedOn w:val="Normal"/>
    <w:link w:val="ListParagraphChar"/>
    <w:uiPriority w:val="34"/>
    <w:qFormat/>
    <w:rsid w:val="000113E9"/>
    <w:pPr>
      <w:spacing w:after="240"/>
      <w:ind w:left="720"/>
      <w:contextualSpacing/>
    </w:pPr>
    <w:rPr>
      <w:rFonts w:eastAsiaTheme="minorHAnsi" w:cstheme="minorBidi"/>
      <w:szCs w:val="22"/>
    </w:rPr>
  </w:style>
  <w:style w:type="table" w:styleId="TableGrid">
    <w:name w:val="Table Grid"/>
    <w:basedOn w:val="TableNormal"/>
    <w:uiPriority w:val="59"/>
    <w:rsid w:val="000113E9"/>
    <w:rPr>
      <w:rFonts w:ascii="Cambria" w:eastAsiaTheme="minorEastAs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13E9"/>
    <w:pPr>
      <w:spacing w:after="0" w:line="288" w:lineRule="auto"/>
      <w:jc w:val="left"/>
    </w:pPr>
    <w:rPr>
      <w:sz w:val="16"/>
    </w:rPr>
  </w:style>
  <w:style w:type="character" w:customStyle="1" w:styleId="HeaderChar">
    <w:name w:val="Header Char"/>
    <w:basedOn w:val="DefaultParagraphFont"/>
    <w:link w:val="Header"/>
    <w:uiPriority w:val="99"/>
    <w:rsid w:val="000113E9"/>
    <w:rPr>
      <w:rFonts w:ascii="Arial" w:eastAsiaTheme="minorEastAsia" w:hAnsi="Arial" w:cs="Times New Roman"/>
      <w:sz w:val="16"/>
      <w:szCs w:val="20"/>
    </w:rPr>
  </w:style>
  <w:style w:type="paragraph" w:styleId="Footer">
    <w:name w:val="footer"/>
    <w:basedOn w:val="Normal"/>
    <w:link w:val="FooterChar"/>
    <w:uiPriority w:val="99"/>
    <w:unhideWhenUsed/>
    <w:rsid w:val="000113E9"/>
    <w:pPr>
      <w:spacing w:after="0"/>
      <w:jc w:val="left"/>
    </w:pPr>
    <w:rPr>
      <w:sz w:val="16"/>
      <w:szCs w:val="18"/>
    </w:rPr>
  </w:style>
  <w:style w:type="character" w:customStyle="1" w:styleId="FooterChar">
    <w:name w:val="Footer Char"/>
    <w:basedOn w:val="DefaultParagraphFont"/>
    <w:link w:val="Footer"/>
    <w:uiPriority w:val="99"/>
    <w:rsid w:val="000113E9"/>
    <w:rPr>
      <w:rFonts w:ascii="Arial" w:eastAsiaTheme="minorEastAsia" w:hAnsi="Arial" w:cs="Times New Roman"/>
      <w:sz w:val="16"/>
      <w:szCs w:val="18"/>
    </w:rPr>
  </w:style>
  <w:style w:type="character" w:styleId="PageNumber">
    <w:name w:val="page number"/>
    <w:basedOn w:val="DefaultParagraphFont"/>
    <w:uiPriority w:val="99"/>
    <w:unhideWhenUsed/>
    <w:rsid w:val="000113E9"/>
    <w:rPr>
      <w:b/>
    </w:rPr>
  </w:style>
  <w:style w:type="character" w:customStyle="1" w:styleId="ListParagraphChar">
    <w:name w:val="List Paragraph Char"/>
    <w:basedOn w:val="DefaultParagraphFont"/>
    <w:link w:val="ListParagraph"/>
    <w:uiPriority w:val="34"/>
    <w:rsid w:val="000113E9"/>
    <w:rPr>
      <w:rFonts w:ascii="Arial" w:hAnsi="Arial"/>
      <w:sz w:val="20"/>
      <w:szCs w:val="22"/>
    </w:rPr>
  </w:style>
  <w:style w:type="character" w:customStyle="1" w:styleId="Heading2Char">
    <w:name w:val="Heading 2 Char"/>
    <w:basedOn w:val="DefaultParagraphFont"/>
    <w:link w:val="Heading2"/>
    <w:uiPriority w:val="9"/>
    <w:rsid w:val="000113E9"/>
    <w:rPr>
      <w:rFonts w:ascii="Arial" w:eastAsiaTheme="minorEastAsia" w:hAnsi="Arial" w:cs="Times New Roman"/>
      <w:b/>
      <w:caps/>
      <w:szCs w:val="26"/>
    </w:rPr>
  </w:style>
  <w:style w:type="character" w:customStyle="1" w:styleId="Heading3Char">
    <w:name w:val="Heading 3 Char"/>
    <w:basedOn w:val="DefaultParagraphFont"/>
    <w:link w:val="Heading3"/>
    <w:uiPriority w:val="9"/>
    <w:rsid w:val="000113E9"/>
    <w:rPr>
      <w:rFonts w:ascii="Arial" w:eastAsiaTheme="minorEastAsia" w:hAnsi="Arial" w:cs="Times New Roman"/>
      <w:b/>
      <w:sz w:val="22"/>
    </w:rPr>
  </w:style>
  <w:style w:type="paragraph" w:customStyle="1" w:styleId="Default">
    <w:name w:val="Default"/>
    <w:rsid w:val="000113E9"/>
    <w:pPr>
      <w:widowControl w:val="0"/>
      <w:autoSpaceDE w:val="0"/>
      <w:autoSpaceDN w:val="0"/>
      <w:adjustRightInd w:val="0"/>
    </w:pPr>
    <w:rPr>
      <w:rFonts w:ascii="Arial" w:eastAsiaTheme="minorEastAsia" w:hAnsi="Arial" w:cs="Arial"/>
      <w:color w:val="000000"/>
    </w:rPr>
  </w:style>
  <w:style w:type="character" w:styleId="CommentReference">
    <w:name w:val="annotation reference"/>
    <w:basedOn w:val="DefaultParagraphFont"/>
    <w:uiPriority w:val="99"/>
    <w:unhideWhenUsed/>
    <w:rsid w:val="000113E9"/>
    <w:rPr>
      <w:sz w:val="18"/>
      <w:szCs w:val="18"/>
    </w:rPr>
  </w:style>
  <w:style w:type="paragraph" w:styleId="CommentText">
    <w:name w:val="annotation text"/>
    <w:basedOn w:val="Normal"/>
    <w:link w:val="CommentTextChar"/>
    <w:rsid w:val="00D578D1"/>
  </w:style>
  <w:style w:type="character" w:customStyle="1" w:styleId="CommentTextChar">
    <w:name w:val="Comment Text Char"/>
    <w:basedOn w:val="DefaultParagraphFont"/>
    <w:link w:val="CommentText"/>
    <w:rsid w:val="00D578D1"/>
    <w:rPr>
      <w:rFonts w:ascii="Arial" w:eastAsiaTheme="minorEastAsia" w:hAnsi="Arial" w:cs="Times New Roman"/>
      <w:sz w:val="20"/>
      <w:szCs w:val="20"/>
    </w:rPr>
  </w:style>
  <w:style w:type="paragraph" w:styleId="CommentSubject">
    <w:name w:val="annotation subject"/>
    <w:basedOn w:val="Normal"/>
    <w:link w:val="CommentSubjectChar"/>
    <w:uiPriority w:val="99"/>
    <w:unhideWhenUsed/>
    <w:rsid w:val="000113E9"/>
    <w:rPr>
      <w:b/>
      <w:bCs/>
    </w:rPr>
  </w:style>
  <w:style w:type="character" w:customStyle="1" w:styleId="CommentSubjectChar">
    <w:name w:val="Comment Subject Char"/>
    <w:basedOn w:val="DefaultParagraphFont"/>
    <w:link w:val="CommentSubject"/>
    <w:uiPriority w:val="99"/>
    <w:rsid w:val="000113E9"/>
    <w:rPr>
      <w:rFonts w:ascii="Arial" w:eastAsiaTheme="minorEastAsia" w:hAnsi="Arial" w:cs="Times New Roman"/>
      <w:b/>
      <w:bCs/>
      <w:sz w:val="20"/>
      <w:szCs w:val="20"/>
    </w:rPr>
  </w:style>
  <w:style w:type="paragraph" w:styleId="BalloonText">
    <w:name w:val="Balloon Text"/>
    <w:basedOn w:val="Normal"/>
    <w:link w:val="BalloonTextChar"/>
    <w:uiPriority w:val="99"/>
    <w:unhideWhenUsed/>
    <w:rsid w:val="000113E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0113E9"/>
    <w:rPr>
      <w:rFonts w:ascii="Lucida Grande" w:eastAsiaTheme="minorEastAsia" w:hAnsi="Lucida Grande" w:cs="Lucida Grande"/>
      <w:sz w:val="18"/>
      <w:szCs w:val="18"/>
    </w:rPr>
  </w:style>
  <w:style w:type="character" w:styleId="Hyperlink">
    <w:name w:val="Hyperlink"/>
    <w:basedOn w:val="DefaultParagraphFont"/>
    <w:uiPriority w:val="99"/>
    <w:unhideWhenUsed/>
    <w:rsid w:val="000113E9"/>
    <w:rPr>
      <w:color w:val="0000FF" w:themeColor="hyperlink"/>
      <w:u w:val="single"/>
    </w:rPr>
  </w:style>
  <w:style w:type="character" w:styleId="FollowedHyperlink">
    <w:name w:val="FollowedHyperlink"/>
    <w:basedOn w:val="DefaultParagraphFont"/>
    <w:uiPriority w:val="99"/>
    <w:unhideWhenUsed/>
    <w:rsid w:val="000113E9"/>
    <w:rPr>
      <w:color w:val="800080" w:themeColor="followedHyperlink"/>
      <w:u w:val="single"/>
    </w:rPr>
  </w:style>
  <w:style w:type="paragraph" w:styleId="FootnoteText">
    <w:name w:val="footnote text"/>
    <w:basedOn w:val="Normal"/>
    <w:link w:val="FootnoteTextChar"/>
    <w:uiPriority w:val="99"/>
    <w:unhideWhenUsed/>
    <w:rsid w:val="000113E9"/>
    <w:pPr>
      <w:spacing w:after="0"/>
    </w:pPr>
    <w:rPr>
      <w:sz w:val="16"/>
      <w:szCs w:val="22"/>
    </w:rPr>
  </w:style>
  <w:style w:type="character" w:customStyle="1" w:styleId="FootnoteTextChar">
    <w:name w:val="Footnote Text Char"/>
    <w:basedOn w:val="DefaultParagraphFont"/>
    <w:link w:val="FootnoteText"/>
    <w:uiPriority w:val="99"/>
    <w:rsid w:val="000113E9"/>
    <w:rPr>
      <w:rFonts w:ascii="Arial" w:eastAsiaTheme="minorEastAsia" w:hAnsi="Arial" w:cs="Times New Roman"/>
      <w:sz w:val="16"/>
      <w:szCs w:val="22"/>
    </w:rPr>
  </w:style>
  <w:style w:type="character" w:styleId="FootnoteReference">
    <w:name w:val="footnote reference"/>
    <w:basedOn w:val="DefaultParagraphFont"/>
    <w:uiPriority w:val="99"/>
    <w:unhideWhenUsed/>
    <w:rsid w:val="000113E9"/>
    <w:rPr>
      <w:vertAlign w:val="superscript"/>
    </w:rPr>
  </w:style>
  <w:style w:type="paragraph" w:styleId="Revision">
    <w:name w:val="Revision"/>
    <w:hidden/>
    <w:uiPriority w:val="99"/>
    <w:rsid w:val="000113E9"/>
    <w:rPr>
      <w:rFonts w:ascii="Arial" w:eastAsiaTheme="minorEastAsia" w:hAnsi="Arial" w:cs="Arial"/>
      <w:sz w:val="21"/>
      <w:szCs w:val="21"/>
    </w:rPr>
  </w:style>
  <w:style w:type="paragraph" w:customStyle="1" w:styleId="BasicParagraph">
    <w:name w:val="[Basic Paragraph]"/>
    <w:basedOn w:val="Normal"/>
    <w:uiPriority w:val="99"/>
    <w:rsid w:val="000113E9"/>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0113E9"/>
    <w:pPr>
      <w:spacing w:before="360" w:after="240"/>
      <w:jc w:val="left"/>
      <w:outlineLvl w:val="0"/>
    </w:pPr>
    <w:rPr>
      <w:b/>
      <w:sz w:val="40"/>
      <w:szCs w:val="52"/>
    </w:rPr>
  </w:style>
  <w:style w:type="paragraph" w:customStyle="1" w:styleId="Bullet1">
    <w:name w:val="Bullet 1"/>
    <w:basedOn w:val="Normal"/>
    <w:rsid w:val="000113E9"/>
    <w:pPr>
      <w:numPr>
        <w:numId w:val="13"/>
      </w:numPr>
      <w:spacing w:before="60"/>
    </w:pPr>
    <w:rPr>
      <w:rFonts w:eastAsia="Times New Roman"/>
      <w:color w:val="000000"/>
    </w:rPr>
  </w:style>
  <w:style w:type="paragraph" w:customStyle="1" w:styleId="RefItem1">
    <w:name w:val="Ref Item 1"/>
    <w:basedOn w:val="Normal"/>
    <w:rsid w:val="000113E9"/>
    <w:pPr>
      <w:jc w:val="left"/>
    </w:pPr>
    <w:rPr>
      <w:color w:val="000000"/>
      <w:szCs w:val="24"/>
      <w:lang w:eastAsia="it-IT"/>
    </w:rPr>
  </w:style>
  <w:style w:type="paragraph" w:customStyle="1" w:styleId="RefTitre">
    <w:name w:val="Ref Titre"/>
    <w:basedOn w:val="Normal"/>
    <w:rsid w:val="000113E9"/>
    <w:pPr>
      <w:jc w:val="left"/>
    </w:pPr>
    <w:rPr>
      <w:rFonts w:eastAsia="Times New Roman"/>
      <w:b/>
      <w:bCs/>
      <w:sz w:val="26"/>
      <w:szCs w:val="26"/>
    </w:rPr>
  </w:style>
  <w:style w:type="paragraph" w:customStyle="1" w:styleId="Header1">
    <w:name w:val="Header 1"/>
    <w:basedOn w:val="Header"/>
    <w:rsid w:val="000113E9"/>
    <w:rPr>
      <w:b/>
      <w:sz w:val="24"/>
      <w:szCs w:val="24"/>
    </w:rPr>
  </w:style>
  <w:style w:type="character" w:customStyle="1" w:styleId="Pantone485">
    <w:name w:val="Pantone 485"/>
    <w:basedOn w:val="DefaultParagraphFont"/>
    <w:uiPriority w:val="1"/>
    <w:qFormat/>
    <w:rsid w:val="000113E9"/>
    <w:rPr>
      <w:rFonts w:cs="Caecilia-Light"/>
      <w:color w:val="DC281E"/>
      <w:szCs w:val="16"/>
    </w:rPr>
  </w:style>
  <w:style w:type="character" w:customStyle="1" w:styleId="H1Char">
    <w:name w:val="H1 Char"/>
    <w:basedOn w:val="DefaultParagraphFont"/>
    <w:link w:val="H1"/>
    <w:rsid w:val="000113E9"/>
    <w:rPr>
      <w:rFonts w:ascii="Arial" w:eastAsiaTheme="minorEastAsia" w:hAnsi="Arial" w:cs="Times New Roman"/>
      <w:b/>
      <w:sz w:val="40"/>
      <w:szCs w:val="52"/>
    </w:rPr>
  </w:style>
  <w:style w:type="table" w:customStyle="1" w:styleId="TableGray">
    <w:name w:val="Table Gray"/>
    <w:basedOn w:val="TableNormal"/>
    <w:uiPriority w:val="99"/>
    <w:rsid w:val="000113E9"/>
    <w:rPr>
      <w:rFonts w:eastAsiaTheme="minorEastAsia" w:cs="Times New Roman"/>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0113E9"/>
    <w:pPr>
      <w:numPr>
        <w:numId w:val="14"/>
      </w:numPr>
      <w:tabs>
        <w:tab w:val="left" w:pos="7230"/>
      </w:tabs>
      <w:spacing w:before="120" w:after="120"/>
      <w:contextualSpacing w:val="0"/>
    </w:pPr>
    <w:rPr>
      <w:rFonts w:cs="Arial"/>
    </w:rPr>
  </w:style>
  <w:style w:type="paragraph" w:customStyle="1" w:styleId="ListNumber1">
    <w:name w:val="List Number 1"/>
    <w:basedOn w:val="Normal"/>
    <w:rsid w:val="000113E9"/>
    <w:pPr>
      <w:numPr>
        <w:ilvl w:val="1"/>
        <w:numId w:val="11"/>
      </w:numPr>
      <w:contextualSpacing/>
    </w:pPr>
    <w:rPr>
      <w:rFonts w:eastAsiaTheme="minorHAnsi" w:cstheme="minorHAnsi"/>
      <w:szCs w:val="22"/>
    </w:rPr>
  </w:style>
  <w:style w:type="paragraph" w:customStyle="1" w:styleId="NormalNo">
    <w:name w:val="Normal + No"/>
    <w:basedOn w:val="Normal"/>
    <w:qFormat/>
    <w:rsid w:val="000113E9"/>
    <w:pPr>
      <w:numPr>
        <w:numId w:val="12"/>
      </w:numPr>
    </w:pPr>
    <w:rPr>
      <w:rFonts w:eastAsia="MS Mincho"/>
      <w:b/>
      <w:sz w:val="22"/>
    </w:rPr>
  </w:style>
  <w:style w:type="paragraph" w:customStyle="1" w:styleId="Bullet3">
    <w:name w:val="Bullet 3"/>
    <w:basedOn w:val="ListParagraph"/>
    <w:qFormat/>
    <w:rsid w:val="000113E9"/>
    <w:pPr>
      <w:numPr>
        <w:numId w:val="15"/>
      </w:numPr>
      <w:spacing w:before="120" w:after="120"/>
      <w:ind w:right="425"/>
    </w:pPr>
    <w:rPr>
      <w:rFonts w:cs="Arial"/>
      <w:i/>
      <w:iCs/>
    </w:rPr>
  </w:style>
  <w:style w:type="paragraph" w:customStyle="1" w:styleId="Indent">
    <w:name w:val="Indent"/>
    <w:basedOn w:val="Normal"/>
    <w:qFormat/>
    <w:rsid w:val="000113E9"/>
    <w:pPr>
      <w:ind w:left="567"/>
    </w:pPr>
    <w:rPr>
      <w:rFonts w:cs="Arial"/>
      <w:b/>
    </w:rPr>
  </w:style>
  <w:style w:type="paragraph" w:customStyle="1" w:styleId="TitreTableau">
    <w:name w:val="Titre Tableau"/>
    <w:basedOn w:val="Normal"/>
    <w:qFormat/>
    <w:rsid w:val="000113E9"/>
    <w:pPr>
      <w:spacing w:before="120"/>
      <w:jc w:val="center"/>
    </w:pPr>
    <w:rPr>
      <w:rFonts w:cs="Arial"/>
      <w:b/>
      <w:bCs/>
      <w:color w:val="FFFFFF" w:themeColor="background1"/>
      <w:lang w:val="en-CA"/>
    </w:rPr>
  </w:style>
  <w:style w:type="paragraph" w:customStyle="1" w:styleId="BulletTableau">
    <w:name w:val="Bullet Tableau"/>
    <w:basedOn w:val="Bullet2"/>
    <w:qFormat/>
    <w:rsid w:val="000113E9"/>
    <w:pPr>
      <w:keepNext/>
      <w:keepLines/>
      <w:framePr w:hSpace="141" w:wrap="around" w:vAnchor="text" w:hAnchor="margin" w:y="402"/>
      <w:numPr>
        <w:numId w:val="16"/>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252</TotalTime>
  <Pages>3</Pages>
  <Words>892</Words>
  <Characters>5090</Characters>
  <Application>Microsoft Office Word</Application>
  <DocSecurity>0</DocSecurity>
  <Lines>42</Lines>
  <Paragraphs>11</Paragraphs>
  <ScaleCrop>false</ScaleCrop>
  <HeadingPairs>
    <vt:vector size="8" baseType="variant">
      <vt:variant>
        <vt:lpstr>Title</vt:lpstr>
      </vt:variant>
      <vt:variant>
        <vt:i4>1</vt:i4>
      </vt:variant>
      <vt:variant>
        <vt:lpstr>Titre</vt:lpstr>
      </vt:variant>
      <vt:variant>
        <vt:i4>1</vt:i4>
      </vt:variant>
      <vt:variant>
        <vt:lpstr>Título</vt:lpstr>
      </vt:variant>
      <vt:variant>
        <vt:i4>1</vt:i4>
      </vt:variant>
      <vt:variant>
        <vt:lpstr>Títulos</vt:lpstr>
      </vt:variant>
      <vt:variant>
        <vt:i4>1</vt:i4>
      </vt:variant>
    </vt:vector>
  </HeadingPairs>
  <TitlesOfParts>
    <vt:vector size="4" baseType="lpstr">
      <vt:lpstr/>
      <vt:lpstr/>
      <vt:lpstr/>
      <vt:lpstr>Edited Tool 3.3.2.1 Identifying targeting criteria</vt:lpstr>
    </vt:vector>
  </TitlesOfParts>
  <Company>Independent Consultant</Company>
  <LinksUpToDate>false</LinksUpToDate>
  <CharactersWithSpaces>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Creti Pantaleo</dc:creator>
  <cp:lastModifiedBy>Florence MAROT</cp:lastModifiedBy>
  <cp:revision>49</cp:revision>
  <cp:lastPrinted>2015-12-15T15:36:00Z</cp:lastPrinted>
  <dcterms:created xsi:type="dcterms:W3CDTF">2015-06-02T16:42:00Z</dcterms:created>
  <dcterms:modified xsi:type="dcterms:W3CDTF">2016-04-07T14:47:00Z</dcterms:modified>
</cp:coreProperties>
</file>