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FB7E" w14:textId="59F37ED5" w:rsidR="00D869D9" w:rsidRPr="00B67BBB" w:rsidRDefault="00456565" w:rsidP="00F7504C">
      <w:pPr>
        <w:pStyle w:val="H1"/>
        <w:rPr>
          <w:rFonts w:cs="Arial"/>
          <w:lang w:val="es-ES_tradnl"/>
        </w:rPr>
      </w:pPr>
      <w:r w:rsidRPr="00B67BBB">
        <w:rPr>
          <w:rFonts w:cs="Arial"/>
          <w:lang w:val="es-ES_tradnl" w:eastAsia="en-GB"/>
        </w:rPr>
        <w:t>Organización de un taller de lecciones aprendidas</w:t>
      </w:r>
    </w:p>
    <w:p w14:paraId="3B27E5BF" w14:textId="23C3CB63" w:rsidR="00456565" w:rsidRPr="00B67BBB" w:rsidRDefault="00456565" w:rsidP="00F7504C">
      <w:pPr>
        <w:rPr>
          <w:w w:val="102"/>
          <w:lang w:val="es-ES_tradnl"/>
        </w:rPr>
      </w:pPr>
      <w:r w:rsidRPr="00B67BBB">
        <w:rPr>
          <w:w w:val="102"/>
          <w:lang w:val="es-ES_tradnl"/>
        </w:rPr>
        <w:t>El plan de acción de preparación para PTE debe incluir un taller de lecciones aprendidas de uno o dos días. El objetivo de dicho taller es capturar las lecciones aprendidas durante las simulaciones, los proyectos piloto y/o las intervenciones</w:t>
      </w:r>
      <w:r w:rsidR="000977EE" w:rsidRPr="00B67BBB">
        <w:rPr>
          <w:w w:val="102"/>
          <w:lang w:val="es-ES_tradnl"/>
        </w:rPr>
        <w:t xml:space="preserve"> con de PTE,</w:t>
      </w:r>
      <w:r w:rsidRPr="00B67BBB">
        <w:rPr>
          <w:w w:val="102"/>
          <w:lang w:val="es-ES_tradnl"/>
        </w:rPr>
        <w:t xml:space="preserve"> y reunir recomendaciones para mejorar las prácticas actuales y futuras. El taller de lecciones aprendidas debe centrarse en todo el proceso de preparación </w:t>
      </w:r>
      <w:r w:rsidR="00C737F5" w:rsidRPr="00B67BBB">
        <w:rPr>
          <w:w w:val="102"/>
          <w:lang w:val="es-ES_tradnl"/>
        </w:rPr>
        <w:t>para PTE</w:t>
      </w:r>
      <w:r w:rsidRPr="00B67BBB">
        <w:rPr>
          <w:w w:val="102"/>
          <w:lang w:val="es-ES_tradnl"/>
        </w:rPr>
        <w:t>.</w:t>
      </w:r>
    </w:p>
    <w:p w14:paraId="4EB0D07E" w14:textId="631DC752" w:rsidR="006C1AE2" w:rsidRPr="00B67BBB" w:rsidRDefault="00C737F5" w:rsidP="00F7504C">
      <w:pPr>
        <w:pStyle w:val="Heading3"/>
        <w:rPr>
          <w:rFonts w:cs="Arial"/>
          <w:lang w:val="es-ES_tradnl"/>
        </w:rPr>
      </w:pPr>
      <w:r w:rsidRPr="00B67BBB">
        <w:rPr>
          <w:rFonts w:cs="Arial"/>
          <w:lang w:val="es-ES_tradnl"/>
        </w:rPr>
        <w:t>Enfoque</w:t>
      </w:r>
    </w:p>
    <w:p w14:paraId="005E001A" w14:textId="7FEFC79D" w:rsidR="00C737F5" w:rsidRPr="00B67BBB" w:rsidRDefault="00C737F5" w:rsidP="00F7504C">
      <w:pPr>
        <w:rPr>
          <w:bCs/>
          <w:lang w:val="es-ES_tradnl" w:eastAsia="en-GB"/>
        </w:rPr>
      </w:pPr>
      <w:r w:rsidRPr="00B67BBB">
        <w:rPr>
          <w:bCs/>
          <w:lang w:val="es-ES_tradnl" w:eastAsia="en-GB"/>
        </w:rPr>
        <w:t>El enfoque será similar a la sugerido para el "taller para involucrar a las partes interesadas”, llevado a cabo al principio del proceso de preparación para PTE. Debe ser consultivo y participativo. Siempre que sea posible, debe estar vinculado a otros talleres similares previstos en relación con la preparación, la planificación de planes de contingencia o de las actividades de respuesta.</w:t>
      </w:r>
    </w:p>
    <w:p w14:paraId="57C5FF44" w14:textId="47E40D01" w:rsidR="006C1AE2" w:rsidRPr="00B67BBB" w:rsidRDefault="006C1AE2" w:rsidP="00F7504C">
      <w:pPr>
        <w:pStyle w:val="Heading3"/>
        <w:rPr>
          <w:rFonts w:cs="Arial"/>
          <w:lang w:val="es-ES_tradnl"/>
        </w:rPr>
      </w:pPr>
      <w:r w:rsidRPr="00B67BBB">
        <w:rPr>
          <w:rFonts w:cs="Arial"/>
          <w:lang w:val="es-ES_tradnl"/>
        </w:rPr>
        <w:t>Participant</w:t>
      </w:r>
      <w:r w:rsidR="00C737F5" w:rsidRPr="00B67BBB">
        <w:rPr>
          <w:rFonts w:cs="Arial"/>
          <w:lang w:val="es-ES_tradnl"/>
        </w:rPr>
        <w:t>e</w:t>
      </w:r>
      <w:r w:rsidRPr="00B67BBB">
        <w:rPr>
          <w:rFonts w:cs="Arial"/>
          <w:lang w:val="es-ES_tradnl"/>
        </w:rPr>
        <w:t>s</w:t>
      </w:r>
    </w:p>
    <w:p w14:paraId="61DEB303" w14:textId="7336177E" w:rsidR="006C1AE2" w:rsidRPr="00B67BBB" w:rsidRDefault="00C737F5" w:rsidP="00F7504C">
      <w:pPr>
        <w:rPr>
          <w:lang w:val="es-ES_tradnl" w:eastAsia="en-GB"/>
        </w:rPr>
      </w:pPr>
      <w:r w:rsidRPr="00B67BBB">
        <w:rPr>
          <w:lang w:val="es-ES_tradnl" w:eastAsia="en-GB"/>
        </w:rPr>
        <w:t>Se debe invitar al personal y a los departamentos involucrados en la preparación. Entre los par</w:t>
      </w:r>
      <w:r w:rsidR="006C1AE2" w:rsidRPr="00B67BBB">
        <w:rPr>
          <w:lang w:val="es-ES_tradnl" w:eastAsia="en-GB"/>
        </w:rPr>
        <w:t>ticipant</w:t>
      </w:r>
      <w:r w:rsidRPr="00B67BBB">
        <w:rPr>
          <w:lang w:val="es-ES_tradnl" w:eastAsia="en-GB"/>
        </w:rPr>
        <w:t>e</w:t>
      </w:r>
      <w:r w:rsidR="006C1AE2" w:rsidRPr="00B67BBB">
        <w:rPr>
          <w:lang w:val="es-ES_tradnl" w:eastAsia="en-GB"/>
        </w:rPr>
        <w:t xml:space="preserve">s </w:t>
      </w:r>
      <w:r w:rsidRPr="00B67BBB">
        <w:rPr>
          <w:lang w:val="es-ES_tradnl" w:eastAsia="en-GB"/>
        </w:rPr>
        <w:t xml:space="preserve">se debe </w:t>
      </w:r>
      <w:r w:rsidR="006C1AE2" w:rsidRPr="00B67BBB">
        <w:rPr>
          <w:lang w:val="es-ES_tradnl" w:eastAsia="en-GB"/>
        </w:rPr>
        <w:t>inclu</w:t>
      </w:r>
      <w:r w:rsidRPr="00B67BBB">
        <w:rPr>
          <w:lang w:val="es-ES_tradnl" w:eastAsia="en-GB"/>
        </w:rPr>
        <w:t>ir</w:t>
      </w:r>
      <w:r w:rsidR="006C1AE2" w:rsidRPr="00B67BBB">
        <w:rPr>
          <w:lang w:val="es-ES_tradnl" w:eastAsia="en-GB"/>
        </w:rPr>
        <w:t xml:space="preserve">: </w:t>
      </w:r>
    </w:p>
    <w:p w14:paraId="3F79C08D" w14:textId="31E23F4D" w:rsidR="00C737F5" w:rsidRPr="00B67BBB" w:rsidRDefault="00C737F5" w:rsidP="00C737F5">
      <w:pPr>
        <w:pStyle w:val="Bullet2"/>
        <w:rPr>
          <w:lang w:val="es-ES_tradnl" w:eastAsia="en-GB"/>
        </w:rPr>
      </w:pPr>
      <w:r w:rsidRPr="00B67BBB">
        <w:rPr>
          <w:lang w:val="es-ES_tradnl" w:eastAsia="en-GB"/>
        </w:rPr>
        <w:t xml:space="preserve">Al punto focal PTE y los miembros del grupo técnico de trabajo </w:t>
      </w:r>
    </w:p>
    <w:p w14:paraId="3CDCB7D7" w14:textId="5AFAD250" w:rsidR="00C737F5" w:rsidRPr="00B67BBB" w:rsidRDefault="00163EAB" w:rsidP="00C737F5">
      <w:pPr>
        <w:pStyle w:val="Bullet2"/>
        <w:rPr>
          <w:lang w:val="es-ES_tradnl" w:eastAsia="en-GB"/>
        </w:rPr>
      </w:pPr>
      <w:r w:rsidRPr="00B67BBB">
        <w:rPr>
          <w:lang w:val="es-ES_tradnl" w:eastAsia="en-GB"/>
        </w:rPr>
        <w:t>Al</w:t>
      </w:r>
      <w:r w:rsidR="00C737F5" w:rsidRPr="00B67BBB">
        <w:rPr>
          <w:lang w:val="es-ES_tradnl" w:eastAsia="en-GB"/>
        </w:rPr>
        <w:t xml:space="preserve"> gobierno y</w:t>
      </w:r>
      <w:r w:rsidRPr="00B67BBB">
        <w:rPr>
          <w:lang w:val="es-ES_tradnl" w:eastAsia="en-GB"/>
        </w:rPr>
        <w:t xml:space="preserve"> a</w:t>
      </w:r>
      <w:r w:rsidR="00C737F5" w:rsidRPr="00B67BBB">
        <w:rPr>
          <w:lang w:val="es-ES_tradnl" w:eastAsia="en-GB"/>
        </w:rPr>
        <w:t xml:space="preserve"> la dirección de la Sociedad Nacional (al menos para las sesiones sobre los resultados y las recomendaciones/</w:t>
      </w:r>
      <w:r w:rsidRPr="00B67BBB">
        <w:rPr>
          <w:lang w:val="es-ES_tradnl" w:eastAsia="en-GB"/>
        </w:rPr>
        <w:t>pasos a seguir</w:t>
      </w:r>
      <w:r w:rsidR="00C737F5" w:rsidRPr="00B67BBB">
        <w:rPr>
          <w:lang w:val="es-ES_tradnl" w:eastAsia="en-GB"/>
        </w:rPr>
        <w:t>)</w:t>
      </w:r>
    </w:p>
    <w:p w14:paraId="7A858C0B" w14:textId="04C8DBCE" w:rsidR="00C737F5" w:rsidRPr="00B67BBB" w:rsidRDefault="00163EAB" w:rsidP="00C737F5">
      <w:pPr>
        <w:pStyle w:val="Bullet2"/>
        <w:rPr>
          <w:lang w:val="es-ES_tradnl" w:eastAsia="en-GB"/>
        </w:rPr>
      </w:pPr>
      <w:r w:rsidRPr="00B67BBB">
        <w:rPr>
          <w:lang w:val="es-ES_tradnl" w:eastAsia="en-GB"/>
        </w:rPr>
        <w:t>A los jefes de departamento</w:t>
      </w:r>
    </w:p>
    <w:p w14:paraId="705A7323" w14:textId="78D7CFBE" w:rsidR="00C737F5" w:rsidRPr="00B67BBB" w:rsidRDefault="00163EAB" w:rsidP="00C737F5">
      <w:pPr>
        <w:pStyle w:val="Bullet2"/>
        <w:rPr>
          <w:lang w:val="es-ES_tradnl" w:eastAsia="en-GB"/>
        </w:rPr>
      </w:pPr>
      <w:r w:rsidRPr="00B67BBB">
        <w:rPr>
          <w:lang w:val="es-ES_tradnl" w:eastAsia="en-GB"/>
        </w:rPr>
        <w:t>Al p</w:t>
      </w:r>
      <w:r w:rsidR="00C737F5" w:rsidRPr="00B67BBB">
        <w:rPr>
          <w:lang w:val="es-ES_tradnl" w:eastAsia="en-GB"/>
        </w:rPr>
        <w:t xml:space="preserve">ersonal </w:t>
      </w:r>
      <w:r w:rsidRPr="00B67BBB">
        <w:rPr>
          <w:lang w:val="es-ES_tradnl" w:eastAsia="en-GB"/>
        </w:rPr>
        <w:t xml:space="preserve">clave de programas y de </w:t>
      </w:r>
      <w:r w:rsidR="00C737F5" w:rsidRPr="00B67BBB">
        <w:rPr>
          <w:lang w:val="es-ES_tradnl" w:eastAsia="en-GB"/>
        </w:rPr>
        <w:t xml:space="preserve">los servicios </w:t>
      </w:r>
      <w:r w:rsidRPr="00B67BBB">
        <w:rPr>
          <w:lang w:val="es-ES_tradnl" w:eastAsia="en-GB"/>
        </w:rPr>
        <w:t xml:space="preserve">de apoyo, tanto de la </w:t>
      </w:r>
      <w:r w:rsidR="00C737F5" w:rsidRPr="00B67BBB">
        <w:rPr>
          <w:lang w:val="es-ES_tradnl" w:eastAsia="en-GB"/>
        </w:rPr>
        <w:t xml:space="preserve">sede </w:t>
      </w:r>
      <w:r w:rsidRPr="00B67BBB">
        <w:rPr>
          <w:lang w:val="es-ES_tradnl" w:eastAsia="en-GB"/>
        </w:rPr>
        <w:t>como de las seccionales</w:t>
      </w:r>
    </w:p>
    <w:p w14:paraId="58FFEA58" w14:textId="03074087" w:rsidR="00C737F5" w:rsidRPr="00B67BBB" w:rsidRDefault="00163EAB" w:rsidP="00C737F5">
      <w:pPr>
        <w:pStyle w:val="Bullet2"/>
        <w:rPr>
          <w:lang w:val="es-ES_tradnl" w:eastAsia="en-GB"/>
        </w:rPr>
      </w:pPr>
      <w:r w:rsidRPr="00B67BBB">
        <w:rPr>
          <w:lang w:val="es-ES_tradnl" w:eastAsia="en-GB"/>
        </w:rPr>
        <w:t>A los v</w:t>
      </w:r>
      <w:r w:rsidR="00C737F5" w:rsidRPr="00B67BBB">
        <w:rPr>
          <w:lang w:val="es-ES_tradnl" w:eastAsia="en-GB"/>
        </w:rPr>
        <w:t xml:space="preserve">oluntarios clave de la sede central y las </w:t>
      </w:r>
      <w:r w:rsidRPr="00B67BBB">
        <w:rPr>
          <w:lang w:val="es-ES_tradnl" w:eastAsia="en-GB"/>
        </w:rPr>
        <w:t xml:space="preserve">seccionales que participan en los </w:t>
      </w:r>
      <w:r w:rsidR="00C737F5" w:rsidRPr="00B67BBB">
        <w:rPr>
          <w:lang w:val="es-ES_tradnl" w:eastAsia="en-GB"/>
        </w:rPr>
        <w:t>PTE</w:t>
      </w:r>
    </w:p>
    <w:p w14:paraId="6CCE09B5" w14:textId="64150454" w:rsidR="00C737F5" w:rsidRPr="00B67BBB" w:rsidRDefault="00163EAB" w:rsidP="00C737F5">
      <w:pPr>
        <w:pStyle w:val="Bullet2"/>
        <w:rPr>
          <w:lang w:val="es-ES_tradnl" w:eastAsia="en-GB"/>
        </w:rPr>
      </w:pPr>
      <w:r w:rsidRPr="00B67BBB">
        <w:rPr>
          <w:lang w:val="es-ES_tradnl" w:eastAsia="en-GB"/>
        </w:rPr>
        <w:t xml:space="preserve">A los </w:t>
      </w:r>
      <w:r w:rsidR="00C737F5" w:rsidRPr="00B67BBB">
        <w:rPr>
          <w:lang w:val="es-ES_tradnl" w:eastAsia="en-GB"/>
        </w:rPr>
        <w:t>asociados del Movimiento en el país/región</w:t>
      </w:r>
    </w:p>
    <w:p w14:paraId="70AB3E70" w14:textId="1BC05538" w:rsidR="00C737F5" w:rsidRPr="00B67BBB" w:rsidRDefault="00163EAB" w:rsidP="00C737F5">
      <w:pPr>
        <w:pStyle w:val="Bullet2"/>
        <w:rPr>
          <w:lang w:val="es-ES_tradnl" w:eastAsia="en-GB"/>
        </w:rPr>
      </w:pPr>
      <w:r w:rsidRPr="00B67BBB">
        <w:rPr>
          <w:lang w:val="es-ES_tradnl" w:eastAsia="en-GB"/>
        </w:rPr>
        <w:t xml:space="preserve">A </w:t>
      </w:r>
      <w:r w:rsidR="00C737F5" w:rsidRPr="00B67BBB">
        <w:rPr>
          <w:lang w:val="es-ES_tradnl" w:eastAsia="en-GB"/>
        </w:rPr>
        <w:t>participantes externos (socios, donantes,</w:t>
      </w:r>
      <w:r w:rsidRPr="00B67BBB">
        <w:rPr>
          <w:lang w:val="es-ES_tradnl" w:eastAsia="en-GB"/>
        </w:rPr>
        <w:t xml:space="preserve"> etc.) que intervienen en el PTE</w:t>
      </w:r>
      <w:r w:rsidR="00C737F5" w:rsidRPr="00B67BBB">
        <w:rPr>
          <w:lang w:val="es-ES_tradnl" w:eastAsia="en-GB"/>
        </w:rPr>
        <w:t xml:space="preserve"> (para algunas de las sesiones).</w:t>
      </w:r>
    </w:p>
    <w:p w14:paraId="373AE4B0" w14:textId="042BAC95" w:rsidR="006C1AE2" w:rsidRPr="00B67BBB" w:rsidRDefault="00163EAB" w:rsidP="00F7504C">
      <w:pPr>
        <w:pStyle w:val="Heading3"/>
        <w:rPr>
          <w:rFonts w:cs="Arial"/>
          <w:lang w:val="es-ES_tradnl" w:eastAsia="en-GB"/>
        </w:rPr>
      </w:pPr>
      <w:r w:rsidRPr="00B67BBB">
        <w:rPr>
          <w:rFonts w:cs="Arial"/>
          <w:lang w:val="es-ES_tradnl" w:eastAsia="en-GB"/>
        </w:rPr>
        <w:t>S</w:t>
      </w:r>
      <w:r w:rsidR="006C1AE2" w:rsidRPr="00B67BBB">
        <w:rPr>
          <w:rFonts w:cs="Arial"/>
          <w:lang w:val="es-ES_tradnl" w:eastAsia="en-GB"/>
        </w:rPr>
        <w:t>esion</w:t>
      </w:r>
      <w:r w:rsidRPr="00B67BBB">
        <w:rPr>
          <w:rFonts w:cs="Arial"/>
          <w:lang w:val="es-ES_tradnl" w:eastAsia="en-GB"/>
        </w:rPr>
        <w:t>e</w:t>
      </w:r>
      <w:r w:rsidR="006C1AE2" w:rsidRPr="00B67BBB">
        <w:rPr>
          <w:rFonts w:cs="Arial"/>
          <w:lang w:val="es-ES_tradnl" w:eastAsia="en-GB"/>
        </w:rPr>
        <w:t>s</w:t>
      </w:r>
      <w:r w:rsidRPr="00B67BBB">
        <w:rPr>
          <w:rFonts w:cs="Arial"/>
          <w:lang w:val="es-ES_tradnl" w:eastAsia="en-GB"/>
        </w:rPr>
        <w:t xml:space="preserve"> clave</w:t>
      </w:r>
    </w:p>
    <w:p w14:paraId="4542F3FE" w14:textId="7DF135E0" w:rsidR="00163EAB" w:rsidRPr="00B67BBB" w:rsidRDefault="00163EAB" w:rsidP="00163EAB">
      <w:pPr>
        <w:pStyle w:val="Bullet2"/>
        <w:rPr>
          <w:lang w:val="es-ES_tradnl" w:eastAsia="en-GB"/>
        </w:rPr>
      </w:pPr>
      <w:r w:rsidRPr="00B67BBB">
        <w:rPr>
          <w:b/>
          <w:lang w:val="es-ES_tradnl" w:eastAsia="en-GB"/>
        </w:rPr>
        <w:t>Actualización en el proceso de preparación para PTE</w:t>
      </w:r>
      <w:r w:rsidRPr="00B67BBB">
        <w:rPr>
          <w:lang w:val="es-ES_tradnl" w:eastAsia="en-GB"/>
        </w:rPr>
        <w:t>. Esta sesión debería proporcionar a los participantes</w:t>
      </w:r>
      <w:r w:rsidR="00CE0B84" w:rsidRPr="00B67BBB">
        <w:rPr>
          <w:lang w:val="es-ES_tradnl" w:eastAsia="en-GB"/>
        </w:rPr>
        <w:t xml:space="preserve"> </w:t>
      </w:r>
      <w:r w:rsidRPr="00B67BBB">
        <w:rPr>
          <w:lang w:val="es-ES_tradnl" w:eastAsia="en-GB"/>
        </w:rPr>
        <w:t xml:space="preserve">una breve presentación de las principales actividades y los </w:t>
      </w:r>
      <w:r w:rsidR="00CE0B84" w:rsidRPr="00B67BBB">
        <w:rPr>
          <w:lang w:val="es-ES_tradnl" w:eastAsia="en-GB"/>
        </w:rPr>
        <w:t>resultados</w:t>
      </w:r>
      <w:r w:rsidRPr="00B67BBB">
        <w:rPr>
          <w:lang w:val="es-ES_tradnl" w:eastAsia="en-GB"/>
        </w:rPr>
        <w:t xml:space="preserve">, incluidos los sistemas de apoyo, </w:t>
      </w:r>
      <w:r w:rsidR="00CE0B84" w:rsidRPr="00B67BBB">
        <w:rPr>
          <w:lang w:val="es-ES_tradnl" w:eastAsia="en-GB"/>
        </w:rPr>
        <w:t xml:space="preserve">las </w:t>
      </w:r>
      <w:r w:rsidRPr="00B67BBB">
        <w:rPr>
          <w:lang w:val="es-ES_tradnl" w:eastAsia="en-GB"/>
        </w:rPr>
        <w:t>herramientas del programa, la formación, los recursos y la capacidad, la coordinación y la comunicación.</w:t>
      </w:r>
    </w:p>
    <w:p w14:paraId="4AAAB369" w14:textId="095DC170" w:rsidR="00CE0B84" w:rsidRPr="00B67BBB" w:rsidRDefault="00CE0B84" w:rsidP="00CE0B84">
      <w:pPr>
        <w:pStyle w:val="Bullet2"/>
        <w:rPr>
          <w:lang w:val="es-ES_tradnl" w:eastAsia="en-GB"/>
        </w:rPr>
      </w:pPr>
      <w:r w:rsidRPr="00B67BBB">
        <w:rPr>
          <w:b/>
          <w:lang w:val="es-ES_tradnl" w:eastAsia="en-GB"/>
        </w:rPr>
        <w:t xml:space="preserve">Identificación de oportunidades aprendidas. </w:t>
      </w:r>
      <w:r w:rsidRPr="00B67BBB">
        <w:rPr>
          <w:lang w:val="es-ES_tradnl" w:eastAsia="en-GB"/>
        </w:rPr>
        <w:t>Esta sesión debe ayudar a los participantes a identificar los ajustes necesarios en los sistemas, procedimientos y herramientas probadas durante la ejecución de los preparativos. En la sesión será necesaria la participación activa y</w:t>
      </w:r>
      <w:r w:rsidR="003C6CDA" w:rsidRPr="00B67BBB">
        <w:rPr>
          <w:lang w:val="es-ES_tradnl" w:eastAsia="en-GB"/>
        </w:rPr>
        <w:t xml:space="preserve"> las</w:t>
      </w:r>
      <w:r w:rsidRPr="00B67BBB">
        <w:rPr>
          <w:lang w:val="es-ES_tradnl" w:eastAsia="en-GB"/>
        </w:rPr>
        <w:t xml:space="preserve"> aportaciones de todas aquellas personas involucradas en la preparación de PTE tanto a nivel de sede, como de seccionales y también de otras organizaciones. El taller debe ayudar a los participantes a pensar en: cómo garantizar la sostenibilidad del proceso de preparación para PTE; cuan realistas y ambiciosos fueron los resultados esperados; cuan adecuada fue la asignación de recursos (sobre la base de un análisis de los gastos con el presupuesto); por qué ciertas cosas funcionaron bien o no; y lo que hay que cambiar la próxima vez.</w:t>
      </w:r>
    </w:p>
    <w:p w14:paraId="62702FC3" w14:textId="218FBFAC" w:rsidR="00F04E33" w:rsidRPr="00B67BBB" w:rsidRDefault="00F04E33" w:rsidP="00F04E33">
      <w:pPr>
        <w:pStyle w:val="Bullet2"/>
        <w:rPr>
          <w:lang w:val="es-ES_tradnl" w:eastAsia="en-GB"/>
        </w:rPr>
      </w:pPr>
      <w:r w:rsidRPr="00B67BBB">
        <w:rPr>
          <w:b/>
          <w:lang w:val="es-ES_tradnl" w:eastAsia="en-GB"/>
        </w:rPr>
        <w:t>Actualización del análisis DAFO</w:t>
      </w:r>
      <w:r w:rsidRPr="00B67BBB">
        <w:rPr>
          <w:lang w:val="es-ES_tradnl" w:eastAsia="en-GB"/>
        </w:rPr>
        <w:t>. Esta sesión consiste en actualizar el análisis DAFO de la capacidad de la S</w:t>
      </w:r>
      <w:r w:rsidR="003C6CDA" w:rsidRPr="00B67BBB">
        <w:rPr>
          <w:lang w:val="es-ES_tradnl" w:eastAsia="en-GB"/>
        </w:rPr>
        <w:t>ociedad Nacional en</w:t>
      </w:r>
      <w:r w:rsidRPr="00B67BBB">
        <w:rPr>
          <w:lang w:val="es-ES_tradnl" w:eastAsia="en-GB"/>
        </w:rPr>
        <w:t xml:space="preserve"> PTE para ver dónde se han </w:t>
      </w:r>
      <w:r w:rsidR="003C6CDA" w:rsidRPr="00B67BBB">
        <w:rPr>
          <w:lang w:val="es-ES_tradnl" w:eastAsia="en-GB"/>
        </w:rPr>
        <w:t>producido avances y cambios, qué</w:t>
      </w:r>
      <w:r w:rsidRPr="00B67BBB">
        <w:rPr>
          <w:lang w:val="es-ES_tradnl" w:eastAsia="en-GB"/>
        </w:rPr>
        <w:t xml:space="preserve"> dificultades deben ser solucionadas; así como los nuevos retos que deben abordarse. Se debe estimular el debate e informar de los próximos pasos y recomendaciones para el futuro. Además, se puede reforzar el compromiso de la Sociedad Nacional para continuar desarrollando su capacidad en PTE.</w:t>
      </w:r>
    </w:p>
    <w:p w14:paraId="0703AAAD" w14:textId="77777777" w:rsidR="00F04E33" w:rsidRPr="00B67BBB" w:rsidRDefault="00F04E33" w:rsidP="003C6CDA">
      <w:pPr>
        <w:pStyle w:val="Bullet2"/>
        <w:numPr>
          <w:ilvl w:val="0"/>
          <w:numId w:val="0"/>
        </w:numPr>
        <w:ind w:left="714"/>
        <w:rPr>
          <w:lang w:val="es-ES_tradnl" w:eastAsia="en-GB"/>
        </w:rPr>
      </w:pPr>
    </w:p>
    <w:p w14:paraId="59A56BF8" w14:textId="77777777" w:rsidR="00F04E33" w:rsidRPr="00B67BBB" w:rsidRDefault="00F04E33" w:rsidP="00FA711F">
      <w:pPr>
        <w:pStyle w:val="Bullet2"/>
        <w:rPr>
          <w:lang w:val="es-ES_tradnl" w:eastAsia="en-GB"/>
        </w:rPr>
      </w:pPr>
      <w:r w:rsidRPr="00B67BBB">
        <w:rPr>
          <w:b/>
          <w:lang w:val="es-ES_tradnl" w:eastAsia="en-GB"/>
        </w:rPr>
        <w:lastRenderedPageBreak/>
        <w:t>Discusión sobre las recomendaciones</w:t>
      </w:r>
      <w:r w:rsidRPr="00B67BBB">
        <w:rPr>
          <w:lang w:val="es-ES_tradnl" w:eastAsia="en-GB"/>
        </w:rPr>
        <w:t xml:space="preserve">. Esta sesión debe informar a los participantes sobre la capacidad actual de respuesta con PTE de la Sociedad Nacional y los puntos de acción recomendados. Debe incluir discusiones sobre: posibles opciones de movilización de recursos, si la Sociedad Nacional va a seguir con PTE; la posibilidad de replicar la experiencia en nuevas áreas/ seccionales; y las funciones del punto focal para PTE y el grupo técnico de trabajo. </w:t>
      </w:r>
    </w:p>
    <w:p w14:paraId="6F4F94A1" w14:textId="2F35BE68" w:rsidR="00F04E33" w:rsidRPr="00B67BBB" w:rsidRDefault="00B67BBB" w:rsidP="00F04E33">
      <w:pPr>
        <w:pStyle w:val="Bullet2"/>
        <w:rPr>
          <w:lang w:val="es-ES_tradnl" w:eastAsia="en-GB"/>
        </w:rPr>
      </w:pPr>
      <w:r>
        <w:rPr>
          <w:b/>
          <w:lang w:val="es-ES_tradnl" w:eastAsia="en-GB"/>
        </w:rPr>
        <w:t>Lecc</w:t>
      </w:r>
      <w:r w:rsidRPr="00B67BBB">
        <w:rPr>
          <w:b/>
          <w:lang w:val="es-ES_tradnl" w:eastAsia="en-GB"/>
        </w:rPr>
        <w:t>iones</w:t>
      </w:r>
      <w:r w:rsidR="00F04E33" w:rsidRPr="00B67BBB">
        <w:rPr>
          <w:b/>
          <w:lang w:val="es-ES_tradnl" w:eastAsia="en-GB"/>
        </w:rPr>
        <w:t xml:space="preserve"> aprendidas y puntos de acción</w:t>
      </w:r>
      <w:r w:rsidR="00F04E33" w:rsidRPr="00B67BBB">
        <w:rPr>
          <w:lang w:val="es-ES_tradnl" w:eastAsia="en-GB"/>
        </w:rPr>
        <w:t>. Esta sesión final debe permitir una recapitulación de las lecciones aprendidas durante el proceso de preparación de PTE y los puntos de acción decididos en el taller. Estos resultados deben ser reflejados por escrito y compartirse con las principales partes interesadas. El inform</w:t>
      </w:r>
      <w:bookmarkStart w:id="0" w:name="_GoBack"/>
      <w:bookmarkEnd w:id="0"/>
      <w:r w:rsidR="00F04E33" w:rsidRPr="00B67BBB">
        <w:rPr>
          <w:lang w:val="es-ES_tradnl" w:eastAsia="en-GB"/>
        </w:rPr>
        <w:t>e del taller de lecciones aprendidas debe:</w:t>
      </w:r>
    </w:p>
    <w:p w14:paraId="697F7A76" w14:textId="77777777" w:rsidR="000977EE" w:rsidRPr="00B67BBB" w:rsidRDefault="000977EE" w:rsidP="000977EE">
      <w:pPr>
        <w:pStyle w:val="ListParagraph"/>
        <w:numPr>
          <w:ilvl w:val="1"/>
          <w:numId w:val="1"/>
        </w:numPr>
        <w:spacing w:after="0"/>
        <w:rPr>
          <w:rFonts w:cs="Arial"/>
          <w:lang w:val="es-ES_tradnl" w:eastAsia="en-GB"/>
        </w:rPr>
      </w:pPr>
      <w:r w:rsidRPr="00B67BBB">
        <w:rPr>
          <w:rFonts w:cs="Arial"/>
          <w:lang w:val="es-ES_tradnl" w:eastAsia="en-GB"/>
        </w:rPr>
        <w:t>comenzar con un resumen de los principales logros y buenas prácticas</w:t>
      </w:r>
    </w:p>
    <w:p w14:paraId="5A89F29B" w14:textId="58FA5370" w:rsidR="000977EE" w:rsidRPr="00B67BBB" w:rsidRDefault="000977EE" w:rsidP="000977EE">
      <w:pPr>
        <w:pStyle w:val="ListParagraph"/>
        <w:numPr>
          <w:ilvl w:val="1"/>
          <w:numId w:val="1"/>
        </w:numPr>
        <w:spacing w:after="0"/>
        <w:rPr>
          <w:rFonts w:cs="Arial"/>
          <w:lang w:val="es-ES_tradnl" w:eastAsia="en-GB"/>
        </w:rPr>
      </w:pPr>
      <w:r w:rsidRPr="00B67BBB">
        <w:rPr>
          <w:rFonts w:cs="Arial"/>
          <w:lang w:val="es-ES_tradnl" w:eastAsia="en-GB"/>
        </w:rPr>
        <w:t>incluir una explicación resumida y el DAFO sobre capacidad en PTE</w:t>
      </w:r>
    </w:p>
    <w:p w14:paraId="792D1A2B" w14:textId="2F9C6883" w:rsidR="000977EE" w:rsidRPr="00B67BBB" w:rsidRDefault="000977EE" w:rsidP="000977EE">
      <w:pPr>
        <w:pStyle w:val="ListParagraph"/>
        <w:numPr>
          <w:ilvl w:val="1"/>
          <w:numId w:val="1"/>
        </w:numPr>
        <w:spacing w:after="0"/>
        <w:rPr>
          <w:rFonts w:cs="Arial"/>
          <w:lang w:val="es-ES_tradnl" w:eastAsia="en-GB"/>
        </w:rPr>
      </w:pPr>
      <w:r w:rsidRPr="00B67BBB">
        <w:rPr>
          <w:rFonts w:cs="Arial"/>
          <w:lang w:val="es-ES_tradnl" w:eastAsia="en-GB"/>
        </w:rPr>
        <w:t xml:space="preserve">incluir recomendaciones para la mejora de resultados específicos (sistemas, herramientas, materiales de formación, etc.) </w:t>
      </w:r>
    </w:p>
    <w:p w14:paraId="5251D91C" w14:textId="57837D67" w:rsidR="000977EE" w:rsidRPr="00B67BBB" w:rsidRDefault="000977EE" w:rsidP="000977EE">
      <w:pPr>
        <w:pStyle w:val="ListParagraph"/>
        <w:numPr>
          <w:ilvl w:val="1"/>
          <w:numId w:val="1"/>
        </w:numPr>
        <w:spacing w:after="0"/>
        <w:rPr>
          <w:rFonts w:cs="Arial"/>
          <w:lang w:val="es-ES_tradnl" w:eastAsia="en-GB"/>
        </w:rPr>
      </w:pPr>
      <w:r w:rsidRPr="00B67BBB">
        <w:rPr>
          <w:rFonts w:cs="Arial"/>
          <w:lang w:val="es-ES_tradnl" w:eastAsia="en-GB"/>
        </w:rPr>
        <w:t>incluir recomendaciones para mejorar/adaptar el proceso de preparación PTE</w:t>
      </w:r>
    </w:p>
    <w:p w14:paraId="2902D9D2" w14:textId="3C86DCE8" w:rsidR="000977EE" w:rsidRPr="00B67BBB" w:rsidRDefault="000977EE" w:rsidP="000977EE">
      <w:pPr>
        <w:pStyle w:val="ListParagraph"/>
        <w:numPr>
          <w:ilvl w:val="1"/>
          <w:numId w:val="1"/>
        </w:numPr>
        <w:spacing w:after="0"/>
        <w:rPr>
          <w:rFonts w:cs="Arial"/>
          <w:lang w:val="es-ES_tradnl" w:eastAsia="en-GB"/>
        </w:rPr>
      </w:pPr>
      <w:r w:rsidRPr="00B67BBB">
        <w:rPr>
          <w:rFonts w:cs="Arial"/>
          <w:lang w:val="es-ES_tradnl" w:eastAsia="en-GB"/>
        </w:rPr>
        <w:t>concluir con los siguientes pasos y recomendaciones para el futuro</w:t>
      </w:r>
    </w:p>
    <w:p w14:paraId="09C5B498" w14:textId="7525E62A" w:rsidR="000977EE" w:rsidRPr="00B67BBB" w:rsidRDefault="000977EE" w:rsidP="000977EE">
      <w:pPr>
        <w:pStyle w:val="ListParagraph"/>
        <w:numPr>
          <w:ilvl w:val="1"/>
          <w:numId w:val="1"/>
        </w:numPr>
        <w:spacing w:after="0"/>
        <w:rPr>
          <w:rFonts w:cs="Arial"/>
          <w:bCs/>
          <w:i/>
          <w:lang w:val="es-ES_tradnl" w:eastAsia="en-GB"/>
        </w:rPr>
      </w:pPr>
      <w:r w:rsidRPr="00B67BBB">
        <w:rPr>
          <w:rFonts w:cs="Arial"/>
          <w:lang w:val="es-ES_tradnl" w:eastAsia="en-GB"/>
        </w:rPr>
        <w:t>proporcionar enlaces con la Caja de herramientas para PTE mediante la identificación de la lista de herramientas/procesos que contribuyeron al fortalecimiento de la capacidad de implementar PTE a escala.</w:t>
      </w:r>
    </w:p>
    <w:p w14:paraId="0FFAD1D0" w14:textId="77777777" w:rsidR="000977EE" w:rsidRPr="00B67BBB" w:rsidRDefault="000977EE" w:rsidP="000977EE">
      <w:pPr>
        <w:pStyle w:val="ListParagraph"/>
        <w:spacing w:after="0"/>
        <w:ind w:left="1440"/>
        <w:rPr>
          <w:rFonts w:cs="Arial"/>
          <w:bCs/>
          <w:i/>
          <w:lang w:val="es-ES_tradnl" w:eastAsia="en-GB"/>
        </w:rPr>
      </w:pPr>
    </w:p>
    <w:p w14:paraId="12C974A8" w14:textId="7FEF45BA" w:rsidR="00D869D9" w:rsidRPr="00B67BBB" w:rsidRDefault="000977EE" w:rsidP="000977EE">
      <w:pPr>
        <w:spacing w:before="240"/>
        <w:rPr>
          <w:lang w:val="es-ES_tradnl" w:eastAsia="en-GB"/>
        </w:rPr>
      </w:pPr>
      <w:r w:rsidRPr="00B67BBB">
        <w:rPr>
          <w:bCs/>
          <w:lang w:val="es-ES_tradnl" w:eastAsia="en-GB"/>
        </w:rPr>
        <w:t>Hay que considerar la posibilidad de organizar un comunicado de prensa sobre taller de lecciones aprendidas de PTE o un servicio de noticias en línea por parte del departamento de comunicaciones, que podría ser compartido con los socios y los medios de comunicación. Además, el departamento de comunicación podría elaborar de un documento sobre el taller (escrito o audiovisual) para compartir con las sedes de otras Sociedades Nacionales y personal de las seccionales y voluntarios, así como con los socios que no pudieron asistir.</w:t>
      </w:r>
    </w:p>
    <w:sectPr w:rsidR="00D869D9" w:rsidRPr="00B67BBB" w:rsidSect="00F7504C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F2D70" w14:textId="77777777" w:rsidR="007F5762" w:rsidRDefault="007F5762" w:rsidP="0044653C">
      <w:r>
        <w:separator/>
      </w:r>
    </w:p>
  </w:endnote>
  <w:endnote w:type="continuationSeparator" w:id="0">
    <w:p w14:paraId="4A153AA0" w14:textId="77777777" w:rsidR="007F5762" w:rsidRDefault="007F5762" w:rsidP="004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D30F" w14:textId="168498E2" w:rsidR="00F7504C" w:rsidRPr="00B45C74" w:rsidRDefault="00F7504C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67BBB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48DA53E" w14:textId="60F7ECA4" w:rsidR="00F7504C" w:rsidRPr="003A3500" w:rsidRDefault="000977EE" w:rsidP="00ED1B2B">
    <w:pPr>
      <w:pStyle w:val="Footer"/>
    </w:pPr>
    <w:proofErr w:type="spellStart"/>
    <w:r>
      <w:rPr>
        <w:b/>
      </w:rPr>
      <w:t>Mó</w:t>
    </w:r>
    <w:r w:rsidR="003C6CDA">
      <w:rPr>
        <w:b/>
      </w:rPr>
      <w:t>dulo</w:t>
    </w:r>
    <w:proofErr w:type="spellEnd"/>
    <w:r w:rsidR="00F7504C" w:rsidRPr="00107E15">
      <w:rPr>
        <w:b/>
      </w:rPr>
      <w:t xml:space="preserve"> </w:t>
    </w:r>
    <w:r w:rsidR="00F7504C">
      <w:rPr>
        <w:b/>
      </w:rPr>
      <w:t>1</w:t>
    </w:r>
    <w:r w:rsidR="00F7504C" w:rsidRPr="00107E15">
      <w:rPr>
        <w:b/>
      </w:rPr>
      <w:t>.</w:t>
    </w:r>
    <w:r>
      <w:t xml:space="preserve"> </w:t>
    </w:r>
    <w:proofErr w:type="spellStart"/>
    <w:r>
      <w:t>Etapa</w:t>
    </w:r>
    <w:proofErr w:type="spellEnd"/>
    <w:r w:rsidR="00F7504C" w:rsidRPr="00107E15">
      <w:t xml:space="preserve"> </w:t>
    </w:r>
    <w:r w:rsidR="00F7504C">
      <w:t>3</w:t>
    </w:r>
    <w:r w:rsidR="00F7504C" w:rsidRPr="00107E15">
      <w:t>.</w:t>
    </w:r>
    <w:r>
      <w:t xml:space="preserve"> Sub-</w:t>
    </w:r>
    <w:proofErr w:type="spellStart"/>
    <w:r>
      <w:t>etapa</w:t>
    </w:r>
    <w:proofErr w:type="spellEnd"/>
    <w:r w:rsidR="00F7504C">
      <w:t xml:space="preserve"> 2. </w:t>
    </w:r>
    <w:r w:rsidR="00F7504C" w:rsidRPr="00F7504C">
      <w:rPr>
        <w:b/>
      </w:rPr>
      <w:fldChar w:fldCharType="begin"/>
    </w:r>
    <w:r w:rsidR="00F7504C" w:rsidRPr="00F7504C">
      <w:rPr>
        <w:b/>
      </w:rPr>
      <w:instrText xml:space="preserve"> STYLEREF  H1 \t  \* MERGEFORMAT </w:instrText>
    </w:r>
    <w:r w:rsidR="00F7504C" w:rsidRPr="00F7504C">
      <w:rPr>
        <w:b/>
      </w:rPr>
      <w:fldChar w:fldCharType="separate"/>
    </w:r>
    <w:r w:rsidR="00B67BBB" w:rsidRPr="00B67BBB">
      <w:rPr>
        <w:bCs/>
        <w:noProof/>
      </w:rPr>
      <w:t>Organización de un taller</w:t>
    </w:r>
    <w:r w:rsidR="00B67BBB">
      <w:rPr>
        <w:b/>
        <w:noProof/>
      </w:rPr>
      <w:t xml:space="preserve"> de lecciones aprendidas</w:t>
    </w:r>
    <w:r w:rsidR="00F7504C" w:rsidRPr="00F7504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159D" w14:textId="77777777" w:rsidR="007F5762" w:rsidRDefault="007F5762" w:rsidP="0044653C">
      <w:r>
        <w:separator/>
      </w:r>
    </w:p>
  </w:footnote>
  <w:footnote w:type="continuationSeparator" w:id="0">
    <w:p w14:paraId="4F603944" w14:textId="77777777" w:rsidR="007F5762" w:rsidRDefault="007F5762" w:rsidP="0044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4CA26" w14:textId="77777777" w:rsidR="00456565" w:rsidRPr="00290D13" w:rsidRDefault="00456565" w:rsidP="00456565">
    <w:pPr>
      <w:pStyle w:val="Header"/>
    </w:pPr>
    <w:proofErr w:type="spellStart"/>
    <w:r w:rsidRPr="00290D13">
      <w:rPr>
        <w:color w:val="FF0000"/>
      </w:rPr>
      <w:t>Federación</w:t>
    </w:r>
    <w:proofErr w:type="spellEnd"/>
    <w:r w:rsidRPr="00290D13">
      <w:rPr>
        <w:color w:val="FF0000"/>
      </w:rPr>
      <w:t xml:space="preserve"> </w:t>
    </w:r>
    <w:proofErr w:type="spellStart"/>
    <w:r w:rsidRPr="00290D13">
      <w:rPr>
        <w:color w:val="FF0000"/>
      </w:rPr>
      <w:t>Internacional</w:t>
    </w:r>
    <w:proofErr w:type="spellEnd"/>
    <w:r w:rsidRPr="00290D13">
      <w:rPr>
        <w:color w:val="FF0000"/>
      </w:rPr>
      <w:t xml:space="preserve"> de </w:t>
    </w:r>
    <w:proofErr w:type="spellStart"/>
    <w:r w:rsidRPr="00290D13">
      <w:rPr>
        <w:color w:val="FF0000"/>
      </w:rPr>
      <w:t>Sociedades</w:t>
    </w:r>
    <w:proofErr w:type="spellEnd"/>
    <w:r w:rsidRPr="00290D13">
      <w:rPr>
        <w:color w:val="FF0000"/>
      </w:rPr>
      <w:t xml:space="preserve"> de la Cruz Roja y de la Media Luna Roja </w:t>
    </w:r>
    <w:r w:rsidRPr="00290D13">
      <w:t xml:space="preserve">I </w:t>
    </w:r>
    <w:proofErr w:type="spellStart"/>
    <w:r w:rsidRPr="00290D13">
      <w:t>Caja</w:t>
    </w:r>
    <w:proofErr w:type="spellEnd"/>
    <w:r w:rsidRPr="00290D13">
      <w:t xml:space="preserve"> de </w:t>
    </w:r>
    <w:proofErr w:type="spellStart"/>
    <w:r w:rsidRPr="00290D13">
      <w:t>herramientas</w:t>
    </w:r>
    <w:proofErr w:type="spellEnd"/>
    <w:r w:rsidRPr="00290D13">
      <w:t xml:space="preserve"> para PTE </w:t>
    </w:r>
    <w:proofErr w:type="spellStart"/>
    <w:r w:rsidRPr="00290D13">
      <w:t>en</w:t>
    </w:r>
    <w:proofErr w:type="spellEnd"/>
    <w:r w:rsidRPr="00290D13">
      <w:t xml:space="preserve"> </w:t>
    </w:r>
    <w:proofErr w:type="spellStart"/>
    <w:r w:rsidRPr="00290D13">
      <w:t>emergencias</w:t>
    </w:r>
    <w:proofErr w:type="spellEnd"/>
  </w:p>
  <w:p w14:paraId="263CD2D1" w14:textId="0B960055" w:rsidR="00F7504C" w:rsidRPr="00456565" w:rsidRDefault="00F7504C" w:rsidP="00456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F7AFF"/>
    <w:multiLevelType w:val="hybridMultilevel"/>
    <w:tmpl w:val="AB8E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B5430"/>
    <w:multiLevelType w:val="hybridMultilevel"/>
    <w:tmpl w:val="E850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8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35"/>
  </w:num>
  <w:num w:numId="5">
    <w:abstractNumId w:val="16"/>
  </w:num>
  <w:num w:numId="6">
    <w:abstractNumId w:val="29"/>
  </w:num>
  <w:num w:numId="7">
    <w:abstractNumId w:val="42"/>
  </w:num>
  <w:num w:numId="8">
    <w:abstractNumId w:val="28"/>
  </w:num>
  <w:num w:numId="9">
    <w:abstractNumId w:val="33"/>
  </w:num>
  <w:num w:numId="10">
    <w:abstractNumId w:val="22"/>
  </w:num>
  <w:num w:numId="11">
    <w:abstractNumId w:val="44"/>
  </w:num>
  <w:num w:numId="12">
    <w:abstractNumId w:val="36"/>
  </w:num>
  <w:num w:numId="13">
    <w:abstractNumId w:val="37"/>
  </w:num>
  <w:num w:numId="14">
    <w:abstractNumId w:val="39"/>
  </w:num>
  <w:num w:numId="15">
    <w:abstractNumId w:val="41"/>
  </w:num>
  <w:num w:numId="16">
    <w:abstractNumId w:val="20"/>
  </w:num>
  <w:num w:numId="17">
    <w:abstractNumId w:val="40"/>
  </w:num>
  <w:num w:numId="18">
    <w:abstractNumId w:val="14"/>
  </w:num>
  <w:num w:numId="19">
    <w:abstractNumId w:val="13"/>
  </w:num>
  <w:num w:numId="20">
    <w:abstractNumId w:val="43"/>
  </w:num>
  <w:num w:numId="21">
    <w:abstractNumId w:val="32"/>
  </w:num>
  <w:num w:numId="22">
    <w:abstractNumId w:val="23"/>
  </w:num>
  <w:num w:numId="23">
    <w:abstractNumId w:val="17"/>
  </w:num>
  <w:num w:numId="24">
    <w:abstractNumId w:val="24"/>
  </w:num>
  <w:num w:numId="25">
    <w:abstractNumId w:val="30"/>
  </w:num>
  <w:num w:numId="26">
    <w:abstractNumId w:val="21"/>
  </w:num>
  <w:num w:numId="27">
    <w:abstractNumId w:val="19"/>
  </w:num>
  <w:num w:numId="28">
    <w:abstractNumId w:val="25"/>
  </w:num>
  <w:num w:numId="29">
    <w:abstractNumId w:val="45"/>
  </w:num>
  <w:num w:numId="30">
    <w:abstractNumId w:val="10"/>
  </w:num>
  <w:num w:numId="31">
    <w:abstractNumId w:val="31"/>
  </w:num>
  <w:num w:numId="32">
    <w:abstractNumId w:val="12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8"/>
  </w:num>
  <w:num w:numId="44">
    <w:abstractNumId w:val="11"/>
  </w:num>
  <w:num w:numId="45">
    <w:abstractNumId w:val="1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attachedTemplate r:id="rId1"/>
  <w:linkStyles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D9"/>
    <w:rsid w:val="0002462B"/>
    <w:rsid w:val="000977EE"/>
    <w:rsid w:val="000C19C5"/>
    <w:rsid w:val="00163EAB"/>
    <w:rsid w:val="001E4D42"/>
    <w:rsid w:val="0021356B"/>
    <w:rsid w:val="002707AB"/>
    <w:rsid w:val="00364870"/>
    <w:rsid w:val="003C5A4F"/>
    <w:rsid w:val="003C6CDA"/>
    <w:rsid w:val="0044653C"/>
    <w:rsid w:val="00456565"/>
    <w:rsid w:val="00571D77"/>
    <w:rsid w:val="005A4927"/>
    <w:rsid w:val="005A56D7"/>
    <w:rsid w:val="005E3544"/>
    <w:rsid w:val="00604D86"/>
    <w:rsid w:val="006B3917"/>
    <w:rsid w:val="006C1AE2"/>
    <w:rsid w:val="007F5762"/>
    <w:rsid w:val="0084790C"/>
    <w:rsid w:val="008C08D9"/>
    <w:rsid w:val="00975ACB"/>
    <w:rsid w:val="009A3E32"/>
    <w:rsid w:val="00AA7798"/>
    <w:rsid w:val="00B26040"/>
    <w:rsid w:val="00B413C0"/>
    <w:rsid w:val="00B67BBB"/>
    <w:rsid w:val="00B8465D"/>
    <w:rsid w:val="00C737F5"/>
    <w:rsid w:val="00C93BD3"/>
    <w:rsid w:val="00CE0B84"/>
    <w:rsid w:val="00D869D9"/>
    <w:rsid w:val="00E20233"/>
    <w:rsid w:val="00F04E33"/>
    <w:rsid w:val="00F66FE7"/>
    <w:rsid w:val="00F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4D526"/>
  <w14:defaultImageDpi w14:val="300"/>
  <w15:docId w15:val="{362BA0D7-653E-4624-8F25-EC2FF024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04C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F7504C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504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04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504C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7504C"/>
    <w:rPr>
      <w:rFonts w:ascii="Cambria" w:eastAsiaTheme="minorHAnsi" w:hAnsi="Cambria" w:cstheme="minorBidi"/>
      <w:color w:val="auto"/>
      <w:sz w:val="20"/>
    </w:rPr>
  </w:style>
  <w:style w:type="table" w:styleId="TableGrid">
    <w:name w:val="Table Grid"/>
    <w:basedOn w:val="TableNormal"/>
    <w:uiPriority w:val="59"/>
    <w:rsid w:val="00F7504C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869D9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7504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7504C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7504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504C"/>
    <w:rPr>
      <w:rFonts w:ascii="Arial" w:hAnsi="Arial"/>
      <w:color w:val="auto"/>
      <w:sz w:val="16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F7504C"/>
    <w:pPr>
      <w:spacing w:after="0"/>
    </w:pPr>
    <w:rPr>
      <w:sz w:val="16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04C"/>
    <w:rPr>
      <w:rFonts w:ascii="Cambria" w:hAnsi="Cambria"/>
      <w:color w:val="auto"/>
      <w:sz w:val="16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F7504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7504C"/>
    <w:rPr>
      <w:rFonts w:ascii="Cambria" w:hAnsi="Cambria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7504C"/>
    <w:rPr>
      <w:rFonts w:ascii="Cambria" w:hAnsi="Cambria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04C"/>
    <w:rPr>
      <w:rFonts w:ascii="Cambria" w:hAnsi="Cambria"/>
      <w:b/>
      <w:color w:val="auto"/>
      <w:szCs w:val="24"/>
    </w:rPr>
  </w:style>
  <w:style w:type="paragraph" w:customStyle="1" w:styleId="Default">
    <w:name w:val="Default"/>
    <w:rsid w:val="00F750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50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0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04C"/>
    <w:rPr>
      <w:rFonts w:ascii="Cambria" w:hAnsi="Cambria"/>
      <w:color w:val="auto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7504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7504C"/>
    <w:rPr>
      <w:rFonts w:ascii="Cambria" w:hAnsi="Cambria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04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4C"/>
    <w:rPr>
      <w:rFonts w:ascii="Lucida Grande" w:hAnsi="Lucida Grande" w:cs="Lucida Grande"/>
      <w:color w:val="auto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F7504C"/>
    <w:rPr>
      <w:b/>
    </w:rPr>
  </w:style>
  <w:style w:type="character" w:styleId="Hyperlink">
    <w:name w:val="Hyperlink"/>
    <w:basedOn w:val="DefaultParagraphFont"/>
    <w:uiPriority w:val="99"/>
    <w:unhideWhenUsed/>
    <w:rsid w:val="00F750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504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504C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7504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7504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7504C"/>
    <w:pPr>
      <w:numPr>
        <w:numId w:val="16"/>
      </w:numPr>
      <w:spacing w:after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7504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7504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7504C"/>
    <w:rPr>
      <w:b/>
      <w:color w:val="CC0000"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7504C"/>
    <w:rPr>
      <w:rFonts w:cs="Caecilia-Light"/>
      <w:color w:val="F0281E"/>
      <w:szCs w:val="16"/>
    </w:rPr>
  </w:style>
  <w:style w:type="character" w:customStyle="1" w:styleId="H1Char">
    <w:name w:val="H1 Char"/>
    <w:basedOn w:val="DefaultParagraphFont"/>
    <w:link w:val="H1"/>
    <w:rsid w:val="00F7504C"/>
    <w:rPr>
      <w:rFonts w:ascii="Cambria" w:hAnsi="Cambria"/>
      <w:b/>
      <w:color w:val="auto"/>
      <w:sz w:val="40"/>
      <w:szCs w:val="52"/>
    </w:rPr>
  </w:style>
  <w:style w:type="table" w:customStyle="1" w:styleId="TableGray">
    <w:name w:val="Table Gray"/>
    <w:basedOn w:val="TableNormal"/>
    <w:uiPriority w:val="99"/>
    <w:rsid w:val="00F7504C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6B3917"/>
    <w:pPr>
      <w:numPr>
        <w:numId w:val="43"/>
      </w:numPr>
      <w:tabs>
        <w:tab w:val="left" w:pos="7230"/>
      </w:tabs>
      <w:spacing w:before="240"/>
      <w:ind w:left="714" w:hanging="357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F7504C"/>
    <w:pPr>
      <w:numPr>
        <w:ilvl w:val="1"/>
        <w:numId w:val="4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7504C"/>
    <w:pPr>
      <w:numPr>
        <w:numId w:val="46"/>
      </w:numPr>
    </w:pPr>
    <w:rPr>
      <w:rFonts w:eastAsia="MS Mincho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119</TotalTime>
  <Pages>1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Ines DALMAU i GUTSENS</cp:lastModifiedBy>
  <cp:revision>6</cp:revision>
  <cp:lastPrinted>2015-09-09T16:50:00Z</cp:lastPrinted>
  <dcterms:created xsi:type="dcterms:W3CDTF">2016-02-07T18:53:00Z</dcterms:created>
  <dcterms:modified xsi:type="dcterms:W3CDTF">2016-02-10T21:29:00Z</dcterms:modified>
</cp:coreProperties>
</file>