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6B" w:rsidRPr="007B4018" w:rsidRDefault="00855C0A" w:rsidP="00BC4980">
      <w:pPr>
        <w:pStyle w:val="H1"/>
        <w:rPr>
          <w:lang w:val="fr-FR"/>
        </w:rPr>
      </w:pPr>
      <w:r w:rsidRPr="007B4018">
        <w:rPr>
          <w:lang w:val="fr-FR"/>
        </w:rPr>
        <w:t>Mécanisme de ciblage</w:t>
      </w:r>
    </w:p>
    <w:p w:rsidR="00B31ED9" w:rsidRPr="007B4018" w:rsidRDefault="00F57262" w:rsidP="009818EB">
      <w:pPr>
        <w:rPr>
          <w:lang w:val="fr-FR"/>
        </w:rPr>
      </w:pPr>
      <w:r w:rsidRPr="007B4018">
        <w:rPr>
          <w:lang w:val="fr-FR"/>
        </w:rPr>
        <w:t>Cet</w:t>
      </w:r>
      <w:r w:rsidR="00B31ED9" w:rsidRPr="007B4018">
        <w:rPr>
          <w:lang w:val="fr-FR"/>
        </w:rPr>
        <w:t xml:space="preserve"> </w:t>
      </w:r>
      <w:r w:rsidR="009818EB" w:rsidRPr="007B4018">
        <w:rPr>
          <w:lang w:val="fr-FR"/>
        </w:rPr>
        <w:t>outil</w:t>
      </w:r>
      <w:r w:rsidR="00B31ED9" w:rsidRPr="007B4018">
        <w:rPr>
          <w:lang w:val="fr-FR"/>
        </w:rPr>
        <w:t xml:space="preserve"> </w:t>
      </w:r>
      <w:r w:rsidRPr="007B4018">
        <w:rPr>
          <w:lang w:val="fr-FR"/>
        </w:rPr>
        <w:t>vous donnera des informations sur les éléments à prendre en compte pour</w:t>
      </w:r>
      <w:r w:rsidR="00B31ED9" w:rsidRPr="007B4018">
        <w:rPr>
          <w:lang w:val="fr-FR"/>
        </w:rPr>
        <w:t xml:space="preserve"> sélection</w:t>
      </w:r>
      <w:r w:rsidRPr="007B4018">
        <w:rPr>
          <w:lang w:val="fr-FR"/>
        </w:rPr>
        <w:t>ner un</w:t>
      </w:r>
      <w:r w:rsidR="00B31ED9" w:rsidRPr="007B4018">
        <w:rPr>
          <w:lang w:val="fr-FR"/>
        </w:rPr>
        <w:t xml:space="preserve"> mécanisme de ciblage. Les mécanismes les plus fréquemment utilisés sont les suivants :</w:t>
      </w:r>
    </w:p>
    <w:p w:rsidR="0029190E" w:rsidRPr="007B4018" w:rsidRDefault="00B31ED9" w:rsidP="00282C8E">
      <w:pPr>
        <w:pStyle w:val="Bullet2"/>
        <w:ind w:left="714" w:hanging="357"/>
        <w:rPr>
          <w:color w:val="000000"/>
          <w:lang w:val="fr-FR"/>
        </w:rPr>
      </w:pPr>
      <w:r w:rsidRPr="007B4018">
        <w:rPr>
          <w:lang w:val="fr-FR"/>
        </w:rPr>
        <w:t>le ciblage communautaire ;</w:t>
      </w:r>
      <w:r w:rsidR="0029190E" w:rsidRPr="007B4018">
        <w:rPr>
          <w:lang w:val="fr-FR"/>
        </w:rPr>
        <w:t xml:space="preserve"> </w:t>
      </w:r>
    </w:p>
    <w:p w:rsidR="0029190E" w:rsidRPr="007B4018" w:rsidRDefault="00B31ED9" w:rsidP="00282C8E">
      <w:pPr>
        <w:pStyle w:val="Bullet2"/>
        <w:ind w:left="714" w:hanging="357"/>
        <w:rPr>
          <w:color w:val="000000"/>
          <w:lang w:val="fr-FR"/>
        </w:rPr>
      </w:pPr>
      <w:r w:rsidRPr="007B4018">
        <w:rPr>
          <w:lang w:val="fr-FR"/>
        </w:rPr>
        <w:t>l’auto-ciblage ;</w:t>
      </w:r>
    </w:p>
    <w:p w:rsidR="0029190E" w:rsidRPr="007B4018" w:rsidRDefault="00B31ED9" w:rsidP="00282C8E">
      <w:pPr>
        <w:pStyle w:val="Bullet2"/>
        <w:ind w:left="714" w:hanging="357"/>
        <w:rPr>
          <w:color w:val="000000"/>
          <w:lang w:val="fr-FR"/>
        </w:rPr>
      </w:pPr>
      <w:r w:rsidRPr="007B4018">
        <w:rPr>
          <w:lang w:val="fr-FR"/>
        </w:rPr>
        <w:t>le ciblage par catégorie.</w:t>
      </w:r>
    </w:p>
    <w:p w:rsidR="00B31ED9" w:rsidRPr="007B4018" w:rsidRDefault="00B31ED9" w:rsidP="00A541E5">
      <w:pPr>
        <w:rPr>
          <w:lang w:val="fr-FR"/>
        </w:rPr>
      </w:pPr>
      <w:r w:rsidRPr="007B4018">
        <w:rPr>
          <w:lang w:val="fr-FR"/>
        </w:rPr>
        <w:t xml:space="preserve">Ces différents mécanismes sont résumés dans le tableau </w:t>
      </w:r>
      <w:r w:rsidR="009818EB" w:rsidRPr="007B4018">
        <w:rPr>
          <w:lang w:val="fr-FR"/>
        </w:rPr>
        <w:t xml:space="preserve">présenté à la fin du </w:t>
      </w:r>
      <w:r w:rsidRPr="007B4018">
        <w:rPr>
          <w:lang w:val="fr-FR"/>
        </w:rPr>
        <w:t xml:space="preserve">document. Chaque mécanisme a des avantages et des inconvénients. Votre choix final </w:t>
      </w:r>
      <w:r w:rsidR="00A541E5" w:rsidRPr="007B4018">
        <w:rPr>
          <w:lang w:val="fr-FR"/>
        </w:rPr>
        <w:t>résultera</w:t>
      </w:r>
      <w:r w:rsidRPr="007B4018">
        <w:rPr>
          <w:lang w:val="fr-FR"/>
        </w:rPr>
        <w:t xml:space="preserve"> </w:t>
      </w:r>
      <w:r w:rsidR="006602C0" w:rsidRPr="007B4018">
        <w:rPr>
          <w:lang w:val="fr-FR"/>
        </w:rPr>
        <w:t>vraisemblabl</w:t>
      </w:r>
      <w:r w:rsidRPr="007B4018">
        <w:rPr>
          <w:lang w:val="fr-FR"/>
        </w:rPr>
        <w:t xml:space="preserve">ement </w:t>
      </w:r>
      <w:r w:rsidR="00A541E5" w:rsidRPr="007B4018">
        <w:rPr>
          <w:lang w:val="fr-FR"/>
        </w:rPr>
        <w:t>d’</w:t>
      </w:r>
      <w:r w:rsidRPr="007B4018">
        <w:rPr>
          <w:lang w:val="fr-FR"/>
        </w:rPr>
        <w:t>un compromis entre les coûts, la précision et la faisabilité de chacun d’entre eux.</w:t>
      </w:r>
    </w:p>
    <w:p w:rsidR="00B31ED9" w:rsidRPr="007B4018" w:rsidRDefault="00B31ED9" w:rsidP="00A541E5">
      <w:pPr>
        <w:rPr>
          <w:lang w:val="fr-FR"/>
        </w:rPr>
      </w:pPr>
      <w:r w:rsidRPr="007B4018">
        <w:rPr>
          <w:lang w:val="fr-FR"/>
        </w:rPr>
        <w:t xml:space="preserve">Le choix du mécanisme de ciblage devra </w:t>
      </w:r>
      <w:r w:rsidR="003D2D33" w:rsidRPr="007B4018">
        <w:rPr>
          <w:lang w:val="fr-FR"/>
        </w:rPr>
        <w:t>être fondé</w:t>
      </w:r>
      <w:r w:rsidRPr="007B4018">
        <w:rPr>
          <w:lang w:val="fr-FR"/>
        </w:rPr>
        <w:t xml:space="preserve"> sur des discussions avec les membres de la communauté afin de garantir le bon déroulement de l’intervention. Cet aspect est particulièrement important lorsque plusieurs</w:t>
      </w:r>
      <w:r w:rsidR="00A541E5" w:rsidRPr="007B4018">
        <w:rPr>
          <w:lang w:val="fr-FR"/>
        </w:rPr>
        <w:t xml:space="preserve"> distributions </w:t>
      </w:r>
      <w:r w:rsidRPr="007B4018">
        <w:rPr>
          <w:lang w:val="fr-FR"/>
        </w:rPr>
        <w:t>sont prévu</w:t>
      </w:r>
      <w:r w:rsidR="00A541E5" w:rsidRPr="007B4018">
        <w:rPr>
          <w:lang w:val="fr-FR"/>
        </w:rPr>
        <w:t>e</w:t>
      </w:r>
      <w:r w:rsidRPr="007B4018">
        <w:rPr>
          <w:lang w:val="fr-FR"/>
        </w:rPr>
        <w:t xml:space="preserve">s. Plus il sera simple et facile </w:t>
      </w:r>
      <w:r w:rsidR="006602C0" w:rsidRPr="007B4018">
        <w:rPr>
          <w:lang w:val="fr-FR"/>
        </w:rPr>
        <w:t>d’identifier</w:t>
      </w:r>
      <w:r w:rsidRPr="007B4018">
        <w:rPr>
          <w:lang w:val="fr-FR"/>
        </w:rPr>
        <w:t xml:space="preserve"> qui peut pré</w:t>
      </w:r>
      <w:r w:rsidR="006602C0" w:rsidRPr="007B4018">
        <w:rPr>
          <w:lang w:val="fr-FR"/>
        </w:rPr>
        <w:t>tendre</w:t>
      </w:r>
      <w:r w:rsidRPr="007B4018">
        <w:rPr>
          <w:lang w:val="fr-FR"/>
        </w:rPr>
        <w:t xml:space="preserve"> à une aide financière en vertu des critè</w:t>
      </w:r>
      <w:r w:rsidR="006602C0" w:rsidRPr="007B4018">
        <w:rPr>
          <w:lang w:val="fr-FR"/>
        </w:rPr>
        <w:t>res de ciblage définis, plus la mise en œuvre</w:t>
      </w:r>
      <w:r w:rsidRPr="007B4018">
        <w:rPr>
          <w:lang w:val="fr-FR"/>
        </w:rPr>
        <w:t xml:space="preserve"> des opérations de transferts monétaires s’en trouvera facilité</w:t>
      </w:r>
      <w:r w:rsidR="006602C0" w:rsidRPr="007B4018">
        <w:rPr>
          <w:lang w:val="fr-FR"/>
        </w:rPr>
        <w:t>e</w:t>
      </w:r>
      <w:r w:rsidRPr="007B4018">
        <w:rPr>
          <w:lang w:val="fr-FR"/>
        </w:rPr>
        <w:t>.</w:t>
      </w:r>
    </w:p>
    <w:p w:rsidR="00DB4A58" w:rsidRPr="007B4018" w:rsidRDefault="00B31ED9" w:rsidP="00A541E5">
      <w:pPr>
        <w:rPr>
          <w:lang w:val="fr-FR"/>
        </w:rPr>
      </w:pPr>
      <w:r w:rsidRPr="007B4018">
        <w:rPr>
          <w:lang w:val="fr-FR"/>
        </w:rPr>
        <w:t>Le mécanisme de retour</w:t>
      </w:r>
      <w:r w:rsidR="00A541E5" w:rsidRPr="007B4018">
        <w:rPr>
          <w:lang w:val="fr-FR"/>
        </w:rPr>
        <w:t>s</w:t>
      </w:r>
      <w:r w:rsidRPr="007B4018">
        <w:rPr>
          <w:lang w:val="fr-FR"/>
        </w:rPr>
        <w:t xml:space="preserve"> d’information mis en place </w:t>
      </w:r>
      <w:r w:rsidR="006602C0" w:rsidRPr="007B4018">
        <w:rPr>
          <w:lang w:val="fr-FR"/>
        </w:rPr>
        <w:t>devra faire face à un</w:t>
      </w:r>
      <w:r w:rsidRPr="007B4018">
        <w:rPr>
          <w:lang w:val="fr-FR"/>
        </w:rPr>
        <w:t xml:space="preserve"> plus grand nombre d’erreurs d’inclusion et d’exclusion si la population touchée ne comprend pas le mécanisme de ciblage choisi ou n’</w:t>
      </w:r>
      <w:r w:rsidR="00A541E5" w:rsidRPr="007B4018">
        <w:rPr>
          <w:lang w:val="fr-FR"/>
        </w:rPr>
        <w:t>y adhère pas</w:t>
      </w:r>
      <w:r w:rsidRPr="007B4018">
        <w:rPr>
          <w:lang w:val="fr-FR"/>
        </w:rPr>
        <w:t>.</w:t>
      </w:r>
      <w:r w:rsidR="00905C8B" w:rsidRPr="007B4018">
        <w:rPr>
          <w:lang w:val="fr-FR"/>
        </w:rPr>
        <w:t xml:space="preserve"> </w:t>
      </w:r>
    </w:p>
    <w:p w:rsidR="0029190E" w:rsidRPr="007B4018" w:rsidRDefault="00A541E5" w:rsidP="006E2A43">
      <w:pPr>
        <w:rPr>
          <w:lang w:val="fr-FR"/>
        </w:rPr>
      </w:pPr>
      <w:r w:rsidRPr="007B4018">
        <w:rPr>
          <w:lang w:val="fr-FR"/>
        </w:rPr>
        <w:t>L</w:t>
      </w:r>
      <w:r w:rsidR="00B31ED9" w:rsidRPr="007B4018">
        <w:rPr>
          <w:lang w:val="fr-FR"/>
        </w:rPr>
        <w:t xml:space="preserve">e choix du mécanisme de ciblage peut être influencé </w:t>
      </w:r>
      <w:r w:rsidR="006602C0" w:rsidRPr="007B4018">
        <w:rPr>
          <w:lang w:val="fr-FR"/>
        </w:rPr>
        <w:t>par le choix de la modalité et des</w:t>
      </w:r>
      <w:r w:rsidR="00B31ED9" w:rsidRPr="007B4018">
        <w:rPr>
          <w:lang w:val="fr-FR"/>
        </w:rPr>
        <w:t xml:space="preserve"> mécanisme</w:t>
      </w:r>
      <w:r w:rsidR="006602C0" w:rsidRPr="007B4018">
        <w:rPr>
          <w:lang w:val="fr-FR"/>
        </w:rPr>
        <w:t>s</w:t>
      </w:r>
      <w:r w:rsidR="00B31ED9" w:rsidRPr="007B4018">
        <w:rPr>
          <w:lang w:val="fr-FR"/>
        </w:rPr>
        <w:t xml:space="preserve"> de distribution, certaines formes de transferts monétaires pouvant être plus adaptées aux mécanismes de ciblage. Vous pouvez par exemple </w:t>
      </w:r>
      <w:r w:rsidR="00B647D6" w:rsidRPr="007B4018">
        <w:rPr>
          <w:lang w:val="fr-FR"/>
        </w:rPr>
        <w:t>définir les bénéficiaires du système de sécurité sociale comme un groupe cible potentiel des transferts monétaires dans une situation d’urgence.</w:t>
      </w:r>
    </w:p>
    <w:p w:rsidR="0029190E" w:rsidRPr="007B4018" w:rsidRDefault="00D057AA" w:rsidP="00A541E5">
      <w:pPr>
        <w:spacing w:after="240"/>
        <w:rPr>
          <w:lang w:val="fr-FR"/>
        </w:rPr>
      </w:pPr>
      <w:r w:rsidRPr="007B4018">
        <w:rPr>
          <w:lang w:val="fr-FR"/>
        </w:rPr>
        <w:t xml:space="preserve">Le tableau ci-dessous </w:t>
      </w:r>
      <w:r w:rsidR="00A541E5" w:rsidRPr="007B4018">
        <w:rPr>
          <w:lang w:val="fr-FR"/>
        </w:rPr>
        <w:t>présente</w:t>
      </w:r>
      <w:r w:rsidRPr="007B4018">
        <w:rPr>
          <w:lang w:val="fr-FR"/>
        </w:rPr>
        <w:t xml:space="preserve"> les aspects devant être </w:t>
      </w:r>
      <w:r w:rsidR="00601C83" w:rsidRPr="007B4018">
        <w:rPr>
          <w:lang w:val="fr-FR"/>
        </w:rPr>
        <w:t xml:space="preserve">pris en compte </w:t>
      </w:r>
      <w:r w:rsidR="00A541E5" w:rsidRPr="007B4018">
        <w:rPr>
          <w:lang w:val="fr-FR"/>
        </w:rPr>
        <w:t xml:space="preserve">pour </w:t>
      </w:r>
      <w:r w:rsidR="00601C83" w:rsidRPr="007B4018">
        <w:rPr>
          <w:lang w:val="fr-FR"/>
        </w:rPr>
        <w:t>identifier</w:t>
      </w:r>
      <w:r w:rsidRPr="007B4018">
        <w:rPr>
          <w:lang w:val="fr-FR"/>
        </w:rPr>
        <w:t xml:space="preserve"> le mécanisme de ciblage le plus adapté.</w:t>
      </w:r>
    </w:p>
    <w:tbl>
      <w:tblPr>
        <w:tblStyle w:val="TableGrid"/>
        <w:tblW w:w="4882" w:type="pct"/>
        <w:tblInd w:w="130" w:type="dxa"/>
        <w:tblLook w:val="00A0" w:firstRow="1" w:lastRow="0" w:firstColumn="1" w:lastColumn="0" w:noHBand="0" w:noVBand="0"/>
      </w:tblPr>
      <w:tblGrid>
        <w:gridCol w:w="13"/>
        <w:gridCol w:w="3210"/>
        <w:gridCol w:w="8"/>
        <w:gridCol w:w="6375"/>
        <w:gridCol w:w="10"/>
      </w:tblGrid>
      <w:tr w:rsidR="00736A83" w:rsidRPr="007B4018" w:rsidTr="00B23583">
        <w:trPr>
          <w:gridAfter w:val="1"/>
          <w:wAfter w:w="5" w:type="pct"/>
        </w:trPr>
        <w:tc>
          <w:tcPr>
            <w:tcW w:w="167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7B4018" w:rsidRDefault="00D52689" w:rsidP="00D057AA">
            <w:pPr>
              <w:spacing w:before="12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 xml:space="preserve">Impact </w:t>
            </w:r>
            <w:r w:rsidR="00D057AA" w:rsidRPr="007B4018">
              <w:rPr>
                <w:b/>
                <w:lang w:val="fr-FR"/>
              </w:rPr>
              <w:t>de la situation d’urgence</w:t>
            </w:r>
          </w:p>
        </w:tc>
        <w:tc>
          <w:tcPr>
            <w:tcW w:w="331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647D6" w:rsidRPr="007B4018" w:rsidRDefault="00B647D6" w:rsidP="00A541E5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Par exemple, lorsqu’une communauté entière a été touchée, la distribution générale</w:t>
            </w:r>
            <w:r w:rsidR="0013607E" w:rsidRPr="007B4018">
              <w:rPr>
                <w:lang w:val="fr-FR"/>
              </w:rPr>
              <w:t xml:space="preserve"> d’espèces</w:t>
            </w:r>
            <w:r w:rsidRPr="007B4018">
              <w:rPr>
                <w:lang w:val="fr-FR"/>
              </w:rPr>
              <w:t xml:space="preserve"> peut être appropriée, au moins </w:t>
            </w:r>
            <w:r w:rsidR="00A541E5" w:rsidRPr="007B4018">
              <w:rPr>
                <w:lang w:val="fr-FR"/>
              </w:rPr>
              <w:t>durant</w:t>
            </w:r>
            <w:r w:rsidRPr="007B4018">
              <w:rPr>
                <w:lang w:val="fr-FR"/>
              </w:rPr>
              <w:t xml:space="preserve"> la première phase de l’intervention.</w:t>
            </w:r>
          </w:p>
        </w:tc>
      </w:tr>
      <w:tr w:rsidR="00736A83" w:rsidRPr="007B4018" w:rsidTr="00B23583">
        <w:trPr>
          <w:gridAfter w:val="1"/>
          <w:wAfter w:w="5" w:type="pct"/>
        </w:trPr>
        <w:tc>
          <w:tcPr>
            <w:tcW w:w="1676" w:type="pct"/>
            <w:gridSpan w:val="2"/>
            <w:shd w:val="clear" w:color="auto" w:fill="E6E6E6"/>
          </w:tcPr>
          <w:p w:rsidR="00DA756B" w:rsidRPr="007B4018" w:rsidRDefault="00D057AA" w:rsidP="00442B95">
            <w:pPr>
              <w:spacing w:before="12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 xml:space="preserve">Type de </w:t>
            </w:r>
            <w:r w:rsidR="00D52689" w:rsidRPr="007B4018">
              <w:rPr>
                <w:b/>
                <w:lang w:val="fr-FR"/>
              </w:rPr>
              <w:t>programme</w:t>
            </w:r>
          </w:p>
        </w:tc>
        <w:tc>
          <w:tcPr>
            <w:tcW w:w="3319" w:type="pct"/>
            <w:gridSpan w:val="2"/>
            <w:shd w:val="clear" w:color="auto" w:fill="F3F3F3"/>
          </w:tcPr>
          <w:p w:rsidR="00B647D6" w:rsidRPr="007B4018" w:rsidRDefault="00B647D6" w:rsidP="00A541E5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 xml:space="preserve">L’auto-ciblage peut </w:t>
            </w:r>
            <w:r w:rsidR="0013607E" w:rsidRPr="007B4018">
              <w:rPr>
                <w:lang w:val="fr-FR"/>
              </w:rPr>
              <w:t xml:space="preserve">par exemple </w:t>
            </w:r>
            <w:r w:rsidRPr="007B4018">
              <w:rPr>
                <w:lang w:val="fr-FR"/>
              </w:rPr>
              <w:t xml:space="preserve">être un mécanisme approprié dans le </w:t>
            </w:r>
            <w:r w:rsidR="00A541E5" w:rsidRPr="007B4018">
              <w:rPr>
                <w:lang w:val="fr-FR"/>
              </w:rPr>
              <w:t>contexte</w:t>
            </w:r>
            <w:r w:rsidRPr="007B4018">
              <w:rPr>
                <w:lang w:val="fr-FR"/>
              </w:rPr>
              <w:t xml:space="preserve"> des programmes « argent contre travail ».</w:t>
            </w:r>
          </w:p>
          <w:p w:rsidR="00DA756B" w:rsidRPr="007B4018" w:rsidRDefault="0013607E" w:rsidP="00442B95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L</w:t>
            </w:r>
            <w:r w:rsidR="00B647D6" w:rsidRPr="007B4018">
              <w:rPr>
                <w:lang w:val="fr-FR"/>
              </w:rPr>
              <w:t xml:space="preserve">e ciblage par catégorie peut </w:t>
            </w:r>
            <w:r w:rsidRPr="007B4018">
              <w:rPr>
                <w:lang w:val="fr-FR"/>
              </w:rPr>
              <w:t xml:space="preserve">quant à lui </w:t>
            </w:r>
            <w:r w:rsidR="00B647D6" w:rsidRPr="007B4018">
              <w:rPr>
                <w:lang w:val="fr-FR"/>
              </w:rPr>
              <w:t xml:space="preserve">se révéler </w:t>
            </w:r>
            <w:r w:rsidRPr="007B4018">
              <w:rPr>
                <w:lang w:val="fr-FR"/>
              </w:rPr>
              <w:t xml:space="preserve">le </w:t>
            </w:r>
            <w:r w:rsidR="00B647D6" w:rsidRPr="007B4018">
              <w:rPr>
                <w:lang w:val="fr-FR"/>
              </w:rPr>
              <w:t>plus approprié lorsque les programmes de transferts monétaires ont un objectif sanitaire.</w:t>
            </w:r>
          </w:p>
        </w:tc>
      </w:tr>
      <w:tr w:rsidR="00736A83" w:rsidRPr="007B4018" w:rsidTr="00B0080D">
        <w:tblPrEx>
          <w:jc w:val="center"/>
        </w:tblPrEx>
        <w:trPr>
          <w:gridBefore w:val="1"/>
          <w:wBefore w:w="7" w:type="pct"/>
          <w:trHeight w:val="1583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7B4018" w:rsidRDefault="00D057AA" w:rsidP="00442B95">
            <w:pPr>
              <w:spacing w:before="12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>Précision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D3C48" w:rsidRPr="007B4018" w:rsidRDefault="002D3C48" w:rsidP="00442B95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Quelle est la probabilité d’exclure des individus ou des ménages qui, en vertu des critères de ciblage définis, devraient être inclus dans le projet ?</w:t>
            </w:r>
          </w:p>
          <w:p w:rsidR="00DA756B" w:rsidRPr="007B4018" w:rsidRDefault="002D3C48" w:rsidP="00717DDD">
            <w:pPr>
              <w:spacing w:before="120" w:after="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Quelle est la probabilité d’inclure des individus qui, en vertu des critères de ciblage définis, devraient être exclus du projet ?</w:t>
            </w:r>
          </w:p>
        </w:tc>
      </w:tr>
      <w:tr w:rsidR="00736A83" w:rsidRPr="007B4018" w:rsidTr="00B23583">
        <w:tblPrEx>
          <w:jc w:val="center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7B4018" w:rsidRDefault="00D057AA" w:rsidP="00A541E5">
            <w:pPr>
              <w:spacing w:before="12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>Coûts administratifs</w:t>
            </w:r>
            <w:r w:rsidR="00D52689" w:rsidRPr="007B4018">
              <w:rPr>
                <w:b/>
                <w:lang w:val="fr-FR"/>
              </w:rPr>
              <w:t xml:space="preserve"> </w:t>
            </w:r>
            <w:r w:rsidR="00442B95" w:rsidRPr="007B4018">
              <w:rPr>
                <w:b/>
                <w:lang w:val="fr-FR"/>
              </w:rPr>
              <w:br/>
            </w:r>
            <w:r w:rsidR="00D52689" w:rsidRPr="007B4018">
              <w:rPr>
                <w:b/>
                <w:lang w:val="fr-FR"/>
              </w:rPr>
              <w:t>(</w:t>
            </w:r>
            <w:r w:rsidRPr="007B4018">
              <w:rPr>
                <w:b/>
                <w:lang w:val="fr-FR"/>
              </w:rPr>
              <w:t>et capacités de l’organis</w:t>
            </w:r>
            <w:r w:rsidR="00A541E5" w:rsidRPr="007B4018">
              <w:rPr>
                <w:b/>
                <w:lang w:val="fr-FR"/>
              </w:rPr>
              <w:t>ation</w:t>
            </w:r>
            <w:r w:rsidR="00D52689" w:rsidRPr="007B4018">
              <w:rPr>
                <w:b/>
                <w:lang w:val="fr-FR"/>
              </w:rPr>
              <w:t>)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A756B" w:rsidRPr="007B4018" w:rsidRDefault="002D3C48" w:rsidP="00A541E5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Quels sont les coûts (temps, personnel, etc.) que l’organis</w:t>
            </w:r>
            <w:r w:rsidR="00A541E5" w:rsidRPr="007B4018">
              <w:rPr>
                <w:lang w:val="fr-FR"/>
              </w:rPr>
              <w:t>ation</w:t>
            </w:r>
            <w:r w:rsidRPr="007B4018">
              <w:rPr>
                <w:lang w:val="fr-FR"/>
              </w:rPr>
              <w:t xml:space="preserve"> devra </w:t>
            </w:r>
            <w:r w:rsidR="00A541E5" w:rsidRPr="007B4018">
              <w:rPr>
                <w:lang w:val="fr-FR"/>
              </w:rPr>
              <w:t>supporter</w:t>
            </w:r>
            <w:r w:rsidRPr="007B4018">
              <w:rPr>
                <w:lang w:val="fr-FR"/>
              </w:rPr>
              <w:t xml:space="preserve"> </w:t>
            </w:r>
            <w:r w:rsidR="0013607E" w:rsidRPr="007B4018">
              <w:rPr>
                <w:lang w:val="fr-FR"/>
              </w:rPr>
              <w:t>pour</w:t>
            </w:r>
            <w:r w:rsidRPr="007B4018">
              <w:rPr>
                <w:lang w:val="fr-FR"/>
              </w:rPr>
              <w:t xml:space="preserve"> chaque mécanisme ?</w:t>
            </w:r>
          </w:p>
        </w:tc>
      </w:tr>
      <w:tr w:rsidR="00736A83" w:rsidRPr="007B4018" w:rsidTr="00B23583">
        <w:tblPrEx>
          <w:jc w:val="center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A756B" w:rsidRPr="007B4018" w:rsidRDefault="00370F07" w:rsidP="00442B95">
            <w:pPr>
              <w:spacing w:before="12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>Incitations</w:t>
            </w:r>
            <w:r w:rsidR="00B21776" w:rsidRPr="007B4018">
              <w:rPr>
                <w:b/>
                <w:lang w:val="fr-FR"/>
              </w:rPr>
              <w:t>, coûts sociaux et privés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21776" w:rsidRPr="007B4018" w:rsidRDefault="004112CA" w:rsidP="00370F07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Les ménages ou les individus sont</w:t>
            </w:r>
            <w:r w:rsidR="00B21776" w:rsidRPr="007B4018">
              <w:rPr>
                <w:lang w:val="fr-FR"/>
              </w:rPr>
              <w:t>-ils</w:t>
            </w:r>
            <w:r w:rsidRPr="007B4018">
              <w:rPr>
                <w:lang w:val="fr-FR"/>
              </w:rPr>
              <w:t xml:space="preserve"> susceptibles de</w:t>
            </w:r>
            <w:r w:rsidR="00B21776" w:rsidRPr="007B4018">
              <w:rPr>
                <w:lang w:val="fr-FR"/>
              </w:rPr>
              <w:t xml:space="preserve"> changer leur comportement afin </w:t>
            </w:r>
            <w:r w:rsidRPr="007B4018">
              <w:rPr>
                <w:lang w:val="fr-FR"/>
              </w:rPr>
              <w:t xml:space="preserve">de </w:t>
            </w:r>
            <w:r w:rsidR="00370F07" w:rsidRPr="007B4018">
              <w:rPr>
                <w:lang w:val="fr-FR"/>
              </w:rPr>
              <w:t>correspondre aux critères de ciblage</w:t>
            </w:r>
            <w:r w:rsidRPr="007B4018">
              <w:rPr>
                <w:lang w:val="fr-FR"/>
              </w:rPr>
              <w:t> ?</w:t>
            </w:r>
            <w:r w:rsidR="00370F07" w:rsidRPr="007B4018">
              <w:rPr>
                <w:lang w:val="fr-FR"/>
              </w:rPr>
              <w:t xml:space="preserve"> (par </w:t>
            </w:r>
            <w:r w:rsidRPr="007B4018">
              <w:rPr>
                <w:lang w:val="fr-FR"/>
              </w:rPr>
              <w:t>ex. le fait de cibler les ménages gag</w:t>
            </w:r>
            <w:r w:rsidR="0013607E" w:rsidRPr="007B4018">
              <w:rPr>
                <w:lang w:val="fr-FR"/>
              </w:rPr>
              <w:t>nant moins que le revenu minimal</w:t>
            </w:r>
            <w:r w:rsidRPr="007B4018">
              <w:rPr>
                <w:lang w:val="fr-FR"/>
              </w:rPr>
              <w:t xml:space="preserve"> peut pousser </w:t>
            </w:r>
            <w:r w:rsidR="0013607E" w:rsidRPr="007B4018">
              <w:rPr>
                <w:lang w:val="fr-FR"/>
              </w:rPr>
              <w:t>certains ménages</w:t>
            </w:r>
            <w:r w:rsidRPr="007B4018">
              <w:rPr>
                <w:lang w:val="fr-FR"/>
              </w:rPr>
              <w:t xml:space="preserve"> à réduire leur </w:t>
            </w:r>
            <w:r w:rsidR="00370F07" w:rsidRPr="007B4018">
              <w:rPr>
                <w:lang w:val="fr-FR"/>
              </w:rPr>
              <w:t>temps</w:t>
            </w:r>
            <w:r w:rsidR="0013607E" w:rsidRPr="007B4018">
              <w:rPr>
                <w:lang w:val="fr-FR"/>
              </w:rPr>
              <w:t xml:space="preserve"> </w:t>
            </w:r>
            <w:r w:rsidRPr="007B4018">
              <w:rPr>
                <w:lang w:val="fr-FR"/>
              </w:rPr>
              <w:t xml:space="preserve">de travail et donc leur revenu.) </w:t>
            </w:r>
          </w:p>
          <w:p w:rsidR="004112CA" w:rsidRPr="007B4018" w:rsidRDefault="004112CA" w:rsidP="00370F07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La participation à l’opération prévue induirait-elle une stigmatisation des bénéficiaires ?</w:t>
            </w:r>
            <w:r w:rsidR="00370F07" w:rsidRPr="007B4018">
              <w:rPr>
                <w:lang w:val="fr-FR"/>
              </w:rPr>
              <w:t xml:space="preserve"> (par </w:t>
            </w:r>
            <w:r w:rsidRPr="007B4018">
              <w:rPr>
                <w:lang w:val="fr-FR"/>
              </w:rPr>
              <w:t xml:space="preserve">ex. </w:t>
            </w:r>
            <w:r w:rsidR="00370F07" w:rsidRPr="007B4018">
              <w:rPr>
                <w:lang w:val="fr-FR"/>
              </w:rPr>
              <w:t>l</w:t>
            </w:r>
            <w:r w:rsidRPr="007B4018">
              <w:rPr>
                <w:lang w:val="fr-FR"/>
              </w:rPr>
              <w:t>es</w:t>
            </w:r>
            <w:r w:rsidR="003D2D33" w:rsidRPr="007B4018">
              <w:rPr>
                <w:lang w:val="fr-FR"/>
              </w:rPr>
              <w:t xml:space="preserve"> bénéficiaires</w:t>
            </w:r>
            <w:r w:rsidR="00370F07" w:rsidRPr="007B4018">
              <w:rPr>
                <w:lang w:val="fr-FR"/>
              </w:rPr>
              <w:t xml:space="preserve"> seraient-ils publiquement reconnus</w:t>
            </w:r>
            <w:r w:rsidR="003D2D33" w:rsidRPr="007B4018">
              <w:rPr>
                <w:lang w:val="fr-FR"/>
              </w:rPr>
              <w:t xml:space="preserve"> comme des </w:t>
            </w:r>
            <w:r w:rsidRPr="007B4018">
              <w:rPr>
                <w:lang w:val="fr-FR"/>
              </w:rPr>
              <w:t xml:space="preserve">personnes pauvres ou </w:t>
            </w:r>
            <w:r w:rsidR="0089377D" w:rsidRPr="007B4018">
              <w:rPr>
                <w:lang w:val="fr-FR"/>
              </w:rPr>
              <w:lastRenderedPageBreak/>
              <w:t>séropositives</w:t>
            </w:r>
            <w:r w:rsidRPr="007B4018">
              <w:rPr>
                <w:lang w:val="fr-FR"/>
              </w:rPr>
              <w:t>, etc. ?)</w:t>
            </w:r>
          </w:p>
          <w:p w:rsidR="00DA756B" w:rsidRPr="007B4018" w:rsidRDefault="004112CA" w:rsidP="0089377D">
            <w:pPr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 xml:space="preserve">Les bénéficiaires devraient-ils prendre en charge les coûts </w:t>
            </w:r>
            <w:r w:rsidR="0089377D" w:rsidRPr="007B4018">
              <w:rPr>
                <w:lang w:val="fr-FR"/>
              </w:rPr>
              <w:t>liés aux</w:t>
            </w:r>
            <w:r w:rsidRPr="007B4018">
              <w:rPr>
                <w:lang w:val="fr-FR"/>
              </w:rPr>
              <w:t xml:space="preserve"> transaction</w:t>
            </w:r>
            <w:r w:rsidR="00370F07" w:rsidRPr="007B4018">
              <w:rPr>
                <w:lang w:val="fr-FR"/>
              </w:rPr>
              <w:t xml:space="preserve">s ou les coûts d’opportunité (par </w:t>
            </w:r>
            <w:r w:rsidRPr="007B4018">
              <w:rPr>
                <w:lang w:val="fr-FR"/>
              </w:rPr>
              <w:t>ex. les co</w:t>
            </w:r>
            <w:r w:rsidR="0089377D" w:rsidRPr="007B4018">
              <w:rPr>
                <w:lang w:val="fr-FR"/>
              </w:rPr>
              <w:t>ûts liés au transport ou au</w:t>
            </w:r>
            <w:r w:rsidRPr="007B4018">
              <w:rPr>
                <w:lang w:val="fr-FR"/>
              </w:rPr>
              <w:t xml:space="preserve"> temps d’attente en vue de l’enregistrement et de la </w:t>
            </w:r>
            <w:r w:rsidR="008F1883" w:rsidRPr="007B4018">
              <w:rPr>
                <w:lang w:val="fr-FR"/>
              </w:rPr>
              <w:t>réception</w:t>
            </w:r>
            <w:r w:rsidRPr="007B4018">
              <w:rPr>
                <w:lang w:val="fr-FR"/>
              </w:rPr>
              <w:t xml:space="preserve"> des espèces) ?</w:t>
            </w:r>
          </w:p>
        </w:tc>
      </w:tr>
      <w:tr w:rsidR="00736A83" w:rsidRPr="007B4018" w:rsidTr="00B0080D">
        <w:tblPrEx>
          <w:jc w:val="center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shd w:val="clear" w:color="auto" w:fill="E6E6E6"/>
          </w:tcPr>
          <w:p w:rsidR="00DA756B" w:rsidRPr="007B4018" w:rsidRDefault="00D057AA" w:rsidP="00442B95">
            <w:pPr>
              <w:keepNext/>
              <w:keepLines/>
              <w:spacing w:before="120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lastRenderedPageBreak/>
              <w:t>Faisabilité sur le plan culturel et politique</w:t>
            </w:r>
          </w:p>
        </w:tc>
        <w:tc>
          <w:tcPr>
            <w:tcW w:w="3320" w:type="pct"/>
            <w:gridSpan w:val="2"/>
            <w:shd w:val="clear" w:color="auto" w:fill="F3F3F3"/>
          </w:tcPr>
          <w:p w:rsidR="008F1883" w:rsidRPr="007B4018" w:rsidRDefault="008F1883" w:rsidP="001C1A53">
            <w:pPr>
              <w:keepNext/>
              <w:keepLines/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Existe-t-il des problèmes contextuels liés à l’acceptation culturelle ou politique des différ</w:t>
            </w:r>
            <w:r w:rsidR="00370F07" w:rsidRPr="007B4018">
              <w:rPr>
                <w:lang w:val="fr-FR"/>
              </w:rPr>
              <w:t xml:space="preserve">ents mécanismes de ciblage ? (par </w:t>
            </w:r>
            <w:r w:rsidRPr="007B4018">
              <w:rPr>
                <w:lang w:val="fr-FR"/>
              </w:rPr>
              <w:t xml:space="preserve">ex. le mécanisme de ciblage choisi peut </w:t>
            </w:r>
            <w:r w:rsidR="001C1A53" w:rsidRPr="007B4018">
              <w:rPr>
                <w:lang w:val="fr-FR"/>
              </w:rPr>
              <w:t>favoriser le soutien ou, au contraire, l’opposition politique aux</w:t>
            </w:r>
            <w:r w:rsidRPr="007B4018">
              <w:rPr>
                <w:lang w:val="fr-FR"/>
              </w:rPr>
              <w:t xml:space="preserve"> prog</w:t>
            </w:r>
            <w:r w:rsidR="001C1A53" w:rsidRPr="007B4018">
              <w:rPr>
                <w:lang w:val="fr-FR"/>
              </w:rPr>
              <w:t>rammes de transferts monétaires</w:t>
            </w:r>
            <w:r w:rsidRPr="007B4018">
              <w:rPr>
                <w:lang w:val="fr-FR"/>
              </w:rPr>
              <w:t>.)</w:t>
            </w:r>
          </w:p>
          <w:p w:rsidR="00DA756B" w:rsidRPr="007B4018" w:rsidRDefault="0013607E" w:rsidP="001C1A53">
            <w:pPr>
              <w:keepNext/>
              <w:keepLines/>
              <w:spacing w:before="12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Optez pour des critères et des</w:t>
            </w:r>
            <w:r w:rsidR="008F1883" w:rsidRPr="007B4018">
              <w:rPr>
                <w:lang w:val="fr-FR"/>
              </w:rPr>
              <w:t xml:space="preserve"> mécanismes de ciblage compris de tous et couramment utilisés ou pour </w:t>
            </w:r>
            <w:r w:rsidR="001C1A53" w:rsidRPr="007B4018">
              <w:rPr>
                <w:lang w:val="fr-FR"/>
              </w:rPr>
              <w:t>de</w:t>
            </w:r>
            <w:r w:rsidR="008F1883" w:rsidRPr="007B4018">
              <w:rPr>
                <w:lang w:val="fr-FR"/>
              </w:rPr>
              <w:t>s mécanismes de distribution existants.</w:t>
            </w:r>
          </w:p>
        </w:tc>
      </w:tr>
    </w:tbl>
    <w:p w:rsidR="0029190E" w:rsidRPr="007B4018" w:rsidRDefault="00323497" w:rsidP="00323497">
      <w:pPr>
        <w:spacing w:before="360"/>
        <w:rPr>
          <w:lang w:val="fr-FR"/>
        </w:rPr>
      </w:pPr>
      <w:r w:rsidRPr="007B4018">
        <w:rPr>
          <w:lang w:val="fr-FR"/>
        </w:rPr>
        <w:t>Le tableau ci-après donne</w:t>
      </w:r>
      <w:r w:rsidR="00D057AA" w:rsidRPr="007B4018">
        <w:rPr>
          <w:lang w:val="fr-FR"/>
        </w:rPr>
        <w:t xml:space="preserve"> un aperçu des trois mécanismes de ciblage les plus courants</w:t>
      </w:r>
      <w:r w:rsidR="001C1A53" w:rsidRPr="007B4018">
        <w:rPr>
          <w:lang w:val="fr-FR"/>
        </w:rPr>
        <w:t>,</w:t>
      </w:r>
      <w:r w:rsidR="00D057AA" w:rsidRPr="007B4018">
        <w:rPr>
          <w:lang w:val="fr-FR"/>
        </w:rPr>
        <w:t xml:space="preserve"> ainsi que de leurs avantages et inconvénients respectifs.</w:t>
      </w:r>
    </w:p>
    <w:p w:rsidR="00D057AA" w:rsidRPr="007B4018" w:rsidRDefault="00D057AA" w:rsidP="00D057AA">
      <w:pPr>
        <w:spacing w:before="360"/>
        <w:rPr>
          <w:lang w:val="fr-FR"/>
        </w:rPr>
        <w:sectPr w:rsidR="00D057AA" w:rsidRPr="007B4018" w:rsidSect="00BC4980">
          <w:headerReference w:type="default" r:id="rId8"/>
          <w:footerReference w:type="even" r:id="rId9"/>
          <w:footerReference w:type="default" r:id="rId10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:rsidR="00DA756B" w:rsidRPr="007B4018" w:rsidRDefault="00D057AA" w:rsidP="00E72BB3">
      <w:pPr>
        <w:pStyle w:val="Heading3"/>
        <w:spacing w:after="240"/>
        <w:jc w:val="center"/>
        <w:rPr>
          <w:lang w:val="fr-FR"/>
        </w:rPr>
      </w:pPr>
      <w:bookmarkStart w:id="0" w:name="_GoBack"/>
      <w:bookmarkEnd w:id="0"/>
      <w:r w:rsidRPr="007B4018">
        <w:rPr>
          <w:lang w:val="fr-FR"/>
        </w:rPr>
        <w:lastRenderedPageBreak/>
        <w:t>Mécanismes de ciblage les plus courants</w:t>
      </w: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1706"/>
        <w:gridCol w:w="3348"/>
        <w:gridCol w:w="2660"/>
        <w:gridCol w:w="3350"/>
        <w:gridCol w:w="3125"/>
      </w:tblGrid>
      <w:tr w:rsidR="00E72BB3" w:rsidRPr="007B4018" w:rsidTr="00E72BB3">
        <w:tc>
          <w:tcPr>
            <w:tcW w:w="1526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7B4018" w:rsidRDefault="00D057AA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Méc</w:t>
            </w:r>
            <w:r w:rsidR="00D52689"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anism</w:t>
            </w: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e</w:t>
            </w:r>
            <w:r w:rsidR="00D52689"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7B4018" w:rsidRDefault="00D52689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Description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7B4018" w:rsidRDefault="00D057AA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Avantages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7B4018" w:rsidRDefault="00D057AA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Inconvénients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DC281E"/>
          </w:tcPr>
          <w:p w:rsidR="00DA756B" w:rsidRPr="007B4018" w:rsidRDefault="00D52689" w:rsidP="00E72BB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Comment</w:t>
            </w:r>
            <w:r w:rsidR="00D057AA"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aire</w:t>
            </w:r>
            <w:r w:rsidRPr="007B4018">
              <w:rPr>
                <w:rFonts w:ascii="Arial Bold" w:hAnsi="Arial Bold"/>
                <w:b/>
                <w:color w:val="FFFFFF" w:themeColor="background1"/>
                <w:lang w:val="fr-FR"/>
              </w:rPr>
              <w:t>s</w:t>
            </w:r>
          </w:p>
        </w:tc>
      </w:tr>
      <w:tr w:rsidR="00DA756B" w:rsidRPr="007B4018" w:rsidTr="00E72BB3">
        <w:tc>
          <w:tcPr>
            <w:tcW w:w="1526" w:type="dxa"/>
            <w:shd w:val="clear" w:color="auto" w:fill="A6A6A6"/>
          </w:tcPr>
          <w:p w:rsidR="00DA756B" w:rsidRPr="007B4018" w:rsidRDefault="00D057AA" w:rsidP="00E72BB3">
            <w:pPr>
              <w:spacing w:before="60" w:after="6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>Ciblage communautaire</w:t>
            </w:r>
          </w:p>
        </w:tc>
        <w:tc>
          <w:tcPr>
            <w:tcW w:w="3402" w:type="dxa"/>
            <w:shd w:val="clear" w:color="auto" w:fill="E6E6E6"/>
          </w:tcPr>
          <w:p w:rsidR="00DA756B" w:rsidRPr="007B4018" w:rsidRDefault="008F1883" w:rsidP="001F6892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 xml:space="preserve">Éligibilité fondée sur des critères de vulnérabilité : </w:t>
            </w:r>
            <w:r w:rsidR="00496B7A" w:rsidRPr="007B4018">
              <w:rPr>
                <w:lang w:val="fr-FR"/>
              </w:rPr>
              <w:t>les ménages sont identifiés par les responsables et les membres de la communauté ; les résultats sont triangulés et vérifiés par l’organis</w:t>
            </w:r>
            <w:r w:rsidR="001F6892" w:rsidRPr="007B4018">
              <w:rPr>
                <w:lang w:val="fr-FR"/>
              </w:rPr>
              <w:t>ation</w:t>
            </w:r>
          </w:p>
        </w:tc>
        <w:tc>
          <w:tcPr>
            <w:tcW w:w="2693" w:type="dxa"/>
            <w:shd w:val="clear" w:color="auto" w:fill="F3F3F3"/>
          </w:tcPr>
          <w:p w:rsidR="00496B7A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Participation de la communauté</w:t>
            </w:r>
          </w:p>
          <w:p w:rsidR="00496B7A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Responsabilité partagée avec les représentants de la communauté</w:t>
            </w:r>
          </w:p>
          <w:p w:rsidR="00DA756B" w:rsidRPr="007B4018" w:rsidRDefault="0013607E" w:rsidP="0013607E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Faibles c</w:t>
            </w:r>
            <w:r w:rsidR="00496B7A" w:rsidRPr="007B4018">
              <w:rPr>
                <w:lang w:val="fr-FR"/>
              </w:rPr>
              <w:t>oûts administratifs</w:t>
            </w:r>
          </w:p>
        </w:tc>
        <w:tc>
          <w:tcPr>
            <w:tcW w:w="3402" w:type="dxa"/>
            <w:shd w:val="clear" w:color="auto" w:fill="F3F3F3"/>
          </w:tcPr>
          <w:p w:rsidR="00496B7A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Erreurs d’exclusion et d’inclusion fréquentes</w:t>
            </w:r>
          </w:p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Peut se révéler complexe sur le plan politique</w:t>
            </w:r>
          </w:p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Peut provoquer des tensions au sein des communautés</w:t>
            </w:r>
          </w:p>
          <w:p w:rsidR="00DA756B" w:rsidRPr="007B4018" w:rsidRDefault="00496B7A" w:rsidP="0077344B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Peut renforcer les structures de pouvoir</w:t>
            </w:r>
            <w:r w:rsidR="0077344B" w:rsidRPr="007B4018">
              <w:rPr>
                <w:lang w:val="fr-FR"/>
              </w:rPr>
              <w:t xml:space="preserve"> existantes</w:t>
            </w:r>
            <w:r w:rsidRPr="007B4018">
              <w:rPr>
                <w:lang w:val="fr-FR"/>
              </w:rPr>
              <w:t xml:space="preserve"> et les déséquilibres </w:t>
            </w:r>
            <w:r w:rsidR="0077344B" w:rsidRPr="007B4018">
              <w:rPr>
                <w:lang w:val="fr-FR"/>
              </w:rPr>
              <w:t xml:space="preserve">au sein des </w:t>
            </w:r>
            <w:r w:rsidRPr="007B4018">
              <w:rPr>
                <w:lang w:val="fr-FR"/>
              </w:rPr>
              <w:t>communauté</w:t>
            </w:r>
            <w:r w:rsidR="0077344B" w:rsidRPr="007B4018">
              <w:rPr>
                <w:lang w:val="fr-FR"/>
              </w:rPr>
              <w:t>s</w:t>
            </w:r>
          </w:p>
        </w:tc>
        <w:tc>
          <w:tcPr>
            <w:tcW w:w="3166" w:type="dxa"/>
            <w:shd w:val="clear" w:color="auto" w:fill="F3F3F3"/>
          </w:tcPr>
          <w:p w:rsidR="00496B7A" w:rsidRPr="007B4018" w:rsidRDefault="007873F0" w:rsidP="001F6892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Les communautés doivent être soudées</w:t>
            </w:r>
            <w:r w:rsidR="001F6892" w:rsidRPr="007B4018">
              <w:rPr>
                <w:lang w:val="fr-FR"/>
              </w:rPr>
              <w:t>, bien</w:t>
            </w:r>
            <w:r w:rsidRPr="007B4018">
              <w:rPr>
                <w:lang w:val="fr-FR"/>
              </w:rPr>
              <w:t xml:space="preserve"> définies et représentées de manière adéquate</w:t>
            </w:r>
          </w:p>
          <w:p w:rsidR="00DA756B" w:rsidRPr="007B4018" w:rsidRDefault="007873F0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Convient lorsque les capacités administratives sont faibles et les structures communautaires solides</w:t>
            </w:r>
          </w:p>
        </w:tc>
      </w:tr>
      <w:tr w:rsidR="00DA756B" w:rsidRPr="007B4018" w:rsidTr="00E72BB3">
        <w:tc>
          <w:tcPr>
            <w:tcW w:w="1526" w:type="dxa"/>
            <w:shd w:val="clear" w:color="auto" w:fill="A6A6A6"/>
          </w:tcPr>
          <w:p w:rsidR="00DA756B" w:rsidRPr="007B4018" w:rsidRDefault="00D057AA" w:rsidP="00E72BB3">
            <w:pPr>
              <w:spacing w:before="60" w:after="6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>Auto-ciblage</w:t>
            </w:r>
          </w:p>
        </w:tc>
        <w:tc>
          <w:tcPr>
            <w:tcW w:w="3402" w:type="dxa"/>
            <w:shd w:val="clear" w:color="auto" w:fill="E6E6E6"/>
          </w:tcPr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Éligibilité fondée sur la volonté des bénéficiaires de participer au programme</w:t>
            </w:r>
          </w:p>
        </w:tc>
        <w:tc>
          <w:tcPr>
            <w:tcW w:w="2693" w:type="dxa"/>
            <w:shd w:val="clear" w:color="auto" w:fill="F3F3F3"/>
          </w:tcPr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Nombre peu élevé d’erreurs d’exclusion</w:t>
            </w:r>
          </w:p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Simple à mettre en œuvre sur le plan administratif</w:t>
            </w:r>
          </w:p>
        </w:tc>
        <w:tc>
          <w:tcPr>
            <w:tcW w:w="3402" w:type="dxa"/>
            <w:shd w:val="clear" w:color="auto" w:fill="F3F3F3"/>
          </w:tcPr>
          <w:p w:rsidR="00496B7A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Nombre élevé d’erreurs d’inclusion</w:t>
            </w:r>
          </w:p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Risque de stigmatisation</w:t>
            </w:r>
          </w:p>
        </w:tc>
        <w:tc>
          <w:tcPr>
            <w:tcW w:w="3166" w:type="dxa"/>
            <w:shd w:val="clear" w:color="auto" w:fill="F3F3F3"/>
          </w:tcPr>
          <w:p w:rsidR="00DA756B" w:rsidRPr="007B4018" w:rsidRDefault="007873F0" w:rsidP="001F6892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Le mécanisme doit être conçu</w:t>
            </w:r>
            <w:r w:rsidR="00905C8B" w:rsidRPr="007B4018">
              <w:rPr>
                <w:lang w:val="fr-FR"/>
              </w:rPr>
              <w:t xml:space="preserve"> </w:t>
            </w:r>
            <w:r w:rsidRPr="007B4018">
              <w:rPr>
                <w:lang w:val="fr-FR"/>
              </w:rPr>
              <w:t>de manière à encourage</w:t>
            </w:r>
            <w:r w:rsidR="003D2D33" w:rsidRPr="007B4018">
              <w:rPr>
                <w:lang w:val="fr-FR"/>
              </w:rPr>
              <w:t>r</w:t>
            </w:r>
            <w:r w:rsidRPr="007B4018">
              <w:rPr>
                <w:lang w:val="fr-FR"/>
              </w:rPr>
              <w:t xml:space="preserve"> les personnes les plus touchées, notamment par l’insécurité alimentaire, à s’enregistrer et les personnes no</w:t>
            </w:r>
            <w:r w:rsidR="001F6892" w:rsidRPr="007B4018">
              <w:rPr>
                <w:lang w:val="fr-FR"/>
              </w:rPr>
              <w:t>n touchées à ne pas le faire (par ex. la rémunération</w:t>
            </w:r>
            <w:r w:rsidRPr="007B4018">
              <w:rPr>
                <w:lang w:val="fr-FR"/>
              </w:rPr>
              <w:t xml:space="preserve"> versé</w:t>
            </w:r>
            <w:r w:rsidR="001F6892" w:rsidRPr="007B4018">
              <w:rPr>
                <w:lang w:val="fr-FR"/>
              </w:rPr>
              <w:t>e</w:t>
            </w:r>
            <w:r w:rsidRPr="007B4018">
              <w:rPr>
                <w:lang w:val="fr-FR"/>
              </w:rPr>
              <w:t xml:space="preserve"> dans le cadre de</w:t>
            </w:r>
            <w:r w:rsidR="0077344B" w:rsidRPr="007B4018">
              <w:rPr>
                <w:lang w:val="fr-FR"/>
              </w:rPr>
              <w:t>s</w:t>
            </w:r>
            <w:r w:rsidRPr="007B4018">
              <w:rPr>
                <w:lang w:val="fr-FR"/>
              </w:rPr>
              <w:t xml:space="preserve"> programmes « argent contre travail » doit être </w:t>
            </w:r>
            <w:r w:rsidR="001F6892" w:rsidRPr="007B4018">
              <w:rPr>
                <w:lang w:val="fr-FR"/>
              </w:rPr>
              <w:t>légèrement inférieure au</w:t>
            </w:r>
            <w:r w:rsidRPr="007B4018">
              <w:rPr>
                <w:lang w:val="fr-FR"/>
              </w:rPr>
              <w:t xml:space="preserve"> </w:t>
            </w:r>
            <w:r w:rsidR="001F6892" w:rsidRPr="007B4018">
              <w:rPr>
                <w:lang w:val="fr-FR"/>
              </w:rPr>
              <w:t>taux de rémunération journalière locale</w:t>
            </w:r>
            <w:r w:rsidRPr="007B4018">
              <w:rPr>
                <w:lang w:val="fr-FR"/>
              </w:rPr>
              <w:t xml:space="preserve">) </w:t>
            </w:r>
          </w:p>
        </w:tc>
      </w:tr>
      <w:tr w:rsidR="00DA756B" w:rsidRPr="007B4018" w:rsidTr="00E72BB3">
        <w:tc>
          <w:tcPr>
            <w:tcW w:w="1526" w:type="dxa"/>
            <w:shd w:val="clear" w:color="auto" w:fill="A6A6A6"/>
          </w:tcPr>
          <w:p w:rsidR="00DA756B" w:rsidRPr="007B4018" w:rsidRDefault="00D057AA" w:rsidP="00E72BB3">
            <w:pPr>
              <w:spacing w:before="60" w:after="60"/>
              <w:jc w:val="left"/>
              <w:rPr>
                <w:b/>
                <w:lang w:val="fr-FR"/>
              </w:rPr>
            </w:pPr>
            <w:r w:rsidRPr="007B4018">
              <w:rPr>
                <w:b/>
                <w:lang w:val="fr-FR"/>
              </w:rPr>
              <w:t>Ciblage par catégorie</w:t>
            </w:r>
          </w:p>
        </w:tc>
        <w:tc>
          <w:tcPr>
            <w:tcW w:w="3402" w:type="dxa"/>
            <w:shd w:val="clear" w:color="auto" w:fill="E6E6E6"/>
          </w:tcPr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Éligibilité fondée sur la définition de catégories (tous les individus appartenant à une certaine catégorie : par exemple les ménages dirigés par des enfants)</w:t>
            </w:r>
          </w:p>
        </w:tc>
        <w:tc>
          <w:tcPr>
            <w:tcW w:w="2693" w:type="dxa"/>
            <w:shd w:val="clear" w:color="auto" w:fill="F3F3F3"/>
          </w:tcPr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Simple sur le plan administratif</w:t>
            </w:r>
          </w:p>
          <w:p w:rsidR="00DA756B" w:rsidRPr="007B4018" w:rsidRDefault="00496B7A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Peu onéreux</w:t>
            </w:r>
          </w:p>
        </w:tc>
        <w:tc>
          <w:tcPr>
            <w:tcW w:w="3402" w:type="dxa"/>
            <w:shd w:val="clear" w:color="auto" w:fill="F3F3F3"/>
          </w:tcPr>
          <w:p w:rsidR="00DA756B" w:rsidRPr="007B4018" w:rsidRDefault="00496B7A" w:rsidP="00496B7A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Nombre potentiellement élevé d’erreurs d’inclusion</w:t>
            </w:r>
          </w:p>
        </w:tc>
        <w:tc>
          <w:tcPr>
            <w:tcW w:w="3166" w:type="dxa"/>
            <w:shd w:val="clear" w:color="auto" w:fill="F3F3F3"/>
          </w:tcPr>
          <w:p w:rsidR="007873F0" w:rsidRPr="007B4018" w:rsidRDefault="007873F0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Exige des systèmes</w:t>
            </w:r>
            <w:r w:rsidR="0077344B" w:rsidRPr="007B4018">
              <w:rPr>
                <w:lang w:val="fr-FR"/>
              </w:rPr>
              <w:t xml:space="preserve"> adéquats de registre civil</w:t>
            </w:r>
          </w:p>
          <w:p w:rsidR="00DA756B" w:rsidRPr="007B4018" w:rsidRDefault="007873F0" w:rsidP="00E72BB3">
            <w:pPr>
              <w:spacing w:before="60" w:after="60"/>
              <w:jc w:val="left"/>
              <w:rPr>
                <w:lang w:val="fr-FR"/>
              </w:rPr>
            </w:pPr>
            <w:r w:rsidRPr="007B4018">
              <w:rPr>
                <w:lang w:val="fr-FR"/>
              </w:rPr>
              <w:t>Convient lorsqu’il s’agit de cibler des vulnérabilités spécifiques</w:t>
            </w:r>
          </w:p>
        </w:tc>
      </w:tr>
    </w:tbl>
    <w:p w:rsidR="00DA756B" w:rsidRPr="007B4018" w:rsidRDefault="007B4018" w:rsidP="00DA756B">
      <w:pPr>
        <w:rPr>
          <w:sz w:val="4"/>
          <w:lang w:val="fr-FR"/>
        </w:rPr>
      </w:pPr>
    </w:p>
    <w:sectPr w:rsidR="00DA756B" w:rsidRPr="007B4018" w:rsidSect="00DA756B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4D" w:rsidRDefault="00F6764D" w:rsidP="00594130">
      <w:pPr>
        <w:spacing w:after="0"/>
      </w:pPr>
      <w:r>
        <w:separator/>
      </w:r>
    </w:p>
  </w:endnote>
  <w:endnote w:type="continuationSeparator" w:id="0">
    <w:p w:rsidR="00F6764D" w:rsidRDefault="00F6764D" w:rsidP="00594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0" w:rsidRDefault="003618DB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130" w:rsidRDefault="00594130" w:rsidP="00594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80" w:rsidRPr="00B45C74" w:rsidRDefault="003618D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BC498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B4018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BC4980" w:rsidRPr="00855C0A" w:rsidRDefault="00BC4980" w:rsidP="00ED1B2B">
    <w:pPr>
      <w:pStyle w:val="Footer"/>
      <w:rPr>
        <w:lang w:val="fr-FR"/>
      </w:rPr>
    </w:pPr>
    <w:r w:rsidRPr="00855C0A">
      <w:rPr>
        <w:b/>
        <w:lang w:val="fr-FR"/>
      </w:rPr>
      <w:t>Module 3.</w:t>
    </w:r>
    <w:r w:rsidRPr="00855C0A">
      <w:rPr>
        <w:lang w:val="fr-FR"/>
      </w:rPr>
      <w:t xml:space="preserve"> </w:t>
    </w:r>
    <w:r w:rsidR="00855C0A">
      <w:rPr>
        <w:lang w:val="fr-FR"/>
      </w:rPr>
      <w:t>Étape</w:t>
    </w:r>
    <w:r w:rsidRPr="00855C0A">
      <w:rPr>
        <w:lang w:val="fr-FR"/>
      </w:rPr>
      <w:t xml:space="preserve"> 3. </w:t>
    </w:r>
    <w:r w:rsidR="00855C0A">
      <w:rPr>
        <w:lang w:val="fr-FR"/>
      </w:rPr>
      <w:t>Étape subsidiaire</w:t>
    </w:r>
    <w:r w:rsidRPr="00855C0A">
      <w:rPr>
        <w:lang w:val="fr-FR"/>
      </w:rPr>
      <w:t xml:space="preserve"> 2. </w:t>
    </w:r>
    <w:fldSimple w:instr=" STYLEREF  H1 \t  \* MERGEFORMAT ">
      <w:r w:rsidR="007B4018" w:rsidRPr="007B4018">
        <w:rPr>
          <w:bCs/>
          <w:noProof/>
          <w:lang w:val="fr-FR"/>
        </w:rPr>
        <w:t>Mécanisme</w:t>
      </w:r>
      <w:r w:rsidR="007B4018" w:rsidRPr="007B4018">
        <w:rPr>
          <w:noProof/>
          <w:lang w:val="fr-FR"/>
        </w:rPr>
        <w:t xml:space="preserve"> de ciblage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4D" w:rsidRDefault="00F6764D" w:rsidP="00594130">
      <w:pPr>
        <w:spacing w:after="0"/>
      </w:pPr>
      <w:r>
        <w:separator/>
      </w:r>
    </w:p>
  </w:footnote>
  <w:footnote w:type="continuationSeparator" w:id="0">
    <w:p w:rsidR="00F6764D" w:rsidRDefault="00F6764D" w:rsidP="00594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80" w:rsidRPr="00855C0A" w:rsidRDefault="00855C0A" w:rsidP="00EC6093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BC4980" w:rsidRPr="00855C0A">
      <w:rPr>
        <w:rFonts w:cs="Caecilia-Light"/>
        <w:color w:val="FF0000"/>
        <w:sz w:val="14"/>
        <w:szCs w:val="14"/>
        <w:lang w:val="fr-FR"/>
      </w:rPr>
      <w:t xml:space="preserve"> </w:t>
    </w:r>
    <w:r w:rsidR="00BC4980" w:rsidRPr="00855C0A">
      <w:rPr>
        <w:rStyle w:val="PageNumber"/>
        <w:bCs/>
        <w:sz w:val="14"/>
        <w:szCs w:val="14"/>
        <w:lang w:val="fr-FR"/>
      </w:rPr>
      <w:t>I</w:t>
    </w:r>
    <w:r w:rsidR="00BC4980" w:rsidRPr="00855C0A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EC6093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D03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AA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2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EA1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003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63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86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26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4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4BFB"/>
    <w:multiLevelType w:val="hybridMultilevel"/>
    <w:tmpl w:val="5E649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B4FC9"/>
    <w:multiLevelType w:val="hybridMultilevel"/>
    <w:tmpl w:val="416E955A"/>
    <w:lvl w:ilvl="0" w:tplc="4898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A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E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314A54"/>
    <w:multiLevelType w:val="hybridMultilevel"/>
    <w:tmpl w:val="796CBDC6"/>
    <w:lvl w:ilvl="0" w:tplc="CBA4E4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280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3D0D7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88E6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2B8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EE9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276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48C2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8C80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D9C5688"/>
    <w:multiLevelType w:val="hybridMultilevel"/>
    <w:tmpl w:val="D75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2749A"/>
    <w:multiLevelType w:val="hybridMultilevel"/>
    <w:tmpl w:val="0E7E6A44"/>
    <w:lvl w:ilvl="0" w:tplc="1FBA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C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6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CE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8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A0B87"/>
    <w:multiLevelType w:val="hybridMultilevel"/>
    <w:tmpl w:val="F7C0146A"/>
    <w:lvl w:ilvl="0" w:tplc="75AA6318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31685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2" w:tplc="F16E90E2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5A068B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588674A2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EAFA34E8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F4DE8B24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47C7308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C424F88" w:tentative="1">
      <w:start w:val="1"/>
      <w:numFmt w:val="bullet"/>
      <w:lvlText w:val="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>
    <w:nsid w:val="1C8D0283"/>
    <w:multiLevelType w:val="hybridMultilevel"/>
    <w:tmpl w:val="193A34D8"/>
    <w:lvl w:ilvl="0" w:tplc="9484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E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D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E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DAC0CD0"/>
    <w:multiLevelType w:val="hybridMultilevel"/>
    <w:tmpl w:val="8D5EB5A8"/>
    <w:lvl w:ilvl="0" w:tplc="9BAA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DB85DC1"/>
    <w:multiLevelType w:val="hybridMultilevel"/>
    <w:tmpl w:val="0BFE6AEC"/>
    <w:lvl w:ilvl="0" w:tplc="5ED8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A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744E46"/>
    <w:multiLevelType w:val="hybridMultilevel"/>
    <w:tmpl w:val="56D819C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1C18"/>
    <w:multiLevelType w:val="hybridMultilevel"/>
    <w:tmpl w:val="1ADE143E"/>
    <w:lvl w:ilvl="0" w:tplc="CB7611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89F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C6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C5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CB5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444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2F1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ECD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E336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0E6F2B"/>
    <w:multiLevelType w:val="hybridMultilevel"/>
    <w:tmpl w:val="19D2CC6E"/>
    <w:lvl w:ilvl="0" w:tplc="43A46C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07A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C993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A821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E36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4214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EA9D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4FCF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003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5575CA0"/>
    <w:multiLevelType w:val="hybridMultilevel"/>
    <w:tmpl w:val="6D96B6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5256025D"/>
    <w:multiLevelType w:val="hybridMultilevel"/>
    <w:tmpl w:val="EC0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263EC"/>
    <w:multiLevelType w:val="hybridMultilevel"/>
    <w:tmpl w:val="E72E57C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01C0A"/>
    <w:multiLevelType w:val="hybridMultilevel"/>
    <w:tmpl w:val="E09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30109"/>
    <w:multiLevelType w:val="hybridMultilevel"/>
    <w:tmpl w:val="E788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2"/>
  </w:num>
  <w:num w:numId="5">
    <w:abstractNumId w:val="20"/>
  </w:num>
  <w:num w:numId="6">
    <w:abstractNumId w:val="15"/>
  </w:num>
  <w:num w:numId="7">
    <w:abstractNumId w:val="19"/>
  </w:num>
  <w:num w:numId="8">
    <w:abstractNumId w:val="22"/>
  </w:num>
  <w:num w:numId="9">
    <w:abstractNumId w:val="17"/>
  </w:num>
  <w:num w:numId="10">
    <w:abstractNumId w:val="25"/>
  </w:num>
  <w:num w:numId="11">
    <w:abstractNumId w:val="13"/>
  </w:num>
  <w:num w:numId="12">
    <w:abstractNumId w:val="14"/>
  </w:num>
  <w:num w:numId="13">
    <w:abstractNumId w:val="21"/>
  </w:num>
  <w:num w:numId="14">
    <w:abstractNumId w:val="27"/>
  </w:num>
  <w:num w:numId="15">
    <w:abstractNumId w:val="24"/>
  </w:num>
  <w:num w:numId="16">
    <w:abstractNumId w:val="3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6"/>
  </w:num>
  <w:num w:numId="25">
    <w:abstractNumId w:val="16"/>
  </w:num>
  <w:num w:numId="26">
    <w:abstractNumId w:val="29"/>
  </w:num>
  <w:num w:numId="27">
    <w:abstractNumId w:val="31"/>
  </w:num>
  <w:num w:numId="28">
    <w:abstractNumId w:val="30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57A"/>
    <w:rsid w:val="00084D8E"/>
    <w:rsid w:val="000D3BEA"/>
    <w:rsid w:val="000E2C1E"/>
    <w:rsid w:val="000E4A2A"/>
    <w:rsid w:val="0012762D"/>
    <w:rsid w:val="0013607E"/>
    <w:rsid w:val="0014451B"/>
    <w:rsid w:val="001C1A53"/>
    <w:rsid w:val="001F6892"/>
    <w:rsid w:val="00227987"/>
    <w:rsid w:val="00257814"/>
    <w:rsid w:val="00260DC9"/>
    <w:rsid w:val="00282C8E"/>
    <w:rsid w:val="0029190E"/>
    <w:rsid w:val="002D3C48"/>
    <w:rsid w:val="002D5A2C"/>
    <w:rsid w:val="00323497"/>
    <w:rsid w:val="003618DB"/>
    <w:rsid w:val="003655CA"/>
    <w:rsid w:val="00370F07"/>
    <w:rsid w:val="003D2D33"/>
    <w:rsid w:val="004112CA"/>
    <w:rsid w:val="00424836"/>
    <w:rsid w:val="00424EE5"/>
    <w:rsid w:val="00442B95"/>
    <w:rsid w:val="00496B7A"/>
    <w:rsid w:val="004C5FC7"/>
    <w:rsid w:val="00555AA7"/>
    <w:rsid w:val="005907E0"/>
    <w:rsid w:val="00594130"/>
    <w:rsid w:val="00601C83"/>
    <w:rsid w:val="00611E71"/>
    <w:rsid w:val="006602C0"/>
    <w:rsid w:val="0066763B"/>
    <w:rsid w:val="00675A95"/>
    <w:rsid w:val="006E2A43"/>
    <w:rsid w:val="00717DDD"/>
    <w:rsid w:val="007363C9"/>
    <w:rsid w:val="00736A83"/>
    <w:rsid w:val="00752478"/>
    <w:rsid w:val="0077344B"/>
    <w:rsid w:val="007873F0"/>
    <w:rsid w:val="007A121D"/>
    <w:rsid w:val="007B4018"/>
    <w:rsid w:val="007C7039"/>
    <w:rsid w:val="007F4B83"/>
    <w:rsid w:val="00855C0A"/>
    <w:rsid w:val="0089377D"/>
    <w:rsid w:val="008A5653"/>
    <w:rsid w:val="008F15B9"/>
    <w:rsid w:val="008F1883"/>
    <w:rsid w:val="00905C8B"/>
    <w:rsid w:val="009818EB"/>
    <w:rsid w:val="009B5C80"/>
    <w:rsid w:val="00A541E5"/>
    <w:rsid w:val="00B0080D"/>
    <w:rsid w:val="00B20BE7"/>
    <w:rsid w:val="00B21776"/>
    <w:rsid w:val="00B23583"/>
    <w:rsid w:val="00B31ED9"/>
    <w:rsid w:val="00B647D6"/>
    <w:rsid w:val="00B664BF"/>
    <w:rsid w:val="00B83874"/>
    <w:rsid w:val="00BC4980"/>
    <w:rsid w:val="00CB33E1"/>
    <w:rsid w:val="00D057AA"/>
    <w:rsid w:val="00D16035"/>
    <w:rsid w:val="00D52689"/>
    <w:rsid w:val="00DA63B7"/>
    <w:rsid w:val="00DB4A58"/>
    <w:rsid w:val="00DC619F"/>
    <w:rsid w:val="00DE01B3"/>
    <w:rsid w:val="00E16E5B"/>
    <w:rsid w:val="00E553E6"/>
    <w:rsid w:val="00E72BB3"/>
    <w:rsid w:val="00E76634"/>
    <w:rsid w:val="00EB45FB"/>
    <w:rsid w:val="00EC6093"/>
    <w:rsid w:val="00F1357A"/>
    <w:rsid w:val="00F57262"/>
    <w:rsid w:val="00F6764D"/>
    <w:rsid w:val="00F837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A63B7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A63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3B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3B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63B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A63B7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3B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A63B7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3B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63B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A63B7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3B7"/>
    <w:rPr>
      <w:rFonts w:ascii="Arial" w:eastAsiaTheme="minorHAnsi" w:hAnsi="Arial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63B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A63B7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3B7"/>
    <w:rPr>
      <w:rFonts w:ascii="Arial" w:hAnsi="Arial" w:cs="Times New Roman"/>
      <w:b/>
      <w:sz w:val="22"/>
    </w:rPr>
  </w:style>
  <w:style w:type="paragraph" w:customStyle="1" w:styleId="Default">
    <w:name w:val="Default"/>
    <w:rsid w:val="00DA63B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DA63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4980"/>
  </w:style>
  <w:style w:type="character" w:customStyle="1" w:styleId="CommentTextChar">
    <w:name w:val="Comment Text Char"/>
    <w:basedOn w:val="DefaultParagraphFont"/>
    <w:link w:val="CommentText"/>
    <w:rsid w:val="00BC498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DA63B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A63B7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A63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3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A63B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63B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3B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A63B7"/>
    <w:rPr>
      <w:vertAlign w:val="superscript"/>
    </w:rPr>
  </w:style>
  <w:style w:type="paragraph" w:styleId="Revision">
    <w:name w:val="Revision"/>
    <w:hidden/>
    <w:uiPriority w:val="99"/>
    <w:rsid w:val="00DA63B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A63B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A63B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A63B7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A63B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A63B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A63B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A63B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A63B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A63B7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A63B7"/>
    <w:pPr>
      <w:numPr>
        <w:numId w:val="2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DA63B7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A63B7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A63B7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A63B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A63B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A63B7"/>
    <w:pPr>
      <w:keepNext/>
      <w:keepLines/>
      <w:framePr w:hSpace="141" w:wrap="around" w:vAnchor="text" w:hAnchor="margin" w:y="402"/>
      <w:numPr>
        <w:numId w:val="2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A63B7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A63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3B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3B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63B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A63B7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3B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A63B7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3B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63B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A63B7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3B7"/>
    <w:rPr>
      <w:rFonts w:ascii="Arial" w:eastAsiaTheme="minorHAnsi" w:hAnsi="Arial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63B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A63B7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3B7"/>
    <w:rPr>
      <w:rFonts w:ascii="Arial" w:hAnsi="Arial" w:cs="Times New Roman"/>
      <w:b/>
      <w:sz w:val="22"/>
    </w:rPr>
  </w:style>
  <w:style w:type="paragraph" w:customStyle="1" w:styleId="Default">
    <w:name w:val="Default"/>
    <w:rsid w:val="00DA63B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DA63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4980"/>
  </w:style>
  <w:style w:type="character" w:customStyle="1" w:styleId="CommentTextChar">
    <w:name w:val="Comment Text Char"/>
    <w:basedOn w:val="DefaultParagraphFont"/>
    <w:link w:val="CommentText"/>
    <w:rsid w:val="00BC498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DA63B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A63B7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A63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3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A63B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63B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3B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A63B7"/>
    <w:rPr>
      <w:vertAlign w:val="superscript"/>
    </w:rPr>
  </w:style>
  <w:style w:type="paragraph" w:styleId="Revision">
    <w:name w:val="Revision"/>
    <w:hidden/>
    <w:uiPriority w:val="99"/>
    <w:rsid w:val="00DA63B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A63B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A63B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A63B7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A63B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A63B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A63B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A63B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A63B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A63B7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A63B7"/>
    <w:pPr>
      <w:numPr>
        <w:numId w:val="2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DA63B7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A63B7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A63B7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A63B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A63B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A63B7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8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2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0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5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0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2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3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5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7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3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6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0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8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45</cp:revision>
  <cp:lastPrinted>2015-12-17T09:36:00Z</cp:lastPrinted>
  <dcterms:created xsi:type="dcterms:W3CDTF">2015-06-02T16:51:00Z</dcterms:created>
  <dcterms:modified xsi:type="dcterms:W3CDTF">2016-04-11T07:26:00Z</dcterms:modified>
</cp:coreProperties>
</file>