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77298" w14:textId="5A6B16ED" w:rsidR="00020E52" w:rsidRPr="00EC5BD1" w:rsidRDefault="00835FC7" w:rsidP="00EC5BD1">
      <w:pPr>
        <w:pStyle w:val="H1"/>
        <w:rPr>
          <w:rFonts w:cs="Arial"/>
        </w:rPr>
      </w:pPr>
      <w:r w:rsidRPr="00EC5BD1">
        <w:rPr>
          <w:rFonts w:cs="Arial"/>
        </w:rPr>
        <w:t>Tool</w:t>
      </w:r>
      <w:r w:rsidR="00E959EC" w:rsidRPr="00EC5BD1">
        <w:rPr>
          <w:rFonts w:cs="Arial"/>
        </w:rPr>
        <w:t xml:space="preserve">: </w:t>
      </w:r>
      <w:r w:rsidR="00020E52" w:rsidRPr="00EC5BD1">
        <w:rPr>
          <w:rFonts w:cs="Arial"/>
        </w:rPr>
        <w:t xml:space="preserve">Organizing </w:t>
      </w:r>
      <w:r w:rsidR="00FE6168" w:rsidRPr="00EC5BD1">
        <w:rPr>
          <w:rFonts w:cs="Arial"/>
        </w:rPr>
        <w:t>market</w:t>
      </w:r>
      <w:r w:rsidR="00020E52" w:rsidRPr="00EC5BD1">
        <w:rPr>
          <w:rFonts w:cs="Arial"/>
        </w:rPr>
        <w:t xml:space="preserve"> price data </w:t>
      </w:r>
      <w:r w:rsidR="00EC5BD1" w:rsidRPr="00EC5BD1">
        <w:rPr>
          <w:rFonts w:cs="Arial"/>
        </w:rPr>
        <w:t>c</w:t>
      </w:r>
      <w:r w:rsidR="002C53CD" w:rsidRPr="00EC5BD1">
        <w:rPr>
          <w:rFonts w:cs="Arial"/>
        </w:rPr>
        <w:t>hecklist</w:t>
      </w:r>
    </w:p>
    <w:p w14:paraId="3593E0B9" w14:textId="77777777" w:rsidR="00020E52" w:rsidRPr="00EC5BD1" w:rsidRDefault="00020E52" w:rsidP="00EC5BD1">
      <w:pPr>
        <w:pStyle w:val="Heading3"/>
        <w:rPr>
          <w:rFonts w:cs="Arial"/>
        </w:rPr>
      </w:pPr>
      <w:r w:rsidRPr="00EC5BD1">
        <w:rPr>
          <w:rFonts w:cs="Arial"/>
        </w:rPr>
        <w:t>Purpose of the tool</w:t>
      </w:r>
    </w:p>
    <w:p w14:paraId="0520F932" w14:textId="77777777" w:rsidR="00020E52" w:rsidRPr="00EC5BD1" w:rsidRDefault="00020E52" w:rsidP="00020E52">
      <w:pPr>
        <w:rPr>
          <w:rFonts w:cs="Arial"/>
        </w:rPr>
      </w:pPr>
      <w:r w:rsidRPr="00EC5BD1">
        <w:rPr>
          <w:rFonts w:cs="Arial"/>
        </w:rPr>
        <w:t>This tool will help you organize the price data collected in the field, guaranteeing its consistency.</w:t>
      </w:r>
    </w:p>
    <w:p w14:paraId="5D04B16E" w14:textId="77777777" w:rsidR="00020E52" w:rsidRPr="00EC5BD1" w:rsidRDefault="00020E52" w:rsidP="00EC5BD1">
      <w:pPr>
        <w:pStyle w:val="Heading3"/>
        <w:rPr>
          <w:rFonts w:cs="Arial"/>
        </w:rPr>
      </w:pPr>
      <w:r w:rsidRPr="00EC5BD1">
        <w:rPr>
          <w:rFonts w:cs="Arial"/>
        </w:rPr>
        <w:t>How to use the tool</w:t>
      </w:r>
    </w:p>
    <w:p w14:paraId="1817A0A1" w14:textId="77777777" w:rsidR="00020E52" w:rsidRPr="00EC5BD1" w:rsidRDefault="00020E52" w:rsidP="00020E52">
      <w:pPr>
        <w:rPr>
          <w:rFonts w:cs="Arial"/>
        </w:rPr>
      </w:pPr>
      <w:r w:rsidRPr="00EC5BD1">
        <w:rPr>
          <w:rFonts w:cs="Arial"/>
        </w:rPr>
        <w:t xml:space="preserve">This tool consists of a checklist to be used while entering data prices into the database. </w:t>
      </w:r>
    </w:p>
    <w:p w14:paraId="5D7A07E5" w14:textId="77777777" w:rsidR="00020E52" w:rsidRPr="00EC5BD1" w:rsidRDefault="00020E52" w:rsidP="00EC5BD1">
      <w:pPr>
        <w:pStyle w:val="Heading3"/>
        <w:rPr>
          <w:rFonts w:cs="Arial"/>
        </w:rPr>
      </w:pPr>
      <w:r w:rsidRPr="00EC5BD1">
        <w:rPr>
          <w:rFonts w:cs="Arial"/>
        </w:rPr>
        <w:t>Checklist for data entry</w:t>
      </w:r>
    </w:p>
    <w:p w14:paraId="2D8DBA01" w14:textId="77777777" w:rsidR="00020E52" w:rsidRPr="00EC5BD1" w:rsidRDefault="00020E52" w:rsidP="00DF13B8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  <w:jc w:val="left"/>
        <w:rPr>
          <w:rFonts w:cs="Arial"/>
        </w:rPr>
      </w:pPr>
      <w:r w:rsidRPr="00EC5BD1">
        <w:rPr>
          <w:rFonts w:cs="Arial"/>
        </w:rPr>
        <w:t>Enter prices into the appropriate spreadsheet. Create separate spread sheets for:</w:t>
      </w:r>
    </w:p>
    <w:p w14:paraId="31257BBA" w14:textId="77777777" w:rsidR="00020E52" w:rsidRPr="00EC5BD1" w:rsidRDefault="00020E52" w:rsidP="00DF13B8">
      <w:pPr>
        <w:pStyle w:val="Bullet2"/>
      </w:pPr>
      <w:r w:rsidRPr="00EC5BD1">
        <w:t>Different commodities (according to its type/variety, quality, condition, colour/size, origin, volume, packaging, branding, etc.)</w:t>
      </w:r>
    </w:p>
    <w:p w14:paraId="06084D5D" w14:textId="77777777" w:rsidR="00020E52" w:rsidRPr="00EC5BD1" w:rsidRDefault="00020E52" w:rsidP="00DF13B8">
      <w:pPr>
        <w:pStyle w:val="Bullet2"/>
      </w:pPr>
      <w:r w:rsidRPr="00EC5BD1">
        <w:t>Different types of trader (retailer or wholesaler)</w:t>
      </w:r>
    </w:p>
    <w:p w14:paraId="078CA482" w14:textId="77777777" w:rsidR="00020E52" w:rsidRPr="00EC5BD1" w:rsidRDefault="00020E52" w:rsidP="00DF13B8">
      <w:pPr>
        <w:pStyle w:val="Bullet2"/>
        <w:ind w:left="714" w:hanging="357"/>
      </w:pPr>
      <w:r w:rsidRPr="00EC5BD1">
        <w:t>Different volumes of sale, etc.</w:t>
      </w:r>
    </w:p>
    <w:tbl>
      <w:tblPr>
        <w:tblW w:w="75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124"/>
        <w:gridCol w:w="1134"/>
        <w:gridCol w:w="993"/>
        <w:gridCol w:w="1134"/>
        <w:gridCol w:w="1275"/>
        <w:gridCol w:w="1276"/>
      </w:tblGrid>
      <w:tr w:rsidR="00020E52" w:rsidRPr="00AF1122" w14:paraId="59D73473" w14:textId="77777777" w:rsidTr="00371382">
        <w:trPr>
          <w:trHeight w:hRule="exact" w:val="425"/>
          <w:jc w:val="center"/>
        </w:trPr>
        <w:tc>
          <w:tcPr>
            <w:tcW w:w="7528" w:type="dxa"/>
            <w:gridSpan w:val="7"/>
            <w:shd w:val="clear" w:color="auto" w:fill="DC281E"/>
            <w:noWrap/>
            <w:vAlign w:val="center"/>
          </w:tcPr>
          <w:p w14:paraId="398FB9C9" w14:textId="77777777" w:rsidR="00020E52" w:rsidRPr="00AF1122" w:rsidRDefault="00020E52" w:rsidP="00AF1122">
            <w:pPr>
              <w:spacing w:before="120"/>
              <w:jc w:val="center"/>
              <w:rPr>
                <w:rFonts w:eastAsia="Times New Roman" w:cs="Arial"/>
                <w:b/>
                <w:color w:val="FFFFFF"/>
                <w:sz w:val="18"/>
              </w:rPr>
            </w:pPr>
            <w:r w:rsidRPr="00AF1122">
              <w:rPr>
                <w:rFonts w:eastAsia="Times New Roman" w:cs="Arial"/>
                <w:b/>
                <w:color w:val="FFFFFF"/>
                <w:sz w:val="18"/>
              </w:rPr>
              <w:t>Commodity: Rice; Type: 7-Tonner; Quality: 1st grade; Origin: local; Selling unit: kg</w:t>
            </w:r>
          </w:p>
        </w:tc>
      </w:tr>
      <w:tr w:rsidR="00AF1122" w:rsidRPr="00EC5BD1" w14:paraId="0567AFBB" w14:textId="77777777" w:rsidTr="00371382">
        <w:trPr>
          <w:trHeight w:hRule="exact" w:val="425"/>
          <w:jc w:val="center"/>
        </w:trPr>
        <w:tc>
          <w:tcPr>
            <w:tcW w:w="1716" w:type="dxa"/>
            <w:gridSpan w:val="2"/>
            <w:shd w:val="clear" w:color="auto" w:fill="E6E6E6"/>
            <w:noWrap/>
            <w:vAlign w:val="center"/>
          </w:tcPr>
          <w:p w14:paraId="30041737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Date 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14:paraId="27FB60FD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5-J</w:t>
            </w:r>
            <w:bookmarkStart w:id="0" w:name="_GoBack"/>
            <w:bookmarkEnd w:id="0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an-10</w:t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14:paraId="71C492BD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5-Feb-10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14:paraId="1D3E4BC8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6-Mar-10</w:t>
            </w:r>
          </w:p>
        </w:tc>
        <w:tc>
          <w:tcPr>
            <w:tcW w:w="1275" w:type="dxa"/>
            <w:shd w:val="clear" w:color="auto" w:fill="E6E6E6"/>
            <w:noWrap/>
            <w:vAlign w:val="center"/>
          </w:tcPr>
          <w:p w14:paraId="79EDF984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4-Apr-10</w:t>
            </w:r>
          </w:p>
        </w:tc>
        <w:tc>
          <w:tcPr>
            <w:tcW w:w="1276" w:type="dxa"/>
            <w:shd w:val="clear" w:color="auto" w:fill="E6E6E6"/>
            <w:noWrap/>
            <w:vAlign w:val="center"/>
          </w:tcPr>
          <w:p w14:paraId="398A3032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5-May-10</w:t>
            </w:r>
          </w:p>
        </w:tc>
      </w:tr>
      <w:tr w:rsidR="00AF1122" w:rsidRPr="00EC5BD1" w14:paraId="0275EC47" w14:textId="77777777" w:rsidTr="00371382">
        <w:trPr>
          <w:trHeight w:hRule="exact" w:val="425"/>
          <w:jc w:val="center"/>
        </w:trPr>
        <w:tc>
          <w:tcPr>
            <w:tcW w:w="1716" w:type="dxa"/>
            <w:gridSpan w:val="2"/>
            <w:shd w:val="clear" w:color="auto" w:fill="E6E6E6"/>
            <w:noWrap/>
            <w:vAlign w:val="center"/>
          </w:tcPr>
          <w:p w14:paraId="75CD49EF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Price Unit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14:paraId="5F9A4E15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PHP/kg</w:t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14:paraId="3DB26A00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PHP/Kg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14:paraId="00994AD6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PHP/kg</w:t>
            </w:r>
          </w:p>
        </w:tc>
        <w:tc>
          <w:tcPr>
            <w:tcW w:w="1275" w:type="dxa"/>
            <w:shd w:val="clear" w:color="auto" w:fill="E6E6E6"/>
            <w:noWrap/>
            <w:vAlign w:val="center"/>
          </w:tcPr>
          <w:p w14:paraId="13D89623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PHP/Kg</w:t>
            </w:r>
          </w:p>
        </w:tc>
        <w:tc>
          <w:tcPr>
            <w:tcW w:w="1276" w:type="dxa"/>
            <w:shd w:val="clear" w:color="auto" w:fill="E6E6E6"/>
            <w:noWrap/>
            <w:vAlign w:val="center"/>
          </w:tcPr>
          <w:p w14:paraId="77047E80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PHP/Kg</w:t>
            </w:r>
          </w:p>
        </w:tc>
      </w:tr>
      <w:tr w:rsidR="00020E52" w:rsidRPr="00EC5BD1" w14:paraId="5867E062" w14:textId="77777777" w:rsidTr="00371382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00F60DBA" w14:textId="77777777" w:rsidR="00020E52" w:rsidRPr="00AF1122" w:rsidRDefault="00020E52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 w:rsidRPr="00AF1122">
              <w:rPr>
                <w:rFonts w:eastAsia="Times New Roman" w:cs="Arial"/>
                <w:color w:val="FFFFFF"/>
                <w:sz w:val="18"/>
              </w:rPr>
              <w:t>Market 1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7A79594F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C641A2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474B93D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973AB3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257C76CF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2E6B98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149A0838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417EADE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449A034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37C1F8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2BD206A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35656F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125305D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1613E73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67717636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7439FAA6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6F5195E2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7EFE86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39B28CA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1CAE472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2FAAB3F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42C700A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2CFD7673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06D0EA82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17C13E7E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B87234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3A60CA1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E357480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53C3296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0118BC5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56DE23AC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12B5D965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6561BED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71E2F05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2A2B44F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5901D89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36DF651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336C2D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296BB439" w14:textId="77777777" w:rsidTr="00371382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230B6EB4" w14:textId="77777777" w:rsidR="00020E52" w:rsidRPr="00AF1122" w:rsidRDefault="00020E52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 w:rsidRPr="00AF1122">
              <w:rPr>
                <w:rFonts w:eastAsia="Times New Roman" w:cs="Arial"/>
                <w:color w:val="FFFFFF"/>
                <w:sz w:val="18"/>
              </w:rPr>
              <w:t>Market 2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08A2B47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4F271E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4409877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C9F799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4D084BA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524B2F8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6941FC76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3EDC88C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7433748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750A5EC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29E3866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8A83CF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0936B86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134C180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1C753F07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37F1EC0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5ECB641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BCBDD5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16F7064F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DB9C4E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7AC4120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4EF4B29E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39445E97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58FFAB09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63515AA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30F7F1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448BD86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3F96D4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52E1839F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083544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4582333B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0EED8EF1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4A915CF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5A91A8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036C2F0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854BB90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15AC80F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15DC750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3EC9B5C5" w14:textId="77777777" w:rsidTr="00371382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2EF44649" w14:textId="77777777" w:rsidR="00020E52" w:rsidRPr="00AF1122" w:rsidRDefault="00020E52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 w:rsidRPr="00AF1122">
              <w:rPr>
                <w:rFonts w:eastAsia="Times New Roman" w:cs="Arial"/>
                <w:color w:val="FFFFFF"/>
                <w:sz w:val="18"/>
              </w:rPr>
              <w:t>Market 3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6C392EE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8C9C36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1F599AE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B97BBD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170E555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1BEBC3F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726094A9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5B4F14A4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03D7BBC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064AD5B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7FF4EDC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725386A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09624D2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1B3599F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50B77351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7E3401DD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2C387FD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0E8CF4A9" w14:textId="00605CA3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5092A88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558E2B2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5DFD865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621813A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3B9C3B9B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8CFCF5B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4752A33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84D1215" w14:textId="0BCE9B88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4FBB8EF0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96768D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3F2D461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46E789BF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2AB2C929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73A76D44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7917C03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F36CBCA" w14:textId="103165DE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1434BFF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6B4B6A0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1DCF00C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295E88C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701DA924" w14:textId="77777777" w:rsidTr="00371382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27DBF593" w14:textId="77777777" w:rsidR="00020E52" w:rsidRPr="00AF1122" w:rsidRDefault="00020E52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 w:rsidRPr="00AF1122">
              <w:rPr>
                <w:rFonts w:eastAsia="Times New Roman" w:cs="Arial"/>
                <w:color w:val="FFFFFF"/>
                <w:sz w:val="18"/>
              </w:rPr>
              <w:t>Market 4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3C68CD6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B9D1A2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7500F7F2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134FE7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291214E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5B8082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6C99A2D7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3CEEB646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2CD3805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8F0169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3D9FC8DE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5E9CBF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654251A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C42E00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</w:tr>
      <w:tr w:rsidR="00020E52" w:rsidRPr="00EC5BD1" w14:paraId="53B06A94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5D090FAF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3FAB96E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4C8C5B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1556580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C7C984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42EAC66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43CABC8E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</w:tr>
      <w:tr w:rsidR="00020E52" w:rsidRPr="00EC5BD1" w14:paraId="0C6E71A9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31F5852F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3303389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D9F9F0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0FA487A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5F5607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2182C20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05A1F4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</w:tr>
      <w:tr w:rsidR="00020E52" w:rsidRPr="00EC5BD1" w14:paraId="7A127B64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040B20D6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39F76D50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429590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214A0A0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06FCB9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4BE2554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44EE03BE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12B0DD1C" w14:textId="77777777" w:rsidTr="00371382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3214B6B2" w14:textId="77777777" w:rsidR="00020E52" w:rsidRPr="00AF1122" w:rsidRDefault="00020E52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 w:rsidRPr="00AF1122">
              <w:rPr>
                <w:rFonts w:eastAsia="Times New Roman" w:cs="Arial"/>
                <w:color w:val="FFFFFF"/>
                <w:sz w:val="18"/>
              </w:rPr>
              <w:t>Market 5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5FB19ECF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C26445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2319837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4D56AB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2A6B92F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7BF21F8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5334D4E9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61F24E9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13D7B8C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55D8F56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7F4C1A7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5A0D04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256212E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E7CC240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414351BB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CD8C94F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13AFAD4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55980F0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4585784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C6320FE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71F57FC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72339E0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18AD012E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4EA35A42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6BCA8252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52F676A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5432D00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C63F4A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61ACE55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40E7D39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7EBF9142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4012F377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3212E71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Retail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A37FC1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70CE50DF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601716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70682F9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67F6B66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</w:tbl>
    <w:p w14:paraId="16349202" w14:textId="4B50C7B6" w:rsidR="00020E52" w:rsidRPr="00EC5BD1" w:rsidRDefault="00020E52" w:rsidP="00EC5BD1">
      <w:pPr>
        <w:tabs>
          <w:tab w:val="right" w:pos="7938"/>
        </w:tabs>
        <w:spacing w:before="120"/>
        <w:jc w:val="left"/>
        <w:rPr>
          <w:rFonts w:cs="Arial"/>
          <w:sz w:val="16"/>
          <w:szCs w:val="18"/>
        </w:rPr>
      </w:pPr>
      <w:r w:rsidRPr="00EC5BD1">
        <w:rPr>
          <w:rFonts w:cs="Arial"/>
          <w:sz w:val="16"/>
          <w:szCs w:val="18"/>
        </w:rPr>
        <w:tab/>
      </w:r>
      <w:proofErr w:type="gramStart"/>
      <w:r w:rsidR="00835FC7" w:rsidRPr="00EC5BD1">
        <w:rPr>
          <w:rFonts w:cs="Arial"/>
          <w:sz w:val="16"/>
          <w:szCs w:val="18"/>
        </w:rPr>
        <w:t>Table.</w:t>
      </w:r>
      <w:proofErr w:type="gramEnd"/>
      <w:r w:rsidR="00835FC7" w:rsidRPr="00EC5BD1">
        <w:rPr>
          <w:rFonts w:cs="Arial"/>
          <w:sz w:val="16"/>
          <w:szCs w:val="18"/>
        </w:rPr>
        <w:t xml:space="preserve"> </w:t>
      </w:r>
      <w:r w:rsidRPr="00EC5BD1">
        <w:rPr>
          <w:rFonts w:cs="Arial"/>
          <w:sz w:val="16"/>
          <w:szCs w:val="18"/>
        </w:rPr>
        <w:t>Example of Excel spreadsheet for price database (prices are fictitious).</w:t>
      </w:r>
    </w:p>
    <w:p w14:paraId="08A7CC89" w14:textId="77777777" w:rsidR="00020E52" w:rsidRPr="00EC5BD1" w:rsidRDefault="00020E52" w:rsidP="00020E52">
      <w:pPr>
        <w:pStyle w:val="ListParagraph"/>
        <w:numPr>
          <w:ilvl w:val="0"/>
          <w:numId w:val="3"/>
        </w:numPr>
        <w:ind w:left="360"/>
        <w:contextualSpacing w:val="0"/>
        <w:jc w:val="left"/>
        <w:rPr>
          <w:rFonts w:cs="Arial"/>
        </w:rPr>
      </w:pPr>
      <w:r w:rsidRPr="00EC5BD1">
        <w:rPr>
          <w:rFonts w:cs="Arial"/>
        </w:rPr>
        <w:lastRenderedPageBreak/>
        <w:t>Ensure consistency. When inputting data in the database make sure that all prices refer to</w:t>
      </w:r>
      <w:r w:rsidRPr="00EC5BD1">
        <w:rPr>
          <w:rFonts w:cs="Arial"/>
          <w:b/>
        </w:rPr>
        <w:t xml:space="preserve"> </w:t>
      </w:r>
      <w:r w:rsidRPr="00EC5BD1">
        <w:rPr>
          <w:rFonts w:cs="Arial"/>
        </w:rPr>
        <w:t>the same units of measurement.</w:t>
      </w:r>
    </w:p>
    <w:p w14:paraId="285E47A9" w14:textId="77777777" w:rsidR="00020E52" w:rsidRPr="00EC5BD1" w:rsidRDefault="00020E52" w:rsidP="00020E52">
      <w:pPr>
        <w:pStyle w:val="ListParagraph"/>
        <w:numPr>
          <w:ilvl w:val="0"/>
          <w:numId w:val="3"/>
        </w:numPr>
        <w:ind w:left="360"/>
        <w:contextualSpacing w:val="0"/>
        <w:jc w:val="left"/>
        <w:rPr>
          <w:rFonts w:cs="Arial"/>
        </w:rPr>
      </w:pPr>
      <w:r w:rsidRPr="00EC5BD1">
        <w:rPr>
          <w:rFonts w:cs="Arial"/>
        </w:rPr>
        <w:t>Check for irregularities. If one single price is much higher or lower than the others, it is likely that there has been an error. In this case:</w:t>
      </w:r>
    </w:p>
    <w:p w14:paraId="43EFF875" w14:textId="7B6DFE47" w:rsidR="00020E52" w:rsidRPr="00EC5BD1" w:rsidRDefault="00020E52" w:rsidP="003F150A">
      <w:pPr>
        <w:pStyle w:val="Bullet2"/>
      </w:pPr>
      <w:r w:rsidRPr="00EC5BD1">
        <w:t xml:space="preserve">Double-check if the price has been converted </w:t>
      </w:r>
      <w:r w:rsidR="00835FC7" w:rsidRPr="00EC5BD1">
        <w:t xml:space="preserve">correctly </w:t>
      </w:r>
      <w:r w:rsidRPr="00EC5BD1">
        <w:t>to the unit of measurement.</w:t>
      </w:r>
    </w:p>
    <w:p w14:paraId="681B8714" w14:textId="77777777" w:rsidR="00020E52" w:rsidRPr="00EC5BD1" w:rsidRDefault="00020E52" w:rsidP="003F150A">
      <w:pPr>
        <w:pStyle w:val="Bullet2"/>
      </w:pPr>
      <w:r w:rsidRPr="00EC5BD1">
        <w:t xml:space="preserve">If the price has been correctly converted, check if the reported price is correct, possibly by asking a key informant from the market. </w:t>
      </w:r>
    </w:p>
    <w:p w14:paraId="0319FDA9" w14:textId="77777777" w:rsidR="00020E52" w:rsidRPr="00EC5BD1" w:rsidRDefault="00020E52" w:rsidP="003F150A">
      <w:pPr>
        <w:pStyle w:val="Bullet2"/>
        <w:spacing w:after="360"/>
        <w:ind w:left="714" w:hanging="357"/>
      </w:pPr>
      <w:r w:rsidRPr="00EC5BD1">
        <w:t>If the price is correct, it is recommended speaking with traders to understand the reason.</w:t>
      </w:r>
    </w:p>
    <w:p w14:paraId="1724E562" w14:textId="45C0EAD2" w:rsidR="00020E52" w:rsidRPr="00EC5BD1" w:rsidRDefault="00020E52" w:rsidP="003F150A">
      <w:pPr>
        <w:pStyle w:val="ListParagraph"/>
        <w:numPr>
          <w:ilvl w:val="0"/>
          <w:numId w:val="3"/>
        </w:numPr>
        <w:spacing w:after="360"/>
        <w:ind w:left="357" w:hanging="357"/>
        <w:contextualSpacing w:val="0"/>
        <w:jc w:val="left"/>
        <w:rPr>
          <w:rFonts w:cs="Arial"/>
        </w:rPr>
      </w:pPr>
      <w:r w:rsidRPr="00EC5BD1">
        <w:rPr>
          <w:rFonts w:cs="Arial"/>
        </w:rPr>
        <w:t>Plot the average price of each commodity across markets over time.</w:t>
      </w:r>
      <w:r w:rsidR="00835FC7" w:rsidRPr="00EC5BD1">
        <w:rPr>
          <w:rFonts w:cs="Arial"/>
        </w:rPr>
        <w:t xml:space="preserve"> </w:t>
      </w:r>
    </w:p>
    <w:p w14:paraId="7D80A1CA" w14:textId="77777777" w:rsidR="00020E52" w:rsidRPr="00EC5BD1" w:rsidRDefault="00020E52" w:rsidP="003F150A">
      <w:pPr>
        <w:jc w:val="center"/>
        <w:rPr>
          <w:rFonts w:cs="Arial"/>
          <w:color w:val="C0504D" w:themeColor="accent2"/>
        </w:rPr>
      </w:pPr>
      <w:r w:rsidRPr="00EC5BD1">
        <w:rPr>
          <w:rFonts w:cs="Arial"/>
          <w:noProof/>
          <w:lang w:val="en-CA" w:eastAsia="en-CA"/>
        </w:rPr>
        <w:drawing>
          <wp:inline distT="0" distB="0" distL="0" distR="0" wp14:anchorId="53DA1188" wp14:editId="6FDF61CD">
            <wp:extent cx="5270500" cy="4313392"/>
            <wp:effectExtent l="0" t="0" r="0" b="5080"/>
            <wp:docPr id="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CBB446" w14:textId="7837254F" w:rsidR="00020E52" w:rsidRPr="00EC5BD1" w:rsidRDefault="00835FC7" w:rsidP="003F150A">
      <w:pPr>
        <w:spacing w:before="120"/>
        <w:jc w:val="center"/>
        <w:rPr>
          <w:rFonts w:cs="Arial"/>
          <w:sz w:val="18"/>
          <w:szCs w:val="18"/>
        </w:rPr>
      </w:pPr>
      <w:proofErr w:type="gramStart"/>
      <w:r w:rsidRPr="00EC5BD1">
        <w:rPr>
          <w:rFonts w:cs="Arial"/>
          <w:sz w:val="18"/>
          <w:szCs w:val="18"/>
        </w:rPr>
        <w:t>Graph.</w:t>
      </w:r>
      <w:proofErr w:type="gramEnd"/>
      <w:r w:rsidR="00020E52" w:rsidRPr="00EC5BD1">
        <w:rPr>
          <w:rFonts w:cs="Arial"/>
          <w:sz w:val="18"/>
          <w:szCs w:val="18"/>
        </w:rPr>
        <w:t xml:space="preserve"> Example of h</w:t>
      </w:r>
      <w:r w:rsidRPr="00EC5BD1">
        <w:rPr>
          <w:rFonts w:cs="Arial"/>
          <w:sz w:val="18"/>
          <w:szCs w:val="18"/>
        </w:rPr>
        <w:t>ow to present, on</w:t>
      </w:r>
      <w:r w:rsidR="00020E52" w:rsidRPr="00EC5BD1">
        <w:rPr>
          <w:rFonts w:cs="Arial"/>
          <w:sz w:val="18"/>
          <w:szCs w:val="18"/>
        </w:rPr>
        <w:t xml:space="preserve"> a graph</w:t>
      </w:r>
      <w:r w:rsidRPr="00EC5BD1">
        <w:rPr>
          <w:rFonts w:cs="Arial"/>
          <w:sz w:val="18"/>
          <w:szCs w:val="18"/>
        </w:rPr>
        <w:t>,</w:t>
      </w:r>
      <w:r w:rsidR="00020E52" w:rsidRPr="00EC5BD1">
        <w:rPr>
          <w:rFonts w:cs="Arial"/>
          <w:sz w:val="18"/>
          <w:szCs w:val="18"/>
        </w:rPr>
        <w:t xml:space="preserve"> prices across markets over time.</w:t>
      </w:r>
    </w:p>
    <w:sectPr w:rsidR="00020E52" w:rsidRPr="00EC5BD1" w:rsidSect="00EC5BD1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5104" w14:textId="77777777" w:rsidR="00EE2C9B" w:rsidRDefault="00EE2C9B" w:rsidP="00E959EC">
      <w:pPr>
        <w:spacing w:after="0"/>
      </w:pPr>
      <w:r>
        <w:separator/>
      </w:r>
    </w:p>
  </w:endnote>
  <w:endnote w:type="continuationSeparator" w:id="0">
    <w:p w14:paraId="710CDBA9" w14:textId="77777777" w:rsidR="00EE2C9B" w:rsidRDefault="00EE2C9B" w:rsidP="00E95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7FAF" w14:textId="77777777" w:rsidR="00EC5BD1" w:rsidRPr="00B45C74" w:rsidRDefault="00EC5BD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F13B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094519D" w14:textId="08475A8F" w:rsidR="00EC5BD1" w:rsidRPr="003A3500" w:rsidRDefault="00EC5BD1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DF13B8" w:rsidRPr="00DF13B8">
      <w:rPr>
        <w:bCs/>
        <w:noProof/>
      </w:rPr>
      <w:t>Tool: Organizing market price data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BFA02" w14:textId="77777777" w:rsidR="00EE2C9B" w:rsidRDefault="00EE2C9B" w:rsidP="00E959EC">
      <w:pPr>
        <w:spacing w:after="0"/>
      </w:pPr>
      <w:r>
        <w:separator/>
      </w:r>
    </w:p>
  </w:footnote>
  <w:footnote w:type="continuationSeparator" w:id="0">
    <w:p w14:paraId="46D859CD" w14:textId="77777777" w:rsidR="00EE2C9B" w:rsidRDefault="00EE2C9B" w:rsidP="00E959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BD595" w14:textId="77777777" w:rsidR="00EC5BD1" w:rsidRPr="00074036" w:rsidRDefault="00EC5BD1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AC7"/>
    <w:multiLevelType w:val="hybridMultilevel"/>
    <w:tmpl w:val="57909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92DA9"/>
    <w:multiLevelType w:val="hybridMultilevel"/>
    <w:tmpl w:val="E13C4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67EFF"/>
    <w:multiLevelType w:val="hybridMultilevel"/>
    <w:tmpl w:val="AFA609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52"/>
    <w:rsid w:val="00016972"/>
    <w:rsid w:val="00020E52"/>
    <w:rsid w:val="002C53CD"/>
    <w:rsid w:val="002E017D"/>
    <w:rsid w:val="00351E77"/>
    <w:rsid w:val="00371382"/>
    <w:rsid w:val="003F150A"/>
    <w:rsid w:val="00436162"/>
    <w:rsid w:val="004F5D1F"/>
    <w:rsid w:val="00606F8A"/>
    <w:rsid w:val="00697933"/>
    <w:rsid w:val="00835FC7"/>
    <w:rsid w:val="00AF1122"/>
    <w:rsid w:val="00B8135D"/>
    <w:rsid w:val="00D24D77"/>
    <w:rsid w:val="00D85DB3"/>
    <w:rsid w:val="00DF13B8"/>
    <w:rsid w:val="00E959EC"/>
    <w:rsid w:val="00EC5BD1"/>
    <w:rsid w:val="00EE2C9B"/>
    <w:rsid w:val="00FA7722"/>
    <w:rsid w:val="00FE61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79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9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9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97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  <w:rsid w:val="000169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6972"/>
  </w:style>
  <w:style w:type="character" w:customStyle="1" w:styleId="Heading1Char">
    <w:name w:val="Heading 1 Char"/>
    <w:basedOn w:val="DefaultParagraphFont"/>
    <w:link w:val="Heading1"/>
    <w:uiPriority w:val="9"/>
    <w:rsid w:val="0001697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97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972"/>
    <w:rPr>
      <w:rFonts w:ascii="Arial" w:eastAsiaTheme="minorEastAsia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Title1">
    <w:name w:val="Title 1"/>
    <w:basedOn w:val="Normal"/>
    <w:qFormat/>
    <w:rsid w:val="00020E52"/>
    <w:rPr>
      <w:rFonts w:ascii="Baskerville" w:hAnsi="Baskerville"/>
      <w:smallCaps/>
      <w:sz w:val="56"/>
    </w:rPr>
  </w:style>
  <w:style w:type="paragraph" w:styleId="FootnoteText">
    <w:name w:val="footnote text"/>
    <w:basedOn w:val="Normal"/>
    <w:link w:val="FootnoteTextChar"/>
    <w:uiPriority w:val="99"/>
    <w:unhideWhenUsed/>
    <w:rsid w:val="00016972"/>
    <w:pPr>
      <w:spacing w:after="0"/>
    </w:pPr>
    <w:rPr>
      <w:sz w:val="16"/>
      <w:szCs w:val="22"/>
    </w:rPr>
  </w:style>
  <w:style w:type="character" w:customStyle="1" w:styleId="TestonotaapidipaginaCarattere">
    <w:name w:val="Testo nota a piè di pagina Carattere"/>
    <w:basedOn w:val="DefaultParagraphFont"/>
    <w:uiPriority w:val="99"/>
    <w:semiHidden/>
    <w:rsid w:val="00020E52"/>
    <w:rPr>
      <w:rFonts w:asciiTheme="majorHAnsi" w:eastAsiaTheme="minorEastAsia" w:hAnsiTheme="majorHAnsi" w:cs="MyriadPro-Regular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97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972"/>
    <w:rPr>
      <w:vertAlign w:val="superscript"/>
    </w:rPr>
  </w:style>
  <w:style w:type="paragraph" w:styleId="NormalWeb">
    <w:name w:val="Normal (Web)"/>
    <w:basedOn w:val="Normal"/>
    <w:uiPriority w:val="99"/>
    <w:rsid w:val="00020E52"/>
    <w:pPr>
      <w:spacing w:after="136" w:line="204" w:lineRule="atLeast"/>
    </w:pPr>
    <w:rPr>
      <w:rFonts w:ascii="Verdana" w:eastAsia="Arial Unicode MS" w:hAnsi="Verdana" w:cs="Arial Unicode MS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01697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972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7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1697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020E52"/>
  </w:style>
  <w:style w:type="character" w:customStyle="1" w:styleId="CommentTextChar">
    <w:name w:val="Comment Text Char"/>
    <w:basedOn w:val="DefaultParagraphFont"/>
    <w:link w:val="CommentText"/>
    <w:rsid w:val="00020E52"/>
    <w:rPr>
      <w:rFonts w:asciiTheme="majorHAnsi" w:eastAsiaTheme="minorEastAsia" w:hAnsiTheme="majorHAnsi" w:cs="MyriadPro-Regular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97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972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1697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20E52"/>
    <w:pPr>
      <w:spacing w:after="0"/>
      <w:ind w:left="720"/>
      <w:contextualSpacing/>
      <w:jc w:val="left"/>
    </w:pPr>
    <w:rPr>
      <w:rFonts w:ascii="Calibri" w:eastAsia="Cambria" w:hAnsi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697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PageNumber">
    <w:name w:val="page number"/>
    <w:basedOn w:val="DefaultParagraphFont"/>
    <w:uiPriority w:val="99"/>
    <w:unhideWhenUsed/>
    <w:rsid w:val="00016972"/>
    <w:rPr>
      <w:b/>
    </w:rPr>
  </w:style>
  <w:style w:type="table" w:styleId="LightShading">
    <w:name w:val="Light Shading"/>
    <w:basedOn w:val="TableNormal"/>
    <w:uiPriority w:val="60"/>
    <w:rsid w:val="00020E52"/>
    <w:rPr>
      <w:rFonts w:asciiTheme="majorHAnsi" w:eastAsiaTheme="minorEastAsia" w:hAnsiTheme="majorHAnsi" w:cs="ArialMT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20E52"/>
    <w:rPr>
      <w:rFonts w:asciiTheme="majorHAnsi" w:eastAsiaTheme="minorEastAsia" w:hAnsiTheme="majorHAnsi" w:cs="ArialMT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16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9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20E52"/>
  </w:style>
  <w:style w:type="table" w:styleId="LightShading-Accent2">
    <w:name w:val="Light Shading Accent 2"/>
    <w:basedOn w:val="TableNormal"/>
    <w:uiPriority w:val="60"/>
    <w:rsid w:val="00020E52"/>
    <w:rPr>
      <w:rFonts w:asciiTheme="majorHAnsi" w:eastAsiaTheme="minorEastAsia" w:hAnsiTheme="majorHAnsi" w:cs="ArialMT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020E52"/>
    <w:rPr>
      <w:rFonts w:asciiTheme="majorHAnsi" w:eastAsiaTheme="minorEastAsia" w:hAnsiTheme="majorHAnsi" w:cs="ArialMT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020E52"/>
    <w:rPr>
      <w:rFonts w:asciiTheme="majorHAnsi" w:eastAsiaTheme="minorEastAsia" w:hAnsiTheme="majorHAnsi" w:cs="ArialMT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3-Accent2">
    <w:name w:val="Medium Grid 3 Accent 2"/>
    <w:basedOn w:val="TableNormal"/>
    <w:uiPriority w:val="69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16972"/>
    <w:rPr>
      <w:rFonts w:ascii="Arial" w:hAnsi="Arial"/>
      <w:sz w:val="20"/>
      <w:szCs w:val="22"/>
    </w:rPr>
  </w:style>
  <w:style w:type="paragraph" w:styleId="Revision">
    <w:name w:val="Revision"/>
    <w:hidden/>
    <w:uiPriority w:val="99"/>
    <w:semiHidden/>
    <w:rsid w:val="00016972"/>
    <w:rPr>
      <w:rFonts w:ascii="Arial" w:eastAsiaTheme="minorEastAsia" w:hAnsi="Arial" w:cs="Arial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20E52"/>
    <w:pPr>
      <w:spacing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E52"/>
    <w:rPr>
      <w:rFonts w:ascii="Calibri" w:hAnsi="Calibri"/>
      <w:sz w:val="22"/>
      <w:szCs w:val="21"/>
      <w:lang w:val="en-GB"/>
    </w:rPr>
  </w:style>
  <w:style w:type="paragraph" w:customStyle="1" w:styleId="BodyA">
    <w:name w:val="Body A"/>
    <w:rsid w:val="00020E52"/>
    <w:rPr>
      <w:rFonts w:ascii="Helvetica" w:eastAsia="ヒラギノ角ゴ Pro W3" w:hAnsi="Helvetica" w:cs="Times New Roman"/>
      <w:color w:val="000000"/>
    </w:rPr>
  </w:style>
  <w:style w:type="paragraph" w:customStyle="1" w:styleId="Reference">
    <w:name w:val="Reference"/>
    <w:basedOn w:val="Normal"/>
    <w:qFormat/>
    <w:rsid w:val="00020E52"/>
    <w:pPr>
      <w:spacing w:after="0"/>
      <w:ind w:left="567" w:hanging="567"/>
    </w:pPr>
    <w:rPr>
      <w:rFonts w:ascii="Calibri" w:hAnsi="Calibr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0E52"/>
  </w:style>
  <w:style w:type="paragraph" w:styleId="TOC2">
    <w:name w:val="toc 2"/>
    <w:basedOn w:val="Normal"/>
    <w:next w:val="Normal"/>
    <w:autoRedefine/>
    <w:uiPriority w:val="39"/>
    <w:unhideWhenUsed/>
    <w:rsid w:val="00020E52"/>
    <w:pPr>
      <w:tabs>
        <w:tab w:val="left" w:pos="567"/>
        <w:tab w:val="right" w:leader="dot" w:pos="8290"/>
      </w:tabs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20E52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20E52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020E52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020E52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20E52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20E52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20E52"/>
    <w:pPr>
      <w:ind w:left="1600"/>
    </w:pPr>
  </w:style>
  <w:style w:type="paragraph" w:styleId="Header">
    <w:name w:val="header"/>
    <w:basedOn w:val="Normal"/>
    <w:link w:val="HeaderChar"/>
    <w:uiPriority w:val="99"/>
    <w:unhideWhenUsed/>
    <w:rsid w:val="0001697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972"/>
    <w:rPr>
      <w:rFonts w:ascii="Arial" w:eastAsiaTheme="minorEastAsia" w:hAnsi="Arial" w:cs="Times New Roman"/>
      <w:sz w:val="16"/>
      <w:szCs w:val="20"/>
    </w:rPr>
  </w:style>
  <w:style w:type="paragraph" w:customStyle="1" w:styleId="Default">
    <w:name w:val="Default"/>
    <w:rsid w:val="000169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BasicParagraph">
    <w:name w:val="[Basic Paragraph]"/>
    <w:basedOn w:val="Normal"/>
    <w:uiPriority w:val="99"/>
    <w:rsid w:val="000169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9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97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9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9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97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97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97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97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972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97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97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97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97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9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972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9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9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97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  <w:rsid w:val="000169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6972"/>
  </w:style>
  <w:style w:type="character" w:customStyle="1" w:styleId="Heading1Char">
    <w:name w:val="Heading 1 Char"/>
    <w:basedOn w:val="DefaultParagraphFont"/>
    <w:link w:val="Heading1"/>
    <w:uiPriority w:val="9"/>
    <w:rsid w:val="0001697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97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972"/>
    <w:rPr>
      <w:rFonts w:ascii="Arial" w:eastAsiaTheme="minorEastAsia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Title1">
    <w:name w:val="Title 1"/>
    <w:basedOn w:val="Normal"/>
    <w:qFormat/>
    <w:rsid w:val="00020E52"/>
    <w:rPr>
      <w:rFonts w:ascii="Baskerville" w:hAnsi="Baskerville"/>
      <w:smallCaps/>
      <w:sz w:val="56"/>
    </w:rPr>
  </w:style>
  <w:style w:type="paragraph" w:styleId="FootnoteText">
    <w:name w:val="footnote text"/>
    <w:basedOn w:val="Normal"/>
    <w:link w:val="FootnoteTextChar"/>
    <w:uiPriority w:val="99"/>
    <w:unhideWhenUsed/>
    <w:rsid w:val="00016972"/>
    <w:pPr>
      <w:spacing w:after="0"/>
    </w:pPr>
    <w:rPr>
      <w:sz w:val="16"/>
      <w:szCs w:val="22"/>
    </w:rPr>
  </w:style>
  <w:style w:type="character" w:customStyle="1" w:styleId="TestonotaapidipaginaCarattere">
    <w:name w:val="Testo nota a piè di pagina Carattere"/>
    <w:basedOn w:val="DefaultParagraphFont"/>
    <w:uiPriority w:val="99"/>
    <w:semiHidden/>
    <w:rsid w:val="00020E52"/>
    <w:rPr>
      <w:rFonts w:asciiTheme="majorHAnsi" w:eastAsiaTheme="minorEastAsia" w:hAnsiTheme="majorHAnsi" w:cs="MyriadPro-Regular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97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972"/>
    <w:rPr>
      <w:vertAlign w:val="superscript"/>
    </w:rPr>
  </w:style>
  <w:style w:type="paragraph" w:styleId="NormalWeb">
    <w:name w:val="Normal (Web)"/>
    <w:basedOn w:val="Normal"/>
    <w:uiPriority w:val="99"/>
    <w:rsid w:val="00020E52"/>
    <w:pPr>
      <w:spacing w:after="136" w:line="204" w:lineRule="atLeast"/>
    </w:pPr>
    <w:rPr>
      <w:rFonts w:ascii="Verdana" w:eastAsia="Arial Unicode MS" w:hAnsi="Verdana" w:cs="Arial Unicode MS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01697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972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7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1697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020E52"/>
  </w:style>
  <w:style w:type="character" w:customStyle="1" w:styleId="CommentTextChar">
    <w:name w:val="Comment Text Char"/>
    <w:basedOn w:val="DefaultParagraphFont"/>
    <w:link w:val="CommentText"/>
    <w:rsid w:val="00020E52"/>
    <w:rPr>
      <w:rFonts w:asciiTheme="majorHAnsi" w:eastAsiaTheme="minorEastAsia" w:hAnsiTheme="majorHAnsi" w:cs="MyriadPro-Regular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97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972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1697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20E52"/>
    <w:pPr>
      <w:spacing w:after="0"/>
      <w:ind w:left="720"/>
      <w:contextualSpacing/>
      <w:jc w:val="left"/>
    </w:pPr>
    <w:rPr>
      <w:rFonts w:ascii="Calibri" w:eastAsia="Cambria" w:hAnsi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697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PageNumber">
    <w:name w:val="page number"/>
    <w:basedOn w:val="DefaultParagraphFont"/>
    <w:uiPriority w:val="99"/>
    <w:unhideWhenUsed/>
    <w:rsid w:val="00016972"/>
    <w:rPr>
      <w:b/>
    </w:rPr>
  </w:style>
  <w:style w:type="table" w:styleId="LightShading">
    <w:name w:val="Light Shading"/>
    <w:basedOn w:val="TableNormal"/>
    <w:uiPriority w:val="60"/>
    <w:rsid w:val="00020E52"/>
    <w:rPr>
      <w:rFonts w:asciiTheme="majorHAnsi" w:eastAsiaTheme="minorEastAsia" w:hAnsiTheme="majorHAnsi" w:cs="ArialMT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20E52"/>
    <w:rPr>
      <w:rFonts w:asciiTheme="majorHAnsi" w:eastAsiaTheme="minorEastAsia" w:hAnsiTheme="majorHAnsi" w:cs="ArialMT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16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9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20E52"/>
  </w:style>
  <w:style w:type="table" w:styleId="LightShading-Accent2">
    <w:name w:val="Light Shading Accent 2"/>
    <w:basedOn w:val="TableNormal"/>
    <w:uiPriority w:val="60"/>
    <w:rsid w:val="00020E52"/>
    <w:rPr>
      <w:rFonts w:asciiTheme="majorHAnsi" w:eastAsiaTheme="minorEastAsia" w:hAnsiTheme="majorHAnsi" w:cs="ArialMT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020E52"/>
    <w:rPr>
      <w:rFonts w:asciiTheme="majorHAnsi" w:eastAsiaTheme="minorEastAsia" w:hAnsiTheme="majorHAnsi" w:cs="ArialMT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020E52"/>
    <w:rPr>
      <w:rFonts w:asciiTheme="majorHAnsi" w:eastAsiaTheme="minorEastAsia" w:hAnsiTheme="majorHAnsi" w:cs="ArialMT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3-Accent2">
    <w:name w:val="Medium Grid 3 Accent 2"/>
    <w:basedOn w:val="TableNormal"/>
    <w:uiPriority w:val="69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16972"/>
    <w:rPr>
      <w:rFonts w:ascii="Arial" w:hAnsi="Arial"/>
      <w:sz w:val="20"/>
      <w:szCs w:val="22"/>
    </w:rPr>
  </w:style>
  <w:style w:type="paragraph" w:styleId="Revision">
    <w:name w:val="Revision"/>
    <w:hidden/>
    <w:uiPriority w:val="99"/>
    <w:semiHidden/>
    <w:rsid w:val="00016972"/>
    <w:rPr>
      <w:rFonts w:ascii="Arial" w:eastAsiaTheme="minorEastAsia" w:hAnsi="Arial" w:cs="Arial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20E52"/>
    <w:pPr>
      <w:spacing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E52"/>
    <w:rPr>
      <w:rFonts w:ascii="Calibri" w:hAnsi="Calibri"/>
      <w:sz w:val="22"/>
      <w:szCs w:val="21"/>
      <w:lang w:val="en-GB"/>
    </w:rPr>
  </w:style>
  <w:style w:type="paragraph" w:customStyle="1" w:styleId="BodyA">
    <w:name w:val="Body A"/>
    <w:rsid w:val="00020E52"/>
    <w:rPr>
      <w:rFonts w:ascii="Helvetica" w:eastAsia="ヒラギノ角ゴ Pro W3" w:hAnsi="Helvetica" w:cs="Times New Roman"/>
      <w:color w:val="000000"/>
    </w:rPr>
  </w:style>
  <w:style w:type="paragraph" w:customStyle="1" w:styleId="Reference">
    <w:name w:val="Reference"/>
    <w:basedOn w:val="Normal"/>
    <w:qFormat/>
    <w:rsid w:val="00020E52"/>
    <w:pPr>
      <w:spacing w:after="0"/>
      <w:ind w:left="567" w:hanging="567"/>
    </w:pPr>
    <w:rPr>
      <w:rFonts w:ascii="Calibri" w:hAnsi="Calibr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0E52"/>
  </w:style>
  <w:style w:type="paragraph" w:styleId="TOC2">
    <w:name w:val="toc 2"/>
    <w:basedOn w:val="Normal"/>
    <w:next w:val="Normal"/>
    <w:autoRedefine/>
    <w:uiPriority w:val="39"/>
    <w:unhideWhenUsed/>
    <w:rsid w:val="00020E52"/>
    <w:pPr>
      <w:tabs>
        <w:tab w:val="left" w:pos="567"/>
        <w:tab w:val="right" w:leader="dot" w:pos="8290"/>
      </w:tabs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20E52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20E52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020E52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020E52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20E52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20E52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20E52"/>
    <w:pPr>
      <w:ind w:left="1600"/>
    </w:pPr>
  </w:style>
  <w:style w:type="paragraph" w:styleId="Header">
    <w:name w:val="header"/>
    <w:basedOn w:val="Normal"/>
    <w:link w:val="HeaderChar"/>
    <w:uiPriority w:val="99"/>
    <w:unhideWhenUsed/>
    <w:rsid w:val="0001697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972"/>
    <w:rPr>
      <w:rFonts w:ascii="Arial" w:eastAsiaTheme="minorEastAsia" w:hAnsi="Arial" w:cs="Times New Roman"/>
      <w:sz w:val="16"/>
      <w:szCs w:val="20"/>
    </w:rPr>
  </w:style>
  <w:style w:type="paragraph" w:customStyle="1" w:styleId="Default">
    <w:name w:val="Default"/>
    <w:rsid w:val="000169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BasicParagraph">
    <w:name w:val="[Basic Paragraph]"/>
    <w:basedOn w:val="Normal"/>
    <w:uiPriority w:val="99"/>
    <w:rsid w:val="000169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9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97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9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9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97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97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97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97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972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97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97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97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97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9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972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8715491888815"/>
          <c:y val="4.8584485684872399E-2"/>
          <c:w val="0.72128450811118505"/>
          <c:h val="0.47636264989844501"/>
        </c:manualLayout>
      </c:layout>
      <c:lineChart>
        <c:grouping val="standard"/>
        <c:varyColors val="0"/>
        <c:ser>
          <c:idx val="0"/>
          <c:order val="0"/>
          <c:tx>
            <c:strRef>
              <c:f>Sheet2!$K$8</c:f>
              <c:strCache>
                <c:ptCount val="1"/>
                <c:pt idx="0">
                  <c:v>Average all markets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Sheet2!$L$8:$P$8</c:f>
              <c:numCache>
                <c:formatCode>0.0</c:formatCode>
                <c:ptCount val="5"/>
                <c:pt idx="0">
                  <c:v>31.45454545454545</c:v>
                </c:pt>
                <c:pt idx="1">
                  <c:v>32.72</c:v>
                </c:pt>
                <c:pt idx="2">
                  <c:v>33.799999999999997</c:v>
                </c:pt>
                <c:pt idx="3">
                  <c:v>36.28</c:v>
                </c:pt>
                <c:pt idx="4">
                  <c:v>35.200000000000003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Sheet2!$K$9</c:f>
              <c:strCache>
                <c:ptCount val="1"/>
                <c:pt idx="0">
                  <c:v>Average market 1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Sheet2!$L$9:$P$9</c:f>
              <c:numCache>
                <c:formatCode>General</c:formatCode>
                <c:ptCount val="5"/>
                <c:pt idx="0">
                  <c:v>32.200000000000003</c:v>
                </c:pt>
                <c:pt idx="1">
                  <c:v>32.200000000000003</c:v>
                </c:pt>
                <c:pt idx="2">
                  <c:v>32.6</c:v>
                </c:pt>
                <c:pt idx="3">
                  <c:v>35.6</c:v>
                </c:pt>
                <c:pt idx="4">
                  <c:v>35.200000000000003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Sheet2!$K$10</c:f>
              <c:strCache>
                <c:ptCount val="1"/>
                <c:pt idx="0">
                  <c:v>Average Market 2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Sheet2!$L$10:$P$10</c:f>
              <c:numCache>
                <c:formatCode>General</c:formatCode>
                <c:ptCount val="5"/>
                <c:pt idx="0">
                  <c:v>31</c:v>
                </c:pt>
                <c:pt idx="1">
                  <c:v>31</c:v>
                </c:pt>
                <c:pt idx="2">
                  <c:v>31.8</c:v>
                </c:pt>
                <c:pt idx="3">
                  <c:v>34.799999999999997</c:v>
                </c:pt>
                <c:pt idx="4">
                  <c:v>35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Sheet2!$K$11</c:f>
              <c:strCache>
                <c:ptCount val="1"/>
                <c:pt idx="0">
                  <c:v>Avergae Market 3</c:v>
                </c:pt>
              </c:strCache>
            </c:strRef>
          </c:tx>
          <c:spPr>
            <a:ln w="34925" cap="rnd">
              <a:prstDash val="dash"/>
            </a:ln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Sheet2!$L$11:$P$11</c:f>
              <c:numCache>
                <c:formatCode>General</c:formatCode>
                <c:ptCount val="5"/>
                <c:pt idx="0">
                  <c:v>32</c:v>
                </c:pt>
                <c:pt idx="1">
                  <c:v>38.200000000000003</c:v>
                </c:pt>
                <c:pt idx="2">
                  <c:v>40.6</c:v>
                </c:pt>
                <c:pt idx="3">
                  <c:v>41</c:v>
                </c:pt>
                <c:pt idx="4">
                  <c:v>35.6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Sheet2!$K$12</c:f>
              <c:strCache>
                <c:ptCount val="1"/>
                <c:pt idx="0">
                  <c:v>Avergae Market 4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Sheet2!$L$12:$P$12</c:f>
              <c:numCache>
                <c:formatCode>General</c:formatCode>
                <c:ptCount val="5"/>
                <c:pt idx="0">
                  <c:v>30.4</c:v>
                </c:pt>
                <c:pt idx="1">
                  <c:v>30.4</c:v>
                </c:pt>
                <c:pt idx="2">
                  <c:v>31.4</c:v>
                </c:pt>
                <c:pt idx="3">
                  <c:v>34.200000000000003</c:v>
                </c:pt>
                <c:pt idx="4">
                  <c:v>34.4</c:v>
                </c:pt>
              </c:numCache>
            </c:numRef>
          </c:val>
          <c:smooth val="1"/>
        </c:ser>
        <c:ser>
          <c:idx val="5"/>
          <c:order val="5"/>
          <c:tx>
            <c:strRef>
              <c:f>Sheet2!$K$13</c:f>
              <c:strCache>
                <c:ptCount val="1"/>
                <c:pt idx="0">
                  <c:v>Average Market 5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Sheet2!$L$13:$P$13</c:f>
              <c:numCache>
                <c:formatCode>General</c:formatCode>
                <c:ptCount val="5"/>
                <c:pt idx="0">
                  <c:v>32</c:v>
                </c:pt>
                <c:pt idx="1">
                  <c:v>31.8</c:v>
                </c:pt>
                <c:pt idx="2">
                  <c:v>32.6</c:v>
                </c:pt>
                <c:pt idx="3">
                  <c:v>35.799999999999997</c:v>
                </c:pt>
                <c:pt idx="4">
                  <c:v>35.799999999999997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472832"/>
        <c:axId val="196474368"/>
      </c:lineChart>
      <c:dateAx>
        <c:axId val="196472832"/>
        <c:scaling>
          <c:orientation val="minMax"/>
        </c:scaling>
        <c:delete val="0"/>
        <c:axPos val="b"/>
        <c:numFmt formatCode="d\-mmm\-yy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96474368"/>
        <c:crosses val="autoZero"/>
        <c:auto val="1"/>
        <c:lblOffset val="100"/>
        <c:baseTimeUnit val="months"/>
      </c:dateAx>
      <c:valAx>
        <c:axId val="196474368"/>
        <c:scaling>
          <c:orientation val="minMax"/>
          <c:min val="2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Price  PHP/Kg</a:t>
                </a:r>
              </a:p>
            </c:rich>
          </c:tx>
          <c:layout>
            <c:manualLayout>
              <c:xMode val="edge"/>
              <c:yMode val="edge"/>
              <c:x val="0.11264367816092"/>
              <c:y val="0.25089511634079398"/>
            </c:manualLayout>
          </c:layout>
          <c:overlay val="0"/>
        </c:title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964728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/>
            </a:pPr>
            <a:endParaRPr lang="en-US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Nicole Francoeur</cp:lastModifiedBy>
  <cp:revision>14</cp:revision>
  <cp:lastPrinted>2015-10-13T17:36:00Z</cp:lastPrinted>
  <dcterms:created xsi:type="dcterms:W3CDTF">2014-12-10T09:18:00Z</dcterms:created>
  <dcterms:modified xsi:type="dcterms:W3CDTF">2015-10-16T11:05:00Z</dcterms:modified>
</cp:coreProperties>
</file>