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F6AF" w14:textId="608CB517" w:rsidR="00752584" w:rsidRPr="008B631C" w:rsidRDefault="00752584" w:rsidP="001F7E82">
      <w:pPr>
        <w:pStyle w:val="H1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Herramienta: Análisis de los cambios de </w:t>
      </w:r>
      <w:r w:rsidR="00C569C9">
        <w:rPr>
          <w:rFonts w:cs="Arial"/>
          <w:lang w:val="es-ES"/>
        </w:rPr>
        <w:t xml:space="preserve">los </w:t>
      </w:r>
      <w:bookmarkStart w:id="0" w:name="_GoBack"/>
      <w:bookmarkEnd w:id="0"/>
      <w:r w:rsidRPr="008B631C">
        <w:rPr>
          <w:rFonts w:cs="Arial"/>
          <w:lang w:val="es-ES"/>
        </w:rPr>
        <w:t xml:space="preserve">precios </w:t>
      </w:r>
    </w:p>
    <w:p w14:paraId="2987F367" w14:textId="755E348B" w:rsidR="001B3CE8" w:rsidRPr="008B631C" w:rsidRDefault="00752584" w:rsidP="001F7E82">
      <w:pPr>
        <w:pStyle w:val="Heading3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Objetivo de la herramienta </w:t>
      </w:r>
    </w:p>
    <w:p w14:paraId="6B3AAACF" w14:textId="777978FA" w:rsidR="00752584" w:rsidRPr="008B631C" w:rsidRDefault="00A16DE9" w:rsidP="009329FE">
      <w:pPr>
        <w:rPr>
          <w:lang w:val="es-ES"/>
        </w:rPr>
      </w:pPr>
      <w:r>
        <w:rPr>
          <w:lang w:val="es-ES"/>
        </w:rPr>
        <w:t xml:space="preserve">Esta herramienta </w:t>
      </w:r>
      <w:r w:rsidR="00752584" w:rsidRPr="008B631C">
        <w:rPr>
          <w:lang w:val="es-ES"/>
        </w:rPr>
        <w:t xml:space="preserve">ayuda a identificar las causas de cualquier cambio significativo en los precios </w:t>
      </w:r>
      <w:r>
        <w:rPr>
          <w:lang w:val="es-ES"/>
        </w:rPr>
        <w:t>que se haya identificado durante el monitoreo de precios</w:t>
      </w:r>
      <w:r w:rsidR="00752584" w:rsidRPr="008B631C">
        <w:rPr>
          <w:lang w:val="es-ES"/>
        </w:rPr>
        <w:t>.</w:t>
      </w:r>
    </w:p>
    <w:p w14:paraId="6BD7027C" w14:textId="69AF8221" w:rsidR="001B3CE8" w:rsidRPr="008B631C" w:rsidRDefault="00752584" w:rsidP="001F7E82">
      <w:pPr>
        <w:pStyle w:val="Heading3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Cómo utilizar la herramienta </w:t>
      </w:r>
    </w:p>
    <w:p w14:paraId="1B12E8F2" w14:textId="4E808676" w:rsidR="00752584" w:rsidRPr="008B631C" w:rsidRDefault="00752584" w:rsidP="001B3CE8">
      <w:pPr>
        <w:rPr>
          <w:lang w:val="es-ES"/>
        </w:rPr>
      </w:pPr>
      <w:r w:rsidRPr="008B631C">
        <w:rPr>
          <w:lang w:val="es-ES"/>
        </w:rPr>
        <w:t xml:space="preserve">Esta herramienta consiste en una lista de </w:t>
      </w:r>
      <w:r w:rsidR="00A16DE9">
        <w:rPr>
          <w:lang w:val="es-ES"/>
        </w:rPr>
        <w:t xml:space="preserve">verificación </w:t>
      </w:r>
      <w:r w:rsidRPr="008B631C">
        <w:rPr>
          <w:lang w:val="es-ES"/>
        </w:rPr>
        <w:t>para ser utiliza</w:t>
      </w:r>
      <w:r w:rsidR="00A16DE9">
        <w:rPr>
          <w:lang w:val="es-ES"/>
        </w:rPr>
        <w:t>da</w:t>
      </w:r>
      <w:r w:rsidRPr="008B631C">
        <w:rPr>
          <w:lang w:val="es-ES"/>
        </w:rPr>
        <w:t xml:space="preserve"> en el análisis de los datos de precios con el fin de identificar las causas potenciales de</w:t>
      </w:r>
      <w:r w:rsidR="00A16DE9">
        <w:rPr>
          <w:lang w:val="es-ES"/>
        </w:rPr>
        <w:t>l</w:t>
      </w:r>
      <w:r w:rsidRPr="008B631C">
        <w:rPr>
          <w:lang w:val="es-ES"/>
        </w:rPr>
        <w:t xml:space="preserve"> cambio de</w:t>
      </w:r>
      <w:r w:rsidR="00A16DE9">
        <w:rPr>
          <w:lang w:val="es-ES"/>
        </w:rPr>
        <w:t>l</w:t>
      </w:r>
      <w:r w:rsidRPr="008B631C">
        <w:rPr>
          <w:lang w:val="es-ES"/>
        </w:rPr>
        <w:t xml:space="preserve"> precio. Pasa a través de las causas más comunes de la variación de los precios:</w:t>
      </w:r>
    </w:p>
    <w:p w14:paraId="7137755D" w14:textId="52697CD1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La inflación</w:t>
      </w:r>
    </w:p>
    <w:p w14:paraId="779E5722" w14:textId="21C61C9C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La estacionalidad</w:t>
      </w:r>
    </w:p>
    <w:p w14:paraId="1081B85A" w14:textId="5513F7C5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Los patrones comunes en todos los mercados</w:t>
      </w:r>
    </w:p>
    <w:p w14:paraId="151B6F52" w14:textId="1ADF7EE3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Impacto del proyecto</w:t>
      </w:r>
    </w:p>
    <w:p w14:paraId="7E0DE0AE" w14:textId="23D01365" w:rsidR="00752584" w:rsidRPr="008B631C" w:rsidRDefault="00752584" w:rsidP="001F7E82">
      <w:pPr>
        <w:pStyle w:val="Heading3"/>
        <w:rPr>
          <w:rFonts w:cs="Arial"/>
          <w:lang w:val="es-ES"/>
        </w:rPr>
      </w:pPr>
      <w:r w:rsidRPr="008B631C">
        <w:rPr>
          <w:rFonts w:cs="Arial"/>
          <w:lang w:val="es-ES"/>
        </w:rPr>
        <w:t>Lista de verificación para identificar las posibles causas de variación de los precios</w:t>
      </w:r>
    </w:p>
    <w:p w14:paraId="0A70E4AC" w14:textId="0E28C306" w:rsidR="00752584" w:rsidRPr="008B631C" w:rsidRDefault="00752584" w:rsidP="001B3CE8">
      <w:pPr>
        <w:rPr>
          <w:rFonts w:cs="Arial"/>
          <w:lang w:val="es-ES"/>
        </w:rPr>
      </w:pPr>
      <w:r w:rsidRPr="008B631C">
        <w:rPr>
          <w:rFonts w:cs="Arial"/>
          <w:lang w:val="es-ES"/>
        </w:rPr>
        <w:t>Si ha identificado una diferencia de precio del 30 por ciento de un mes a otro, se debe comprobar sus posibles causas.</w:t>
      </w:r>
    </w:p>
    <w:p w14:paraId="15E15759" w14:textId="0E1949C9" w:rsidR="001B3CE8" w:rsidRPr="008B631C" w:rsidRDefault="006B62F4" w:rsidP="009D2F57">
      <w:pPr>
        <w:pStyle w:val="Heading2"/>
        <w:spacing w:before="480"/>
        <w:rPr>
          <w:rFonts w:cs="Arial"/>
          <w:lang w:val="es-ES"/>
        </w:rPr>
      </w:pPr>
      <w:r w:rsidRPr="008B631C">
        <w:rPr>
          <w:rFonts w:cs="Arial"/>
          <w:lang w:val="es-ES"/>
        </w:rPr>
        <w:t>1.</w:t>
      </w:r>
      <w:r w:rsidRPr="008B631C">
        <w:rPr>
          <w:rFonts w:cs="Arial"/>
          <w:lang w:val="es-ES"/>
        </w:rPr>
        <w:tab/>
      </w:r>
      <w:r w:rsidR="00752584" w:rsidRPr="008B631C">
        <w:rPr>
          <w:rFonts w:cs="Arial"/>
          <w:lang w:val="es-ES"/>
        </w:rPr>
        <w:t xml:space="preserve">INFLACIÓN </w:t>
      </w:r>
    </w:p>
    <w:p w14:paraId="5119F732" w14:textId="737CADC4" w:rsidR="00752584" w:rsidRPr="008B631C" w:rsidRDefault="00752584" w:rsidP="00752584">
      <w:pPr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el precio ha subido, comprobar si la subida es </w:t>
      </w:r>
      <w:r w:rsidR="00A16DE9" w:rsidRPr="008B631C">
        <w:rPr>
          <w:rFonts w:cs="Arial"/>
          <w:lang w:val="es-ES"/>
        </w:rPr>
        <w:t>específica</w:t>
      </w:r>
      <w:r w:rsidRPr="008B631C">
        <w:rPr>
          <w:rFonts w:cs="Arial"/>
          <w:lang w:val="es-ES"/>
        </w:rPr>
        <w:t xml:space="preserve"> al producto (P) </w:t>
      </w:r>
      <w:r w:rsidR="00A16DE9">
        <w:rPr>
          <w:rFonts w:cs="Arial"/>
          <w:lang w:val="es-ES"/>
        </w:rPr>
        <w:t xml:space="preserve">que se </w:t>
      </w:r>
      <w:r w:rsidRPr="008B631C">
        <w:rPr>
          <w:rFonts w:cs="Arial"/>
          <w:lang w:val="es-ES"/>
        </w:rPr>
        <w:t>está monitorizando o puede estar asociado con la inflación general.</w:t>
      </w:r>
    </w:p>
    <w:p w14:paraId="5FA1326E" w14:textId="6C2D1579" w:rsidR="00752584" w:rsidRPr="008B631C" w:rsidRDefault="00752584" w:rsidP="00752584">
      <w:pPr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 Se puede utilizar el Índice de Precios al Consumidor (IPC) como medida de la inflación.</w:t>
      </w:r>
    </w:p>
    <w:p w14:paraId="16122A30" w14:textId="4DB8DB63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Trazar la serie de datos para el IPC.</w:t>
      </w:r>
    </w:p>
    <w:p w14:paraId="51E92ACF" w14:textId="50CF863E" w:rsidR="00752584" w:rsidRPr="008B631C" w:rsidRDefault="00752584" w:rsidP="00752584">
      <w:pPr>
        <w:pStyle w:val="Bullet2"/>
        <w:rPr>
          <w:lang w:val="es-ES"/>
        </w:rPr>
      </w:pPr>
      <w:r w:rsidRPr="008B631C">
        <w:rPr>
          <w:lang w:val="es-ES"/>
        </w:rPr>
        <w:t>Trazar la se</w:t>
      </w:r>
      <w:r w:rsidR="00A16DE9">
        <w:rPr>
          <w:lang w:val="es-ES"/>
        </w:rPr>
        <w:t>rie de datos de precios para el/</w:t>
      </w:r>
      <w:r w:rsidR="0069172D">
        <w:rPr>
          <w:lang w:val="es-ES"/>
        </w:rPr>
        <w:t>los</w:t>
      </w:r>
      <w:r w:rsidR="0069172D" w:rsidRPr="008B631C">
        <w:rPr>
          <w:lang w:val="es-ES"/>
        </w:rPr>
        <w:t xml:space="preserve"> </w:t>
      </w:r>
      <w:r w:rsidR="0069172D">
        <w:rPr>
          <w:lang w:val="es-ES"/>
        </w:rPr>
        <w:t>productos</w:t>
      </w:r>
      <w:r w:rsidR="00A16DE9">
        <w:rPr>
          <w:lang w:val="es-ES"/>
        </w:rPr>
        <w:t>/s</w:t>
      </w:r>
      <w:r w:rsidRPr="008B631C">
        <w:rPr>
          <w:lang w:val="es-ES"/>
        </w:rPr>
        <w:t xml:space="preserve"> que está supervisando.</w:t>
      </w:r>
    </w:p>
    <w:p w14:paraId="791C29F4" w14:textId="3C7D96AD" w:rsidR="00752584" w:rsidRPr="008B631C" w:rsidRDefault="00A16DE9" w:rsidP="00752584">
      <w:pPr>
        <w:pStyle w:val="Bullet2"/>
        <w:rPr>
          <w:lang w:val="es-ES"/>
        </w:rPr>
      </w:pPr>
      <w:r>
        <w:rPr>
          <w:lang w:val="es-ES"/>
        </w:rPr>
        <w:t>Comparar</w:t>
      </w:r>
      <w:r w:rsidR="00752584" w:rsidRPr="008B631C">
        <w:rPr>
          <w:lang w:val="es-ES"/>
        </w:rPr>
        <w:t xml:space="preserve"> los dos gráficos.</w:t>
      </w:r>
    </w:p>
    <w:p w14:paraId="4CFCBBF1" w14:textId="20EA306B" w:rsidR="00752584" w:rsidRPr="008B631C" w:rsidRDefault="00A16DE9" w:rsidP="00752584">
      <w:pPr>
        <w:pStyle w:val="ListParagraph"/>
        <w:numPr>
          <w:ilvl w:val="1"/>
          <w:numId w:val="2"/>
        </w:numPr>
        <w:spacing w:after="0"/>
        <w:ind w:left="1440"/>
        <w:contextualSpacing w:val="0"/>
        <w:rPr>
          <w:rFonts w:cs="Arial"/>
          <w:lang w:val="es-ES"/>
        </w:rPr>
      </w:pPr>
      <w:r>
        <w:rPr>
          <w:rFonts w:cs="Arial"/>
          <w:lang w:val="es-ES"/>
        </w:rPr>
        <w:t xml:space="preserve"> </w:t>
      </w:r>
      <w:r w:rsidR="00752584" w:rsidRPr="008B631C">
        <w:rPr>
          <w:rFonts w:cs="Arial"/>
          <w:lang w:val="es-ES"/>
        </w:rPr>
        <w:t>Si ambos siguen el mismo patrón (como para los productos básicos 1), es probable que el cambio de precios que se h</w:t>
      </w:r>
      <w:r>
        <w:rPr>
          <w:rFonts w:cs="Arial"/>
          <w:lang w:val="es-ES"/>
        </w:rPr>
        <w:t>a observado refleje</w:t>
      </w:r>
      <w:r w:rsidR="00752584" w:rsidRPr="008B631C">
        <w:rPr>
          <w:rFonts w:cs="Arial"/>
          <w:lang w:val="es-ES"/>
        </w:rPr>
        <w:t xml:space="preserve"> la inflación general.</w:t>
      </w:r>
    </w:p>
    <w:p w14:paraId="31D190A1" w14:textId="77777777" w:rsidR="001B3CE8" w:rsidRPr="008B631C" w:rsidRDefault="001B3CE8" w:rsidP="00794B38">
      <w:pPr>
        <w:tabs>
          <w:tab w:val="left" w:pos="993"/>
        </w:tabs>
        <w:spacing w:before="240" w:after="360"/>
        <w:ind w:left="284"/>
        <w:jc w:val="center"/>
        <w:rPr>
          <w:rFonts w:cs="Arial"/>
          <w:lang w:val="es-ES"/>
        </w:rPr>
      </w:pPr>
      <w:r w:rsidRPr="008B631C">
        <w:rPr>
          <w:rFonts w:cs="Arial"/>
          <w:noProof/>
          <w:lang w:val="es-ES_tradnl" w:eastAsia="es-ES_tradnl"/>
        </w:rPr>
        <w:drawing>
          <wp:inline distT="0" distB="0" distL="0" distR="0" wp14:anchorId="430B3AFD" wp14:editId="056B6C9C">
            <wp:extent cx="3657600" cy="27432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3DF" w14:textId="6A4E7F58" w:rsidR="00752584" w:rsidRPr="008B631C" w:rsidRDefault="00752584" w:rsidP="00752584">
      <w:pPr>
        <w:pStyle w:val="ListParagraph"/>
        <w:numPr>
          <w:ilvl w:val="1"/>
          <w:numId w:val="2"/>
        </w:numPr>
        <w:ind w:left="1440"/>
        <w:contextualSpacing w:val="0"/>
        <w:rPr>
          <w:rFonts w:cs="Arial"/>
          <w:lang w:val="es-ES"/>
        </w:rPr>
      </w:pPr>
      <w:r w:rsidRPr="008B631C">
        <w:rPr>
          <w:rFonts w:cs="Arial"/>
          <w:lang w:val="es-ES"/>
        </w:rPr>
        <w:lastRenderedPageBreak/>
        <w:t xml:space="preserve">Si se siguen diferentes patrones (como para los productos básicos 2), se debe investigar más para entender </w:t>
      </w:r>
      <w:r w:rsidR="00A16DE9">
        <w:rPr>
          <w:rFonts w:cs="Arial"/>
          <w:lang w:val="es-ES"/>
        </w:rPr>
        <w:t xml:space="preserve">el </w:t>
      </w:r>
      <w:r w:rsidRPr="008B631C">
        <w:rPr>
          <w:rFonts w:cs="Arial"/>
          <w:lang w:val="es-ES"/>
        </w:rPr>
        <w:t>por qué. La caus</w:t>
      </w:r>
      <w:r w:rsidR="00A16DE9">
        <w:rPr>
          <w:rFonts w:cs="Arial"/>
          <w:lang w:val="es-ES"/>
        </w:rPr>
        <w:t>a está probablemente relacionada</w:t>
      </w:r>
      <w:r w:rsidRPr="008B631C">
        <w:rPr>
          <w:rFonts w:cs="Arial"/>
          <w:lang w:val="es-ES"/>
        </w:rPr>
        <w:t xml:space="preserve"> con un choque que es específico para el producto y podría estar relacionado con el proyecto.</w:t>
      </w:r>
    </w:p>
    <w:p w14:paraId="38BDB2DA" w14:textId="77777777" w:rsidR="001B3CE8" w:rsidRPr="008B631C" w:rsidRDefault="001B3CE8" w:rsidP="00794B38">
      <w:pPr>
        <w:ind w:left="426"/>
        <w:jc w:val="center"/>
        <w:rPr>
          <w:rFonts w:cs="Arial"/>
          <w:lang w:val="es-ES"/>
        </w:rPr>
      </w:pPr>
      <w:r w:rsidRPr="008B631C">
        <w:rPr>
          <w:rFonts w:cs="Arial"/>
          <w:noProof/>
          <w:lang w:val="es-ES_tradnl" w:eastAsia="es-ES_tradnl"/>
        </w:rPr>
        <w:drawing>
          <wp:inline distT="0" distB="0" distL="0" distR="0" wp14:anchorId="36F2F229" wp14:editId="2140D062">
            <wp:extent cx="4420235" cy="3315176"/>
            <wp:effectExtent l="0" t="0" r="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32" cy="331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3627" w14:textId="442B4C80" w:rsidR="001B3CE8" w:rsidRPr="008B631C" w:rsidRDefault="006B62F4" w:rsidP="001F7E82">
      <w:pPr>
        <w:pStyle w:val="Heading2"/>
        <w:rPr>
          <w:rFonts w:cs="Arial"/>
          <w:lang w:val="es-ES"/>
        </w:rPr>
      </w:pPr>
      <w:r w:rsidRPr="008B631C">
        <w:rPr>
          <w:rFonts w:cs="Arial"/>
          <w:lang w:val="es-ES"/>
        </w:rPr>
        <w:t>2.</w:t>
      </w:r>
      <w:r w:rsidRPr="008B631C">
        <w:rPr>
          <w:rFonts w:cs="Arial"/>
          <w:lang w:val="es-ES"/>
        </w:rPr>
        <w:tab/>
      </w:r>
      <w:r w:rsidR="008B631C" w:rsidRPr="008B631C">
        <w:rPr>
          <w:rFonts w:cs="Arial"/>
          <w:lang w:val="es-ES"/>
        </w:rPr>
        <w:t xml:space="preserve">estacionalidad </w:t>
      </w:r>
    </w:p>
    <w:p w14:paraId="787A1B22" w14:textId="38760AB2" w:rsidR="008B631C" w:rsidRPr="008B631C" w:rsidRDefault="00A16DE9" w:rsidP="008B631C">
      <w:pPr>
        <w:rPr>
          <w:rFonts w:cs="Arial"/>
          <w:lang w:val="es-ES"/>
        </w:rPr>
      </w:pPr>
      <w:r>
        <w:rPr>
          <w:rFonts w:cs="Arial"/>
          <w:lang w:val="es-ES"/>
        </w:rPr>
        <w:t>Hay que c</w:t>
      </w:r>
      <w:r w:rsidR="008B631C" w:rsidRPr="008B631C">
        <w:rPr>
          <w:rFonts w:cs="Arial"/>
          <w:lang w:val="es-ES"/>
        </w:rPr>
        <w:t>ompr</w:t>
      </w:r>
      <w:r>
        <w:rPr>
          <w:rFonts w:cs="Arial"/>
          <w:lang w:val="es-ES"/>
        </w:rPr>
        <w:t xml:space="preserve">obar </w:t>
      </w:r>
      <w:r w:rsidR="008B631C" w:rsidRPr="008B631C">
        <w:rPr>
          <w:rFonts w:cs="Arial"/>
          <w:lang w:val="es-ES"/>
        </w:rPr>
        <w:t>si el cambio en el precio es específico de l</w:t>
      </w:r>
      <w:r>
        <w:rPr>
          <w:rFonts w:cs="Arial"/>
          <w:lang w:val="es-ES"/>
        </w:rPr>
        <w:t xml:space="preserve">os productos </w:t>
      </w:r>
      <w:r w:rsidR="008B631C" w:rsidRPr="008B631C">
        <w:rPr>
          <w:rFonts w:cs="Arial"/>
          <w:lang w:val="es-ES"/>
        </w:rPr>
        <w:t xml:space="preserve">que </w:t>
      </w:r>
      <w:r>
        <w:rPr>
          <w:rFonts w:cs="Arial"/>
          <w:lang w:val="es-ES"/>
        </w:rPr>
        <w:t xml:space="preserve">se </w:t>
      </w:r>
      <w:r w:rsidR="008B631C" w:rsidRPr="008B631C">
        <w:rPr>
          <w:rFonts w:cs="Arial"/>
          <w:lang w:val="es-ES"/>
        </w:rPr>
        <w:t>está</w:t>
      </w:r>
      <w:r>
        <w:rPr>
          <w:rFonts w:cs="Arial"/>
          <w:lang w:val="es-ES"/>
        </w:rPr>
        <w:t>n</w:t>
      </w:r>
      <w:r w:rsidR="008B631C" w:rsidRPr="008B631C">
        <w:rPr>
          <w:rFonts w:cs="Arial"/>
          <w:lang w:val="es-ES"/>
        </w:rPr>
        <w:t xml:space="preserve"> sup</w:t>
      </w:r>
      <w:r>
        <w:rPr>
          <w:rFonts w:cs="Arial"/>
          <w:lang w:val="es-ES"/>
        </w:rPr>
        <w:t>ervisando o puede estar asociado</w:t>
      </w:r>
      <w:r w:rsidR="008B631C" w:rsidRPr="008B631C">
        <w:rPr>
          <w:rFonts w:cs="Arial"/>
          <w:lang w:val="es-ES"/>
        </w:rPr>
        <w:t xml:space="preserve"> con la estacionalidad.</w:t>
      </w:r>
    </w:p>
    <w:p w14:paraId="7F6FE185" w14:textId="19AD9128" w:rsidR="008B631C" w:rsidRPr="008B631C" w:rsidRDefault="00A16DE9" w:rsidP="008B631C">
      <w:pPr>
        <w:rPr>
          <w:rFonts w:cs="Arial"/>
          <w:lang w:val="es-ES"/>
        </w:rPr>
      </w:pPr>
      <w:r>
        <w:rPr>
          <w:rFonts w:cs="Arial"/>
          <w:lang w:val="es-ES"/>
        </w:rPr>
        <w:t>Se p</w:t>
      </w:r>
      <w:r w:rsidR="008B631C" w:rsidRPr="008B631C">
        <w:rPr>
          <w:rFonts w:cs="Arial"/>
          <w:lang w:val="es-ES"/>
        </w:rPr>
        <w:t>uede utilizar la serie histórica de los precios de</w:t>
      </w:r>
      <w:r>
        <w:rPr>
          <w:rFonts w:cs="Arial"/>
          <w:lang w:val="es-ES"/>
        </w:rPr>
        <w:t>l/os producto/</w:t>
      </w:r>
      <w:r w:rsidR="008B631C" w:rsidRPr="008B631C">
        <w:rPr>
          <w:rFonts w:cs="Arial"/>
          <w:lang w:val="es-ES"/>
        </w:rPr>
        <w:t xml:space="preserve">s que </w:t>
      </w:r>
      <w:r>
        <w:rPr>
          <w:rFonts w:cs="Arial"/>
          <w:lang w:val="es-ES"/>
        </w:rPr>
        <w:t xml:space="preserve">se </w:t>
      </w:r>
      <w:r w:rsidR="008B631C" w:rsidRPr="008B631C">
        <w:rPr>
          <w:rFonts w:cs="Arial"/>
          <w:lang w:val="es-ES"/>
        </w:rPr>
        <w:t>está moni</w:t>
      </w:r>
      <w:r>
        <w:rPr>
          <w:rFonts w:cs="Arial"/>
          <w:lang w:val="es-ES"/>
        </w:rPr>
        <w:t>torizando. Pueden estar disponibles</w:t>
      </w:r>
      <w:r w:rsidR="008B631C" w:rsidRPr="008B631C">
        <w:rPr>
          <w:rFonts w:cs="Arial"/>
          <w:lang w:val="es-ES"/>
        </w:rPr>
        <w:t xml:space="preserve"> a partir de fuentes secundarias de datos (consulte la Herramienta 3.1). Como alternativa, </w:t>
      </w:r>
      <w:r>
        <w:rPr>
          <w:rFonts w:cs="Arial"/>
          <w:lang w:val="es-ES"/>
        </w:rPr>
        <w:t xml:space="preserve">se </w:t>
      </w:r>
      <w:r w:rsidR="008B631C" w:rsidRPr="008B631C">
        <w:rPr>
          <w:rFonts w:cs="Arial"/>
          <w:lang w:val="es-ES"/>
        </w:rPr>
        <w:t>puede utilizar los calendarios estacionales desarrollados durante las evaluaciones del mercado.</w:t>
      </w:r>
    </w:p>
    <w:p w14:paraId="005EF57B" w14:textId="66E06625" w:rsidR="00752584" w:rsidRPr="008B631C" w:rsidRDefault="008B631C" w:rsidP="008B631C">
      <w:pPr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</w:t>
      </w:r>
      <w:r w:rsidR="00A16DE9">
        <w:rPr>
          <w:rFonts w:cs="Arial"/>
          <w:lang w:val="es-ES"/>
        </w:rPr>
        <w:t xml:space="preserve">se </w:t>
      </w:r>
      <w:r w:rsidRPr="008B631C">
        <w:rPr>
          <w:rFonts w:cs="Arial"/>
          <w:lang w:val="es-ES"/>
        </w:rPr>
        <w:t>está utilizando la serie histórica de precios:</w:t>
      </w:r>
    </w:p>
    <w:p w14:paraId="4E565969" w14:textId="04500A59" w:rsidR="008B631C" w:rsidRPr="008B631C" w:rsidRDefault="008B631C" w:rsidP="008B631C">
      <w:pPr>
        <w:pStyle w:val="Bullet2"/>
        <w:rPr>
          <w:lang w:val="es-ES"/>
        </w:rPr>
      </w:pPr>
      <w:r w:rsidRPr="008B631C">
        <w:rPr>
          <w:lang w:val="es-ES"/>
        </w:rPr>
        <w:t>Trazar la serie de datos de precios históricos.</w:t>
      </w:r>
    </w:p>
    <w:p w14:paraId="61B0EE94" w14:textId="3A9ACF43" w:rsidR="008B631C" w:rsidRPr="008B631C" w:rsidRDefault="008B631C" w:rsidP="008B631C">
      <w:pPr>
        <w:pStyle w:val="Bullet2"/>
        <w:rPr>
          <w:lang w:val="es-ES"/>
        </w:rPr>
      </w:pPr>
      <w:r w:rsidRPr="008B631C">
        <w:rPr>
          <w:lang w:val="es-ES"/>
        </w:rPr>
        <w:t>Trazar la serie de datos de precios de</w:t>
      </w:r>
      <w:r w:rsidR="00A16DE9">
        <w:rPr>
          <w:lang w:val="es-ES"/>
        </w:rPr>
        <w:t>l producto</w:t>
      </w:r>
      <w:r w:rsidRPr="008B631C">
        <w:rPr>
          <w:lang w:val="es-ES"/>
        </w:rPr>
        <w:t xml:space="preserve"> que está monitorizando.</w:t>
      </w:r>
    </w:p>
    <w:p w14:paraId="7F8B52B8" w14:textId="7D95EFE0" w:rsidR="00752584" w:rsidRPr="008B631C" w:rsidRDefault="0069172D" w:rsidP="008B631C">
      <w:pPr>
        <w:pStyle w:val="Bullet2"/>
        <w:rPr>
          <w:lang w:val="es-ES"/>
        </w:rPr>
      </w:pPr>
      <w:r>
        <w:rPr>
          <w:lang w:val="es-ES"/>
        </w:rPr>
        <w:t xml:space="preserve">Comparar </w:t>
      </w:r>
      <w:r w:rsidR="008B631C" w:rsidRPr="008B631C">
        <w:rPr>
          <w:lang w:val="es-ES"/>
        </w:rPr>
        <w:t>los dos gráficos.</w:t>
      </w:r>
    </w:p>
    <w:p w14:paraId="523BEE81" w14:textId="7C40C860" w:rsidR="008B631C" w:rsidRPr="008B631C" w:rsidRDefault="008B631C" w:rsidP="008B631C">
      <w:pPr>
        <w:pStyle w:val="ListParagraph"/>
        <w:numPr>
          <w:ilvl w:val="1"/>
          <w:numId w:val="2"/>
        </w:numPr>
        <w:spacing w:after="360"/>
        <w:ind w:left="1440" w:hanging="357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ambos siguen el mismo patrón (que para el área del proyecto 1), es probable que el cambio de </w:t>
      </w:r>
      <w:r w:rsidR="0069172D">
        <w:rPr>
          <w:rFonts w:cs="Arial"/>
          <w:lang w:val="es-ES"/>
        </w:rPr>
        <w:t>precios que ha observado refleje</w:t>
      </w:r>
      <w:r w:rsidRPr="008B631C">
        <w:rPr>
          <w:rFonts w:cs="Arial"/>
          <w:lang w:val="es-ES"/>
        </w:rPr>
        <w:t xml:space="preserve"> la estacionalidad.</w:t>
      </w:r>
    </w:p>
    <w:p w14:paraId="4BD537F4" w14:textId="77777777" w:rsidR="001B3CE8" w:rsidRPr="008B631C" w:rsidRDefault="001B3CE8" w:rsidP="001B3CE8">
      <w:pPr>
        <w:spacing w:after="240"/>
        <w:jc w:val="center"/>
        <w:rPr>
          <w:rFonts w:cs="Arial"/>
          <w:lang w:val="es-ES"/>
        </w:rPr>
      </w:pPr>
      <w:r w:rsidRPr="008B631C">
        <w:rPr>
          <w:rFonts w:cs="Arial"/>
          <w:noProof/>
          <w:lang w:val="es-ES_tradnl" w:eastAsia="es-ES_tradnl"/>
        </w:rPr>
        <w:lastRenderedPageBreak/>
        <w:drawing>
          <wp:inline distT="0" distB="0" distL="0" distR="0" wp14:anchorId="4E871000" wp14:editId="2E7DA605">
            <wp:extent cx="4394835" cy="3296126"/>
            <wp:effectExtent l="0" t="0" r="0" b="635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79" cy="329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FD2E" w14:textId="02249ACB" w:rsidR="008B631C" w:rsidRPr="008B631C" w:rsidRDefault="008B631C" w:rsidP="008B631C">
      <w:pPr>
        <w:pStyle w:val="ListParagraph"/>
        <w:numPr>
          <w:ilvl w:val="1"/>
          <w:numId w:val="2"/>
        </w:numPr>
        <w:spacing w:after="360"/>
        <w:ind w:left="1440" w:hanging="357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se siguen diferentes patrones (que para el área del proyecto 2), usted tiene que investigar más para entender </w:t>
      </w:r>
      <w:r w:rsidR="0069172D">
        <w:rPr>
          <w:rFonts w:cs="Arial"/>
          <w:lang w:val="es-ES"/>
        </w:rPr>
        <w:t xml:space="preserve">el </w:t>
      </w:r>
      <w:r w:rsidRPr="008B631C">
        <w:rPr>
          <w:rFonts w:cs="Arial"/>
          <w:lang w:val="es-ES"/>
        </w:rPr>
        <w:t xml:space="preserve">por qué. La causa está probablemente </w:t>
      </w:r>
      <w:r w:rsidR="0069172D" w:rsidRPr="008B631C">
        <w:rPr>
          <w:rFonts w:cs="Arial"/>
          <w:lang w:val="es-ES"/>
        </w:rPr>
        <w:t>relacionada</w:t>
      </w:r>
      <w:r w:rsidRPr="008B631C">
        <w:rPr>
          <w:rFonts w:cs="Arial"/>
          <w:lang w:val="es-ES"/>
        </w:rPr>
        <w:t xml:space="preserve"> con un</w:t>
      </w:r>
      <w:r w:rsidR="0069172D">
        <w:rPr>
          <w:rFonts w:cs="Arial"/>
          <w:lang w:val="es-ES"/>
        </w:rPr>
        <w:t xml:space="preserve"> choque inesperado</w:t>
      </w:r>
      <w:r w:rsidRPr="008B631C">
        <w:rPr>
          <w:rFonts w:cs="Arial"/>
          <w:lang w:val="es-ES"/>
        </w:rPr>
        <w:t xml:space="preserve"> y podría estar relacionado con el proyecto</w:t>
      </w:r>
    </w:p>
    <w:p w14:paraId="4EC39200" w14:textId="77777777" w:rsidR="001B3CE8" w:rsidRPr="008B631C" w:rsidRDefault="001B3CE8" w:rsidP="001B3CE8">
      <w:pPr>
        <w:jc w:val="center"/>
        <w:rPr>
          <w:rFonts w:cs="Arial"/>
          <w:lang w:val="es-ES"/>
        </w:rPr>
      </w:pPr>
      <w:r w:rsidRPr="008B631C">
        <w:rPr>
          <w:rFonts w:cs="Arial"/>
          <w:noProof/>
          <w:lang w:val="es-ES_tradnl" w:eastAsia="es-ES_tradnl"/>
        </w:rPr>
        <w:drawing>
          <wp:inline distT="0" distB="0" distL="0" distR="0" wp14:anchorId="2556D560" wp14:editId="0F448943">
            <wp:extent cx="4383476" cy="3287607"/>
            <wp:effectExtent l="0" t="0" r="1079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70" cy="328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F7FF" w14:textId="77777777" w:rsidR="001B3CE8" w:rsidRPr="008B631C" w:rsidRDefault="001B3CE8" w:rsidP="001B3CE8">
      <w:pPr>
        <w:rPr>
          <w:rFonts w:cs="Arial"/>
          <w:lang w:val="es-ES"/>
        </w:rPr>
      </w:pPr>
    </w:p>
    <w:p w14:paraId="026ABDFE" w14:textId="77777777" w:rsidR="001B3CE8" w:rsidRPr="008B631C" w:rsidRDefault="001B3CE8" w:rsidP="001B3CE8">
      <w:pPr>
        <w:rPr>
          <w:rFonts w:cs="Arial"/>
          <w:lang w:val="es-ES"/>
        </w:rPr>
      </w:pPr>
    </w:p>
    <w:p w14:paraId="54077045" w14:textId="30CDB341" w:rsidR="001B3CE8" w:rsidRPr="008B631C" w:rsidRDefault="00F713EA" w:rsidP="001F7E82">
      <w:pPr>
        <w:pStyle w:val="Heading2"/>
        <w:rPr>
          <w:rFonts w:cs="Arial"/>
          <w:lang w:val="es-ES"/>
        </w:rPr>
      </w:pPr>
      <w:r w:rsidRPr="008B631C">
        <w:rPr>
          <w:rFonts w:cs="Arial"/>
          <w:lang w:val="es-ES"/>
        </w:rPr>
        <w:t>3.</w:t>
      </w:r>
      <w:r w:rsidRPr="008B631C">
        <w:rPr>
          <w:rFonts w:cs="Arial"/>
          <w:lang w:val="es-ES"/>
        </w:rPr>
        <w:tab/>
      </w:r>
      <w:r w:rsidR="008B631C" w:rsidRPr="008B631C">
        <w:rPr>
          <w:rFonts w:cs="Arial"/>
          <w:lang w:val="es-ES"/>
        </w:rPr>
        <w:t xml:space="preserve">Patrones </w:t>
      </w:r>
      <w:r w:rsidR="0069172D">
        <w:rPr>
          <w:rFonts w:cs="Arial"/>
          <w:lang w:val="es-ES"/>
        </w:rPr>
        <w:t xml:space="preserve">COMUNES EN TODOS </w:t>
      </w:r>
      <w:r w:rsidR="008B631C" w:rsidRPr="008B631C">
        <w:rPr>
          <w:rFonts w:cs="Arial"/>
          <w:lang w:val="es-ES"/>
        </w:rPr>
        <w:t xml:space="preserve">los mercados </w:t>
      </w:r>
    </w:p>
    <w:p w14:paraId="21058475" w14:textId="4A53E5EC" w:rsidR="008B631C" w:rsidRPr="008B631C" w:rsidRDefault="0069172D" w:rsidP="008B631C">
      <w:pPr>
        <w:rPr>
          <w:rFonts w:cs="Arial"/>
          <w:lang w:val="es-ES"/>
        </w:rPr>
      </w:pPr>
      <w:r>
        <w:rPr>
          <w:rFonts w:cs="Arial"/>
          <w:lang w:val="es-ES"/>
        </w:rPr>
        <w:t>Hay que c</w:t>
      </w:r>
      <w:r w:rsidR="008B631C" w:rsidRPr="008B631C">
        <w:rPr>
          <w:rFonts w:cs="Arial"/>
          <w:lang w:val="es-ES"/>
        </w:rPr>
        <w:t xml:space="preserve">omprobar si el cambio de precio es específico al producto (P) </w:t>
      </w:r>
      <w:r>
        <w:rPr>
          <w:rFonts w:cs="Arial"/>
          <w:lang w:val="es-ES"/>
        </w:rPr>
        <w:t>que se está monitorizando o puede</w:t>
      </w:r>
      <w:r w:rsidR="008B631C" w:rsidRPr="008B631C">
        <w:rPr>
          <w:rFonts w:cs="Arial"/>
          <w:lang w:val="es-ES"/>
        </w:rPr>
        <w:t xml:space="preserve"> estar asociados con los patrones de variación de los precios en los mercados.</w:t>
      </w:r>
    </w:p>
    <w:p w14:paraId="6C24F113" w14:textId="7569DE07" w:rsidR="00752584" w:rsidRPr="008B631C" w:rsidRDefault="0069172D" w:rsidP="008B631C">
      <w:pPr>
        <w:rPr>
          <w:rFonts w:cs="Arial"/>
          <w:lang w:val="es-ES"/>
        </w:rPr>
      </w:pPr>
      <w:r>
        <w:rPr>
          <w:rFonts w:cs="Arial"/>
          <w:lang w:val="es-ES"/>
        </w:rPr>
        <w:t>Se p</w:t>
      </w:r>
      <w:r w:rsidR="008B631C" w:rsidRPr="008B631C">
        <w:rPr>
          <w:rFonts w:cs="Arial"/>
          <w:lang w:val="es-ES"/>
        </w:rPr>
        <w:t xml:space="preserve">uede utilizar los datos de </w:t>
      </w:r>
      <w:r>
        <w:rPr>
          <w:rFonts w:cs="Arial"/>
          <w:lang w:val="es-ES"/>
        </w:rPr>
        <w:t xml:space="preserve">los </w:t>
      </w:r>
      <w:r w:rsidR="008B631C" w:rsidRPr="008B631C">
        <w:rPr>
          <w:rFonts w:cs="Arial"/>
          <w:lang w:val="es-ES"/>
        </w:rPr>
        <w:t>precios de l</w:t>
      </w:r>
      <w:r>
        <w:rPr>
          <w:rFonts w:cs="Arial"/>
          <w:lang w:val="es-ES"/>
        </w:rPr>
        <w:t>os productos q</w:t>
      </w:r>
      <w:r w:rsidR="008B631C" w:rsidRPr="008B631C">
        <w:rPr>
          <w:rFonts w:cs="Arial"/>
          <w:lang w:val="es-ES"/>
        </w:rPr>
        <w:t xml:space="preserve">ue </w:t>
      </w:r>
      <w:r>
        <w:rPr>
          <w:rFonts w:cs="Arial"/>
          <w:lang w:val="es-ES"/>
        </w:rPr>
        <w:t xml:space="preserve">se </w:t>
      </w:r>
      <w:r w:rsidR="008B631C" w:rsidRPr="008B631C">
        <w:rPr>
          <w:rFonts w:cs="Arial"/>
          <w:lang w:val="es-ES"/>
        </w:rPr>
        <w:t>está</w:t>
      </w:r>
      <w:r>
        <w:rPr>
          <w:rFonts w:cs="Arial"/>
          <w:lang w:val="es-ES"/>
        </w:rPr>
        <w:t>n</w:t>
      </w:r>
      <w:r w:rsidR="008B631C" w:rsidRPr="008B631C">
        <w:rPr>
          <w:rFonts w:cs="Arial"/>
          <w:lang w:val="es-ES"/>
        </w:rPr>
        <w:t xml:space="preserve"> supervisando en diferentes mercados.</w:t>
      </w:r>
    </w:p>
    <w:p w14:paraId="0FDF08C2" w14:textId="71846790" w:rsidR="008B631C" w:rsidRPr="008B631C" w:rsidRDefault="008B631C" w:rsidP="008B631C">
      <w:pPr>
        <w:pStyle w:val="Bullet2"/>
        <w:rPr>
          <w:lang w:val="es-ES"/>
        </w:rPr>
      </w:pPr>
      <w:r w:rsidRPr="008B631C">
        <w:rPr>
          <w:lang w:val="es-ES"/>
        </w:rPr>
        <w:lastRenderedPageBreak/>
        <w:t xml:space="preserve">Representar gráficamente los datos de </w:t>
      </w:r>
      <w:r w:rsidR="0069172D">
        <w:rPr>
          <w:lang w:val="es-ES"/>
        </w:rPr>
        <w:t xml:space="preserve">los </w:t>
      </w:r>
      <w:r w:rsidRPr="008B631C">
        <w:rPr>
          <w:lang w:val="es-ES"/>
        </w:rPr>
        <w:t>precios a través del tiempo para cada mercado en el mismo gráfico.</w:t>
      </w:r>
    </w:p>
    <w:p w14:paraId="0D3B3861" w14:textId="39B50DDA" w:rsidR="00752584" w:rsidRPr="008B631C" w:rsidRDefault="008B631C" w:rsidP="008B631C">
      <w:pPr>
        <w:pStyle w:val="Bullet2"/>
        <w:rPr>
          <w:lang w:val="es-ES"/>
        </w:rPr>
      </w:pPr>
      <w:r w:rsidRPr="008B631C">
        <w:rPr>
          <w:lang w:val="es-ES"/>
        </w:rPr>
        <w:t>Compara</w:t>
      </w:r>
      <w:r w:rsidR="0069172D">
        <w:rPr>
          <w:lang w:val="es-ES"/>
        </w:rPr>
        <w:t>r las líneas en</w:t>
      </w:r>
      <w:r w:rsidRPr="008B631C">
        <w:rPr>
          <w:lang w:val="es-ES"/>
        </w:rPr>
        <w:t xml:space="preserve"> los diferentes mercados.</w:t>
      </w:r>
    </w:p>
    <w:p w14:paraId="0E8744AC" w14:textId="505F0760" w:rsidR="008B631C" w:rsidRPr="008B631C" w:rsidRDefault="008B631C" w:rsidP="008B631C">
      <w:pPr>
        <w:pStyle w:val="ListParagraph"/>
        <w:numPr>
          <w:ilvl w:val="1"/>
          <w:numId w:val="2"/>
        </w:numPr>
        <w:spacing w:after="360"/>
        <w:ind w:left="1440" w:hanging="357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siguen el mismo patrón, es probable que el cambio de </w:t>
      </w:r>
      <w:r w:rsidR="0069172D">
        <w:rPr>
          <w:rFonts w:cs="Arial"/>
          <w:lang w:val="es-ES"/>
        </w:rPr>
        <w:t>precios que ha observado refleje</w:t>
      </w:r>
      <w:r w:rsidRPr="008B631C">
        <w:rPr>
          <w:rFonts w:cs="Arial"/>
          <w:lang w:val="es-ES"/>
        </w:rPr>
        <w:t xml:space="preserve"> un patrón común en todo</w:t>
      </w:r>
      <w:r w:rsidR="0069172D">
        <w:rPr>
          <w:rFonts w:cs="Arial"/>
          <w:lang w:val="es-ES"/>
        </w:rPr>
        <w:t>s los mercados, y el problema sea</w:t>
      </w:r>
      <w:r w:rsidRPr="008B631C">
        <w:rPr>
          <w:rFonts w:cs="Arial"/>
          <w:lang w:val="es-ES"/>
        </w:rPr>
        <w:t xml:space="preserve"> generalizado.</w:t>
      </w:r>
    </w:p>
    <w:p w14:paraId="3FA25EA7" w14:textId="77777777" w:rsidR="0069172D" w:rsidRDefault="0069172D" w:rsidP="0069172D">
      <w:pPr>
        <w:pStyle w:val="ListParagraph"/>
        <w:spacing w:after="360"/>
        <w:ind w:left="1440"/>
        <w:rPr>
          <w:rFonts w:cs="Arial"/>
          <w:lang w:val="es-ES"/>
        </w:rPr>
      </w:pPr>
    </w:p>
    <w:p w14:paraId="67031A37" w14:textId="277C8059" w:rsidR="00752584" w:rsidRPr="008B631C" w:rsidRDefault="008B631C" w:rsidP="008B631C">
      <w:pPr>
        <w:pStyle w:val="ListParagraph"/>
        <w:numPr>
          <w:ilvl w:val="1"/>
          <w:numId w:val="2"/>
        </w:numPr>
        <w:spacing w:after="360"/>
        <w:ind w:left="1440" w:hanging="357"/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se siguen diferentes patrones, hay que investigar más para entender </w:t>
      </w:r>
      <w:r w:rsidR="0069172D">
        <w:rPr>
          <w:rFonts w:cs="Arial"/>
          <w:lang w:val="es-ES"/>
        </w:rPr>
        <w:t xml:space="preserve">el </w:t>
      </w:r>
      <w:r w:rsidRPr="008B631C">
        <w:rPr>
          <w:rFonts w:cs="Arial"/>
          <w:lang w:val="es-ES"/>
        </w:rPr>
        <w:t>por qué. La causa es probablemente local</w:t>
      </w:r>
      <w:r w:rsidR="0069172D">
        <w:rPr>
          <w:rFonts w:cs="Arial"/>
          <w:lang w:val="es-ES"/>
        </w:rPr>
        <w:t>izada y podría estar relacionada</w:t>
      </w:r>
      <w:r w:rsidRPr="008B631C">
        <w:rPr>
          <w:rFonts w:cs="Arial"/>
          <w:lang w:val="es-ES"/>
        </w:rPr>
        <w:t xml:space="preserve"> con el proyecto.</w:t>
      </w:r>
    </w:p>
    <w:p w14:paraId="4A36F539" w14:textId="77777777" w:rsidR="001B3CE8" w:rsidRPr="008B631C" w:rsidRDefault="001B3CE8" w:rsidP="001B3CE8">
      <w:pPr>
        <w:jc w:val="center"/>
        <w:rPr>
          <w:rFonts w:cs="Arial"/>
          <w:lang w:val="es-ES"/>
        </w:rPr>
      </w:pPr>
      <w:r w:rsidRPr="008B631C">
        <w:rPr>
          <w:rFonts w:cs="Arial"/>
          <w:noProof/>
          <w:lang w:val="es-ES_tradnl" w:eastAsia="es-ES_tradnl"/>
        </w:rPr>
        <w:drawing>
          <wp:inline distT="0" distB="0" distL="0" distR="0" wp14:anchorId="53528A75" wp14:editId="20969069">
            <wp:extent cx="4394835" cy="3296126"/>
            <wp:effectExtent l="0" t="0" r="0" b="635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372" cy="32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77D4" w14:textId="060AD081" w:rsidR="001B3CE8" w:rsidRPr="008B631C" w:rsidRDefault="00F713EA" w:rsidP="001F7E82">
      <w:pPr>
        <w:pStyle w:val="Heading2"/>
        <w:rPr>
          <w:rFonts w:cs="Arial"/>
          <w:lang w:val="es-ES"/>
        </w:rPr>
      </w:pPr>
      <w:r w:rsidRPr="008B631C">
        <w:rPr>
          <w:rFonts w:cs="Arial"/>
          <w:lang w:val="es-ES"/>
        </w:rPr>
        <w:t>4.</w:t>
      </w:r>
      <w:r w:rsidRPr="008B631C">
        <w:rPr>
          <w:rFonts w:cs="Arial"/>
          <w:lang w:val="es-ES"/>
        </w:rPr>
        <w:tab/>
      </w:r>
      <w:r w:rsidR="008B631C" w:rsidRPr="008B631C">
        <w:rPr>
          <w:rFonts w:cs="Arial"/>
          <w:lang w:val="es-ES"/>
        </w:rPr>
        <w:t xml:space="preserve">Impacto del proyecto </w:t>
      </w:r>
    </w:p>
    <w:p w14:paraId="4DDD3546" w14:textId="127957F1" w:rsidR="00752584" w:rsidRPr="008B631C" w:rsidRDefault="008B631C" w:rsidP="001B3CE8">
      <w:pPr>
        <w:rPr>
          <w:rFonts w:cs="Arial"/>
          <w:lang w:val="es-ES"/>
        </w:rPr>
      </w:pPr>
      <w:r w:rsidRPr="008B631C">
        <w:rPr>
          <w:rFonts w:cs="Arial"/>
          <w:lang w:val="es-ES"/>
        </w:rPr>
        <w:t xml:space="preserve">Si ha encontrado que el cambio observado de los precios podría estar relacionado con el proyecto, se debe investigar la naturaleza (demanda, la oferta, la competencia del mercado, etc.) y las causas del problema. Con el fin de hacerlo, se recomienda que </w:t>
      </w:r>
      <w:r w:rsidR="0069172D">
        <w:rPr>
          <w:rFonts w:cs="Arial"/>
          <w:lang w:val="es-ES"/>
        </w:rPr>
        <w:t xml:space="preserve">se </w:t>
      </w:r>
      <w:r w:rsidRPr="008B631C">
        <w:rPr>
          <w:rFonts w:cs="Arial"/>
          <w:lang w:val="es-ES"/>
        </w:rPr>
        <w:t>lleve</w:t>
      </w:r>
      <w:r w:rsidR="0069172D">
        <w:rPr>
          <w:rFonts w:cs="Arial"/>
          <w:lang w:val="es-ES"/>
        </w:rPr>
        <w:t>n</w:t>
      </w:r>
      <w:r w:rsidRPr="008B631C">
        <w:rPr>
          <w:rFonts w:cs="Arial"/>
          <w:lang w:val="es-ES"/>
        </w:rPr>
        <w:t xml:space="preserve"> a cabo entrevistas con informantes clave para cotejarla con los datos.</w:t>
      </w:r>
    </w:p>
    <w:p w14:paraId="11E7911F" w14:textId="7943E889" w:rsidR="001B3CE8" w:rsidRPr="0040359C" w:rsidRDefault="0040359C" w:rsidP="001F7E82">
      <w:pPr>
        <w:pStyle w:val="Heading3"/>
        <w:rPr>
          <w:rFonts w:cs="Arial"/>
          <w:color w:val="0070C0"/>
          <w:lang w:val="es-ES"/>
        </w:rPr>
      </w:pPr>
      <w:r w:rsidRPr="0040359C">
        <w:rPr>
          <w:rFonts w:cs="Arial"/>
          <w:lang w:val="es-ES"/>
        </w:rPr>
        <w:t xml:space="preserve">La selección de informantes clave </w:t>
      </w:r>
    </w:p>
    <w:p w14:paraId="6BD8BAC2" w14:textId="26B1BC6B" w:rsidR="00752584" w:rsidRPr="008B631C" w:rsidRDefault="0069172D" w:rsidP="0040359C">
      <w:pPr>
        <w:pStyle w:val="Bullet2"/>
        <w:rPr>
          <w:lang w:val="es-ES"/>
        </w:rPr>
      </w:pPr>
      <w:r>
        <w:rPr>
          <w:lang w:val="es-ES"/>
        </w:rPr>
        <w:t xml:space="preserve">Identificar en qué mercado/s </w:t>
      </w:r>
      <w:r w:rsidRPr="0040359C">
        <w:rPr>
          <w:lang w:val="es-ES"/>
        </w:rPr>
        <w:t>están sucediendo</w:t>
      </w:r>
      <w:r w:rsidRPr="0040359C">
        <w:rPr>
          <w:lang w:val="es-ES"/>
        </w:rPr>
        <w:t xml:space="preserve"> </w:t>
      </w:r>
      <w:r>
        <w:rPr>
          <w:lang w:val="es-ES"/>
        </w:rPr>
        <w:t>lo</w:t>
      </w:r>
      <w:r w:rsidR="0040359C" w:rsidRPr="0040359C">
        <w:rPr>
          <w:lang w:val="es-ES"/>
        </w:rPr>
        <w:t>s cambios en los precios.</w:t>
      </w:r>
    </w:p>
    <w:p w14:paraId="1D028B49" w14:textId="56D97D17" w:rsidR="0040359C" w:rsidRPr="0040359C" w:rsidRDefault="0069172D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>
        <w:rPr>
          <w:rFonts w:cs="Arial"/>
          <w:lang w:val="es-ES"/>
        </w:rPr>
        <w:t>Si ocurren en un solo en los mercados de una zona</w:t>
      </w:r>
      <w:r w:rsidR="0040359C" w:rsidRPr="0040359C">
        <w:rPr>
          <w:rFonts w:cs="Arial"/>
          <w:lang w:val="es-ES"/>
        </w:rPr>
        <w:t xml:space="preserve">: </w:t>
      </w:r>
      <w:r>
        <w:rPr>
          <w:rFonts w:cs="Arial"/>
          <w:lang w:val="es-ES"/>
        </w:rPr>
        <w:t xml:space="preserve">hay que </w:t>
      </w:r>
      <w:r w:rsidR="0040359C" w:rsidRPr="0040359C">
        <w:rPr>
          <w:rFonts w:cs="Arial"/>
          <w:lang w:val="es-ES"/>
        </w:rPr>
        <w:t>entrevistar a los comerciantes locales.</w:t>
      </w:r>
    </w:p>
    <w:p w14:paraId="1D14F8B2" w14:textId="03F71660" w:rsidR="00752584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 w:rsidRPr="0040359C">
        <w:rPr>
          <w:rFonts w:cs="Arial"/>
          <w:lang w:val="es-ES"/>
        </w:rPr>
        <w:t xml:space="preserve">Si ocurren en todos los mercados: </w:t>
      </w:r>
      <w:r w:rsidR="0069172D">
        <w:rPr>
          <w:rFonts w:cs="Arial"/>
          <w:lang w:val="es-ES"/>
        </w:rPr>
        <w:t xml:space="preserve">hay que </w:t>
      </w:r>
      <w:r w:rsidRPr="0040359C">
        <w:rPr>
          <w:rFonts w:cs="Arial"/>
          <w:lang w:val="es-ES"/>
        </w:rPr>
        <w:t>entrevista</w:t>
      </w:r>
      <w:r w:rsidR="0069172D">
        <w:rPr>
          <w:rFonts w:cs="Arial"/>
          <w:lang w:val="es-ES"/>
        </w:rPr>
        <w:t>r a mayoristas, o funcionarios del gobierno o mercado.</w:t>
      </w:r>
    </w:p>
    <w:p w14:paraId="5B3EB879" w14:textId="7210BCA1" w:rsidR="001B3CE8" w:rsidRPr="0040359C" w:rsidRDefault="0040359C" w:rsidP="001F7E82">
      <w:pPr>
        <w:pStyle w:val="Heading3"/>
        <w:rPr>
          <w:rFonts w:cs="Arial"/>
          <w:color w:val="0070C0"/>
          <w:lang w:val="es-ES"/>
        </w:rPr>
      </w:pPr>
      <w:r w:rsidRPr="0040359C">
        <w:rPr>
          <w:rFonts w:cs="Arial"/>
          <w:lang w:val="es-ES"/>
        </w:rPr>
        <w:t>Lista de ve</w:t>
      </w:r>
      <w:r w:rsidR="0069172D">
        <w:rPr>
          <w:rFonts w:cs="Arial"/>
          <w:lang w:val="es-ES"/>
        </w:rPr>
        <w:t>rificación para las entrevistas</w:t>
      </w:r>
    </w:p>
    <w:p w14:paraId="254D17AB" w14:textId="1ECEDF40" w:rsidR="00752584" w:rsidRPr="008B631C" w:rsidRDefault="0069172D" w:rsidP="0040359C">
      <w:pPr>
        <w:pStyle w:val="Bullet2"/>
        <w:rPr>
          <w:lang w:val="es-ES"/>
        </w:rPr>
      </w:pPr>
      <w:r>
        <w:rPr>
          <w:lang w:val="es-ES"/>
        </w:rPr>
        <w:t>Consultar</w:t>
      </w:r>
      <w:r w:rsidR="0040359C" w:rsidRPr="0040359C">
        <w:rPr>
          <w:lang w:val="es-ES"/>
        </w:rPr>
        <w:t xml:space="preserve"> </w:t>
      </w:r>
      <w:r>
        <w:rPr>
          <w:lang w:val="es-ES"/>
        </w:rPr>
        <w:t>la Herramienta</w:t>
      </w:r>
      <w:r w:rsidR="0040359C" w:rsidRPr="0040359C">
        <w:rPr>
          <w:lang w:val="es-ES"/>
        </w:rPr>
        <w:t xml:space="preserve"> MAG 1.6 (entrevistas </w:t>
      </w:r>
      <w:r>
        <w:rPr>
          <w:lang w:val="es-ES"/>
        </w:rPr>
        <w:t xml:space="preserve">con los comerciantes), centrarse </w:t>
      </w:r>
      <w:r w:rsidR="0040359C" w:rsidRPr="0040359C">
        <w:rPr>
          <w:lang w:val="es-ES"/>
        </w:rPr>
        <w:t>en cómo el proyecto puede haber impactado:</w:t>
      </w:r>
    </w:p>
    <w:p w14:paraId="0D998CA7" w14:textId="7573F672" w:rsidR="0040359C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 w:rsidRPr="0040359C">
        <w:rPr>
          <w:rFonts w:cs="Arial"/>
          <w:lang w:val="es-ES"/>
        </w:rPr>
        <w:t xml:space="preserve">los costos de </w:t>
      </w:r>
      <w:r w:rsidR="0069172D">
        <w:rPr>
          <w:rFonts w:cs="Arial"/>
          <w:lang w:val="es-ES"/>
        </w:rPr>
        <w:t>los comerciantes</w:t>
      </w:r>
      <w:r w:rsidRPr="0040359C">
        <w:rPr>
          <w:rFonts w:cs="Arial"/>
          <w:lang w:val="es-ES"/>
        </w:rPr>
        <w:t xml:space="preserve"> (t</w:t>
      </w:r>
      <w:r w:rsidR="0069172D">
        <w:rPr>
          <w:rFonts w:cs="Arial"/>
          <w:lang w:val="es-ES"/>
        </w:rPr>
        <w:t>ransporte, almacenamiento, pérdidas</w:t>
      </w:r>
      <w:r w:rsidRPr="0040359C">
        <w:rPr>
          <w:rFonts w:cs="Arial"/>
          <w:lang w:val="es-ES"/>
        </w:rPr>
        <w:t>)</w:t>
      </w:r>
    </w:p>
    <w:p w14:paraId="56B58A27" w14:textId="46A39F07" w:rsidR="0040359C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 w:rsidRPr="0040359C">
        <w:rPr>
          <w:rFonts w:cs="Arial"/>
          <w:lang w:val="es-ES"/>
        </w:rPr>
        <w:t>la disponibilidad de los productos básicos</w:t>
      </w:r>
    </w:p>
    <w:p w14:paraId="0D81EFCF" w14:textId="5AB14B28" w:rsidR="0040359C" w:rsidRPr="0040359C" w:rsidRDefault="0069172D" w:rsidP="0040359C">
      <w:pPr>
        <w:pStyle w:val="ListParagraph"/>
        <w:numPr>
          <w:ilvl w:val="1"/>
          <w:numId w:val="4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los </w:t>
      </w:r>
      <w:r w:rsidR="0040359C" w:rsidRPr="0040359C">
        <w:rPr>
          <w:rFonts w:cs="Arial"/>
          <w:lang w:val="en-GB"/>
        </w:rPr>
        <w:t xml:space="preserve">volúmenes </w:t>
      </w:r>
      <w:r>
        <w:rPr>
          <w:rFonts w:cs="Arial"/>
          <w:lang w:val="en-GB"/>
        </w:rPr>
        <w:t>de los comerciantes</w:t>
      </w:r>
    </w:p>
    <w:p w14:paraId="4CD9926B" w14:textId="41924D9D" w:rsidR="0040359C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 w:rsidRPr="0040359C">
        <w:rPr>
          <w:rFonts w:cs="Arial"/>
          <w:lang w:val="es-ES"/>
        </w:rPr>
        <w:t>la estructura del mercado (número de comerciantes que operan, tipo y calidad de los productos, etc.)</w:t>
      </w:r>
    </w:p>
    <w:p w14:paraId="51D2F1E1" w14:textId="5AB2754F" w:rsidR="0040359C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n-GB"/>
        </w:rPr>
      </w:pPr>
      <w:r w:rsidRPr="0040359C">
        <w:rPr>
          <w:rFonts w:cs="Arial"/>
          <w:lang w:val="en-GB"/>
        </w:rPr>
        <w:t>Nivel de la demanda</w:t>
      </w:r>
    </w:p>
    <w:p w14:paraId="3AAE1236" w14:textId="4FA45F4C" w:rsidR="00752584" w:rsidRPr="0040359C" w:rsidRDefault="0040359C" w:rsidP="0040359C">
      <w:pPr>
        <w:pStyle w:val="ListParagraph"/>
        <w:numPr>
          <w:ilvl w:val="1"/>
          <w:numId w:val="4"/>
        </w:numPr>
        <w:rPr>
          <w:rFonts w:cs="Arial"/>
          <w:lang w:val="es-ES"/>
        </w:rPr>
      </w:pPr>
      <w:r w:rsidRPr="0040359C">
        <w:rPr>
          <w:rFonts w:cs="Arial"/>
          <w:lang w:val="es-ES"/>
        </w:rPr>
        <w:t>Infraestructura, servicios y factores externos</w:t>
      </w:r>
    </w:p>
    <w:p w14:paraId="3D443F4B" w14:textId="77777777" w:rsidR="0040359C" w:rsidRDefault="0040359C" w:rsidP="0040359C">
      <w:pPr>
        <w:pStyle w:val="ListParagraph"/>
        <w:ind w:left="1434"/>
        <w:rPr>
          <w:rFonts w:cs="Arial"/>
          <w:color w:val="0070C0"/>
          <w:lang w:val="es-ES"/>
        </w:rPr>
      </w:pPr>
    </w:p>
    <w:sectPr w:rsidR="0040359C" w:rsidSect="001F7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11C0" w14:textId="77777777" w:rsidR="00B8116F" w:rsidRDefault="00B8116F">
      <w:pPr>
        <w:spacing w:after="0"/>
      </w:pPr>
      <w:r>
        <w:separator/>
      </w:r>
    </w:p>
  </w:endnote>
  <w:endnote w:type="continuationSeparator" w:id="0">
    <w:p w14:paraId="3575FA3E" w14:textId="77777777" w:rsidR="00B8116F" w:rsidRDefault="00B81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1A04" w14:textId="77777777" w:rsidR="00B617D2" w:rsidRDefault="00B61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6B41" w14:textId="7D634D8C" w:rsidR="001F7E82" w:rsidRPr="00B45C74" w:rsidRDefault="001F7E8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569C9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06D4D78" w14:textId="379C5A02" w:rsidR="001F7E82" w:rsidRPr="001F7E82" w:rsidRDefault="001F7E82" w:rsidP="00ED1B2B">
    <w:pPr>
      <w:pStyle w:val="Footer"/>
    </w:pPr>
    <w:r w:rsidRPr="00107E15">
      <w:rPr>
        <w:b/>
      </w:rPr>
      <w:t>M</w:t>
    </w:r>
    <w:r w:rsidR="00B617D2">
      <w:rPr>
        <w:b/>
      </w:rPr>
      <w:t>ó</w:t>
    </w:r>
    <w:r w:rsidRPr="00107E15">
      <w:rPr>
        <w:b/>
      </w:rPr>
      <w:t>dul</w:t>
    </w:r>
    <w:r w:rsidR="00B617D2">
      <w:rPr>
        <w:b/>
      </w:rPr>
      <w:t>o</w:t>
    </w:r>
    <w:r w:rsidRPr="00107E15">
      <w:rPr>
        <w:b/>
      </w:rPr>
      <w:t xml:space="preserve"> </w:t>
    </w:r>
    <w:r>
      <w:rPr>
        <w:b/>
      </w:rPr>
      <w:t>5</w:t>
    </w:r>
    <w:r w:rsidRPr="00107E15">
      <w:rPr>
        <w:b/>
      </w:rPr>
      <w:t>.</w:t>
    </w:r>
    <w:r w:rsidRPr="00107E15">
      <w:t xml:space="preserve"> </w:t>
    </w:r>
    <w:r w:rsidR="00B617D2">
      <w:t>Etapa</w:t>
    </w:r>
    <w:r w:rsidRPr="00107E15">
      <w:t xml:space="preserve"> </w:t>
    </w:r>
    <w:r>
      <w:t>3</w:t>
    </w:r>
    <w:r w:rsidRPr="00107E15">
      <w:t>.</w:t>
    </w:r>
    <w:r w:rsidR="00B617D2">
      <w:t xml:space="preserve"> Sub-etapa</w:t>
    </w:r>
    <w:r>
      <w:t xml:space="preserve"> 2. </w:t>
    </w:r>
    <w:fldSimple w:instr=" STYLEREF  H1 \t  \* MERGEFORMAT ">
      <w:r w:rsidR="00C569C9">
        <w:rPr>
          <w:noProof/>
        </w:rPr>
        <w:t>Herramienta: Análisis de los cambios de los precios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8E5C" w14:textId="77777777" w:rsidR="00B617D2" w:rsidRDefault="00B61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F4BA" w14:textId="77777777" w:rsidR="00B8116F" w:rsidRDefault="00B8116F">
      <w:pPr>
        <w:spacing w:after="0"/>
      </w:pPr>
      <w:r>
        <w:separator/>
      </w:r>
    </w:p>
  </w:footnote>
  <w:footnote w:type="continuationSeparator" w:id="0">
    <w:p w14:paraId="14812E5B" w14:textId="77777777" w:rsidR="00B8116F" w:rsidRDefault="00B811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4F04" w14:textId="77777777" w:rsidR="00B617D2" w:rsidRDefault="00B61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FF8B" w14:textId="77777777" w:rsidR="00B617D2" w:rsidRPr="00B617D2" w:rsidRDefault="00B617D2" w:rsidP="00B617D2">
    <w:pPr>
      <w:spacing w:after="0" w:line="288" w:lineRule="auto"/>
      <w:jc w:val="left"/>
      <w:rPr>
        <w:rFonts w:eastAsia="MS PGothic"/>
        <w:sz w:val="16"/>
        <w:szCs w:val="16"/>
        <w:lang w:val="es-ES"/>
      </w:rPr>
    </w:pPr>
    <w:r w:rsidRPr="00B617D2">
      <w:rPr>
        <w:rFonts w:eastAsia="MS PGothic" w:cs="Caecilia-Light"/>
        <w:color w:val="DC281E"/>
        <w:sz w:val="16"/>
        <w:szCs w:val="16"/>
        <w:lang w:val="es-ES"/>
      </w:rPr>
      <w:t xml:space="preserve">Movimiento International de la Cruz Roja y de la Media Luna Roja I </w:t>
    </w:r>
    <w:r w:rsidRPr="00B617D2">
      <w:rPr>
        <w:rFonts w:eastAsia="MS PGothic" w:cs="Caecilia-Light"/>
        <w:sz w:val="16"/>
        <w:szCs w:val="16"/>
        <w:lang w:val="es-ES"/>
      </w:rPr>
      <w:t>Caja de herramientas para PTE en emergencias</w:t>
    </w:r>
  </w:p>
  <w:p w14:paraId="776C4D42" w14:textId="2C0F9572" w:rsidR="001F7E82" w:rsidRPr="00B617D2" w:rsidRDefault="001F7E82" w:rsidP="00B617D2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1571" w14:textId="77777777" w:rsidR="00B617D2" w:rsidRDefault="00B61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272A"/>
    <w:multiLevelType w:val="hybridMultilevel"/>
    <w:tmpl w:val="B4E65F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D528C"/>
    <w:multiLevelType w:val="hybridMultilevel"/>
    <w:tmpl w:val="5408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434E"/>
    <w:multiLevelType w:val="hybridMultilevel"/>
    <w:tmpl w:val="718A3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62CF"/>
    <w:multiLevelType w:val="hybridMultilevel"/>
    <w:tmpl w:val="E88CDB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8"/>
    <w:rsid w:val="0008719F"/>
    <w:rsid w:val="00110B9C"/>
    <w:rsid w:val="00181C0E"/>
    <w:rsid w:val="001B3CE8"/>
    <w:rsid w:val="001F7E82"/>
    <w:rsid w:val="00217E9A"/>
    <w:rsid w:val="0028711B"/>
    <w:rsid w:val="002D4480"/>
    <w:rsid w:val="003A52AA"/>
    <w:rsid w:val="0040359C"/>
    <w:rsid w:val="00667E3B"/>
    <w:rsid w:val="0069172D"/>
    <w:rsid w:val="006B62F4"/>
    <w:rsid w:val="00752584"/>
    <w:rsid w:val="00794B38"/>
    <w:rsid w:val="00854BEB"/>
    <w:rsid w:val="008A7C97"/>
    <w:rsid w:val="008B631C"/>
    <w:rsid w:val="008C55B1"/>
    <w:rsid w:val="009329FE"/>
    <w:rsid w:val="009B0385"/>
    <w:rsid w:val="009D2F57"/>
    <w:rsid w:val="00A16DE9"/>
    <w:rsid w:val="00B617D2"/>
    <w:rsid w:val="00B8116F"/>
    <w:rsid w:val="00C2631C"/>
    <w:rsid w:val="00C569C9"/>
    <w:rsid w:val="00CA2E5E"/>
    <w:rsid w:val="00CB2AE5"/>
    <w:rsid w:val="00CD6BDC"/>
    <w:rsid w:val="00EC1879"/>
    <w:rsid w:val="00F004BC"/>
    <w:rsid w:val="00F713EA"/>
    <w:rsid w:val="00F71417"/>
    <w:rsid w:val="00FA0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4A628"/>
  <w15:docId w15:val="{1C9F9951-A29C-4556-AA28-47DF3EFE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5E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CA2E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5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E5E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E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5E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A2E5E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E5E"/>
    <w:rPr>
      <w:rFonts w:ascii="Arial" w:eastAsiaTheme="minorEastAsia" w:hAnsi="Arial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C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Title1">
    <w:name w:val="Title 1"/>
    <w:basedOn w:val="Normal"/>
    <w:qFormat/>
    <w:rsid w:val="001B3CE8"/>
    <w:rPr>
      <w:rFonts w:ascii="Baskerville" w:hAnsi="Baskerville"/>
      <w:smallCaps/>
      <w:sz w:val="56"/>
    </w:rPr>
  </w:style>
  <w:style w:type="paragraph" w:styleId="FootnoteText">
    <w:name w:val="footnote text"/>
    <w:basedOn w:val="Normal"/>
    <w:link w:val="FootnoteTextChar"/>
    <w:uiPriority w:val="99"/>
    <w:unhideWhenUsed/>
    <w:rsid w:val="00CA2E5E"/>
    <w:pPr>
      <w:spacing w:after="0"/>
    </w:pPr>
    <w:rPr>
      <w:sz w:val="16"/>
      <w:szCs w:val="22"/>
    </w:rPr>
  </w:style>
  <w:style w:type="character" w:customStyle="1" w:styleId="TestonotaapidipaginaCarattere">
    <w:name w:val="Testo nota a piè di pagina Carattere"/>
    <w:basedOn w:val="DefaultParagraphFont"/>
    <w:uiPriority w:val="99"/>
    <w:semiHidden/>
    <w:rsid w:val="001B3CE8"/>
    <w:rPr>
      <w:rFonts w:asciiTheme="majorHAnsi" w:eastAsiaTheme="minorEastAsia" w:hAnsiTheme="majorHAnsi" w:cs="MyriadPro-Regular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2E5E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CA2E5E"/>
    <w:rPr>
      <w:vertAlign w:val="superscript"/>
    </w:rPr>
  </w:style>
  <w:style w:type="paragraph" w:styleId="NormalWeb">
    <w:name w:val="Normal (Web)"/>
    <w:basedOn w:val="Normal"/>
    <w:uiPriority w:val="99"/>
    <w:rsid w:val="001B3CE8"/>
    <w:pPr>
      <w:spacing w:after="136" w:line="204" w:lineRule="atLeast"/>
    </w:pPr>
    <w:rPr>
      <w:rFonts w:ascii="Verdana" w:eastAsia="Arial Unicode MS" w:hAnsi="Verdana" w:cs="Arial Unicode MS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CA2E5E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2E5E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5E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A2E5E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B3CE8"/>
  </w:style>
  <w:style w:type="character" w:customStyle="1" w:styleId="CommentTextChar">
    <w:name w:val="Comment Text Char"/>
    <w:basedOn w:val="DefaultParagraphFont"/>
    <w:link w:val="CommentText"/>
    <w:rsid w:val="001B3CE8"/>
    <w:rPr>
      <w:rFonts w:asciiTheme="majorHAnsi" w:eastAsiaTheme="minorEastAsia" w:hAnsiTheme="majorHAnsi" w:cs="MyriadPro-Regular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A2E5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2E5E"/>
    <w:rPr>
      <w:rFonts w:ascii="Arial" w:eastAsiaTheme="minorEastAsia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2E5E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B3CE8"/>
    <w:pPr>
      <w:spacing w:after="0"/>
      <w:ind w:left="720"/>
      <w:contextualSpacing/>
      <w:jc w:val="left"/>
    </w:pPr>
    <w:rPr>
      <w:rFonts w:ascii="Calibri" w:eastAsia="Cambria" w:hAnsi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2E5E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PageNumber">
    <w:name w:val="page number"/>
    <w:basedOn w:val="DefaultParagraphFont"/>
    <w:uiPriority w:val="99"/>
    <w:unhideWhenUsed/>
    <w:rsid w:val="00CA2E5E"/>
    <w:rPr>
      <w:b/>
    </w:rPr>
  </w:style>
  <w:style w:type="table" w:styleId="LightShading">
    <w:name w:val="Light Shading"/>
    <w:basedOn w:val="TableNormal"/>
    <w:uiPriority w:val="60"/>
    <w:rsid w:val="001B3CE8"/>
    <w:rPr>
      <w:rFonts w:asciiTheme="majorHAnsi" w:eastAsiaTheme="minorEastAsia" w:hAnsiTheme="majorHAnsi" w:cs="ArialMT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1B3CE8"/>
    <w:rPr>
      <w:rFonts w:asciiTheme="majorHAnsi" w:eastAsiaTheme="minorEastAsia" w:hAnsiTheme="majorHAnsi" w:cs="ArialMT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A2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E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B3CE8"/>
  </w:style>
  <w:style w:type="table" w:styleId="LightShading-Accent2">
    <w:name w:val="Light Shading Accent 2"/>
    <w:basedOn w:val="TableNormal"/>
    <w:uiPriority w:val="60"/>
    <w:rsid w:val="001B3CE8"/>
    <w:rPr>
      <w:rFonts w:asciiTheme="majorHAnsi" w:eastAsiaTheme="minorEastAsia" w:hAnsiTheme="majorHAnsi" w:cs="ArialMT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1B3CE8"/>
    <w:rPr>
      <w:rFonts w:asciiTheme="majorHAnsi" w:eastAsiaTheme="minorEastAsia" w:hAnsiTheme="majorHAnsi" w:cs="ArialMT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1B3CE8"/>
    <w:rPr>
      <w:rFonts w:asciiTheme="majorHAnsi" w:eastAsiaTheme="minorEastAsia" w:hAnsiTheme="majorHAnsi" w:cs="ArialMT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Grid3-Accent2">
    <w:name w:val="Medium Grid 3 Accent 2"/>
    <w:basedOn w:val="TableNormal"/>
    <w:uiPriority w:val="69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CA2E5E"/>
    <w:rPr>
      <w:rFonts w:ascii="Arial" w:hAnsi="Arial"/>
      <w:sz w:val="20"/>
      <w:szCs w:val="22"/>
    </w:rPr>
  </w:style>
  <w:style w:type="paragraph" w:styleId="Revision">
    <w:name w:val="Revision"/>
    <w:hidden/>
    <w:uiPriority w:val="99"/>
    <w:semiHidden/>
    <w:rsid w:val="00CA2E5E"/>
    <w:rPr>
      <w:rFonts w:ascii="Arial" w:eastAsiaTheme="minorEastAsia" w:hAnsi="Arial" w:cs="Arial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1B3CE8"/>
    <w:pPr>
      <w:spacing w:after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3CE8"/>
    <w:rPr>
      <w:rFonts w:ascii="Calibri" w:hAnsi="Calibri"/>
      <w:sz w:val="22"/>
      <w:szCs w:val="21"/>
      <w:lang w:val="en-GB"/>
    </w:rPr>
  </w:style>
  <w:style w:type="paragraph" w:customStyle="1" w:styleId="BodyA">
    <w:name w:val="Body A"/>
    <w:rsid w:val="001B3CE8"/>
    <w:rPr>
      <w:rFonts w:ascii="Helvetica" w:eastAsia="ヒラギノ角ゴ Pro W3" w:hAnsi="Helvetica" w:cs="Times New Roman"/>
      <w:color w:val="000000"/>
    </w:rPr>
  </w:style>
  <w:style w:type="paragraph" w:customStyle="1" w:styleId="Reference">
    <w:name w:val="Reference"/>
    <w:basedOn w:val="Normal"/>
    <w:qFormat/>
    <w:rsid w:val="001B3CE8"/>
    <w:pPr>
      <w:spacing w:after="0"/>
      <w:ind w:left="567" w:hanging="567"/>
    </w:pPr>
    <w:rPr>
      <w:rFonts w:ascii="Calibri" w:hAnsi="Calibr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B3CE8"/>
  </w:style>
  <w:style w:type="paragraph" w:styleId="TOC2">
    <w:name w:val="toc 2"/>
    <w:basedOn w:val="Normal"/>
    <w:next w:val="Normal"/>
    <w:autoRedefine/>
    <w:uiPriority w:val="39"/>
    <w:unhideWhenUsed/>
    <w:rsid w:val="001B3CE8"/>
    <w:pPr>
      <w:tabs>
        <w:tab w:val="left" w:pos="567"/>
        <w:tab w:val="right" w:leader="dot" w:pos="8290"/>
      </w:tabs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B3CE8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1B3CE8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1B3CE8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1B3CE8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1B3CE8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1B3CE8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1B3CE8"/>
    <w:pPr>
      <w:ind w:left="1600"/>
    </w:pPr>
  </w:style>
  <w:style w:type="paragraph" w:styleId="Header">
    <w:name w:val="header"/>
    <w:basedOn w:val="Normal"/>
    <w:link w:val="HeaderChar"/>
    <w:uiPriority w:val="99"/>
    <w:unhideWhenUsed/>
    <w:rsid w:val="00CA2E5E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A2E5E"/>
    <w:rPr>
      <w:rFonts w:ascii="Arial" w:eastAsiaTheme="minorEastAsia" w:hAnsi="Arial" w:cs="Times New Roman"/>
      <w:sz w:val="16"/>
      <w:szCs w:val="20"/>
    </w:rPr>
  </w:style>
  <w:style w:type="paragraph" w:customStyle="1" w:styleId="Default">
    <w:name w:val="Default"/>
    <w:rsid w:val="00CA2E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customStyle="1" w:styleId="BasicParagraph">
    <w:name w:val="[Basic Paragraph]"/>
    <w:basedOn w:val="Normal"/>
    <w:uiPriority w:val="99"/>
    <w:rsid w:val="00CA2E5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A2E5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A2E5E"/>
    <w:pPr>
      <w:numPr>
        <w:numId w:val="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A2E5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A2E5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A2E5E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A2E5E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A2E5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CA2E5E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A2E5E"/>
    <w:pPr>
      <w:numPr>
        <w:numId w:val="9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CA2E5E"/>
    <w:pPr>
      <w:numPr>
        <w:ilvl w:val="1"/>
        <w:numId w:val="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A2E5E"/>
    <w:pPr>
      <w:numPr>
        <w:numId w:val="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A2E5E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A2E5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A2E5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A2E5E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48</TotalTime>
  <Pages>1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Ines DALMAU i GUTSENS</cp:lastModifiedBy>
  <cp:revision>7</cp:revision>
  <cp:lastPrinted>2015-10-13T17:52:00Z</cp:lastPrinted>
  <dcterms:created xsi:type="dcterms:W3CDTF">2016-02-13T19:23:00Z</dcterms:created>
  <dcterms:modified xsi:type="dcterms:W3CDTF">2016-02-16T13:00:00Z</dcterms:modified>
</cp:coreProperties>
</file>