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6CC8" w14:textId="02DDF6F0" w:rsidR="00594260" w:rsidRPr="00FE0424" w:rsidRDefault="007F63BA" w:rsidP="00FF2C3B">
      <w:pPr>
        <w:pStyle w:val="H1"/>
        <w:spacing w:before="240"/>
        <w:rPr>
          <w:lang w:val="es-ES"/>
        </w:rPr>
      </w:pPr>
      <w:r w:rsidRPr="007F63BA">
        <w:rPr>
          <w:lang w:val="es-ES"/>
        </w:rPr>
        <w:t>Lista de verificación de los requisitos del con</w:t>
      </w:r>
      <w:r w:rsidRPr="00FE0424">
        <w:rPr>
          <w:lang w:val="es-ES"/>
        </w:rPr>
        <w:t xml:space="preserve">trato de transferencia electrónica   </w:t>
      </w:r>
      <w:bookmarkStart w:id="0" w:name="_GoBack"/>
      <w:bookmarkEnd w:id="0"/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5528AF" w:rsidRPr="00FE0424" w14:paraId="540E1EE2" w14:textId="77777777" w:rsidTr="00FF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C281E"/>
          </w:tcPr>
          <w:p w14:paraId="39498207" w14:textId="41342F8E" w:rsidR="00594260" w:rsidRPr="00FE0424" w:rsidRDefault="008F50C2" w:rsidP="008F50C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 w:hint="eastAsia"/>
                <w:color w:val="FFFFFF" w:themeColor="background1"/>
                <w:lang w:val="es-ES"/>
              </w:rPr>
            </w:pPr>
            <w:r w:rsidRPr="00FE0424">
              <w:rPr>
                <w:rFonts w:ascii="Arial Bold" w:hAnsi="Arial Bold" w:cs="Arial"/>
                <w:color w:val="FFFFFF" w:themeColor="background1"/>
                <w:lang w:val="es-ES"/>
              </w:rPr>
              <w:t xml:space="preserve">Como mínimo, el contrato con un proveedor de </w:t>
            </w:r>
            <w:proofErr w:type="spellStart"/>
            <w:r w:rsidRPr="00FE0424">
              <w:rPr>
                <w:rFonts w:ascii="Arial Bold" w:hAnsi="Arial Bold" w:cs="Arial"/>
                <w:color w:val="FFFFFF" w:themeColor="background1"/>
                <w:lang w:val="es-ES"/>
              </w:rPr>
              <w:t>servicos</w:t>
            </w:r>
            <w:proofErr w:type="spellEnd"/>
            <w:r w:rsidRPr="00FE0424">
              <w:rPr>
                <w:rFonts w:ascii="Arial Bold" w:hAnsi="Arial Bold" w:cs="Arial"/>
                <w:color w:val="FFFFFF" w:themeColor="background1"/>
                <w:lang w:val="es-ES"/>
              </w:rPr>
              <w:t xml:space="preserve"> debe incluir: </w:t>
            </w:r>
          </w:p>
        </w:tc>
      </w:tr>
      <w:tr w:rsidR="00594260" w:rsidRPr="00FE0424" w14:paraId="38720E02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bottom w:val="nil"/>
            </w:tcBorders>
            <w:shd w:val="clear" w:color="auto" w:fill="A6A6A6"/>
          </w:tcPr>
          <w:p w14:paraId="3CC3A3DC" w14:textId="2D744D6E" w:rsidR="00594260" w:rsidRPr="00FE0424" w:rsidRDefault="00FD0CEF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Resumen del p</w:t>
            </w:r>
            <w:r w:rsidR="008F50C2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eríodo cubierto por el acuerdo.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57935953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0A902976" w14:textId="4ED768F0" w:rsidR="00594260" w:rsidRPr="00FE0424" w:rsidRDefault="008F50C2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El funcionamiento del servicio incluyendo un</w:t>
            </w:r>
            <w:r w:rsidR="00FD0CEF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 resumen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 las funciones del proveedor de servicios: controles a seguir; cualquier equipamiento o dispositivos 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necesarios para la transferencia electrónica que se vaya a entregar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; cualquier participación en el registro; activación de las cuentas; procedimiento para la transferencia de fondos a los destinatarios y la presentación de informes; notificación los beneficiarios; cualquier 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formación del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personal/beneficiarios; cualquier 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información a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los agentes/personal de la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s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 sucursal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es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 dentro de la zona del proyecto sobre el programa y 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los requisitos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 liquidez; cualquier ayuda 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relacionada con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la visibilidad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 hacia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; y servicios de </w:t>
            </w:r>
            <w:r w:rsidR="00AF11C5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atención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al cliente en caso de fallo en el servicio. 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28CECEBA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AD6AD9A" w14:textId="43679FD1" w:rsidR="00594260" w:rsidRPr="00FE0424" w:rsidRDefault="00FF27CC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Resumen del papel de la organización humanitaria incluyendo cualquier formación; registro de beneficiarios; entrega a tiempo de la lista de los beneficiarios y los recursos financieros al proveedor del servicio; asegurar la correcta identificación; y seguimiento de los controles establecidos por el proveedor de servicios (por ejemplo, para el acceso a una cuenta a través de internet).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6F0FDE19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20DD90FC" w14:textId="159EAF28" w:rsidR="00594260" w:rsidRPr="00FE0424" w:rsidRDefault="001A75C7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Para nuevas iniciativas y proyectos piloto, una cláusula de rescisión, por la cual será posible la finalización anticipada por cualquiera de las partes.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7758A50E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EC85B05" w14:textId="6844F873" w:rsidR="00594260" w:rsidRPr="00FE0424" w:rsidRDefault="001A75C7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La ubicación y el número de distribuidores/agentes/sucursales.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6F19262D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1EC10CEA" w14:textId="76A1B070" w:rsidR="00594260" w:rsidRPr="00FE0424" w:rsidRDefault="001A75C7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Los detalles de lo que constituye fuerza mayor. </w:t>
            </w:r>
            <w:r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02F60A14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32DA7CE4" w14:textId="476B0819" w:rsidR="00594260" w:rsidRPr="00FE0424" w:rsidRDefault="00B13603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Duración prevista de la fase de </w:t>
            </w:r>
            <w:proofErr w:type="gramStart"/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puesta en marcha incluid</w:t>
            </w:r>
            <w:r w:rsidR="00FE0424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a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s</w:t>
            </w:r>
            <w:proofErr w:type="gramEnd"/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 l</w:t>
            </w:r>
            <w:r w:rsidR="00FE0424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a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s </w:t>
            </w:r>
            <w:r w:rsidR="00FE0424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pruebas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31B67BC3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33ED4D2D" w14:textId="5D33AE42" w:rsidR="00594260" w:rsidRPr="00FE0424" w:rsidRDefault="00B13603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Los detalles del calendario de pagos, incluyendo: el momento en que todos los dispositivos de transferencia electrónica (por ejemplo, cheques/tarjetas bancarias) serán proporcionados a la organización humanitaria; el momento en que los fondos y pagos anticipados serán abonados al proveedor de servicios; y el momento a partir del cual los proveedores de servicios deben </w:t>
            </w:r>
            <w:r w:rsidR="005D25BE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hacer los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desembolsos.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3AF52721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0B6AC1A" w14:textId="7C100D5E" w:rsidR="00594260" w:rsidRPr="00FE0424" w:rsidRDefault="005D25BE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Detalle de personal asignado al proyecto.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759EB999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69EAF3FA" w14:textId="6CBF1494" w:rsidR="00594260" w:rsidRPr="00FE0424" w:rsidRDefault="005D25BE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Límites a las transacciones y cuentas de la organización humanitaria y de los beneficiarios, en su caso.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5C01C61C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6543257B" w14:textId="0FD6A43E" w:rsidR="00594260" w:rsidRPr="00FE0424" w:rsidRDefault="005D25BE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Número e importe máximo de pagos a beneficiarios que pueden realizarse al día. </w:t>
            </w:r>
            <w:r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4056A2B7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4B1A05A0" w14:textId="79AC0C68" w:rsidR="00594260" w:rsidRPr="00FE0424" w:rsidRDefault="005D25BE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Todos los gastos de transacción, incluyendo cualquier exención.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4CAF0516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56AD2D48" w14:textId="35700D9A" w:rsidR="00594260" w:rsidRPr="00FE0424" w:rsidRDefault="00FA6C7C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P</w:t>
            </w:r>
            <w:r w:rsidR="005D25BE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rocedimientos de quejas / solución de problemas. </w:t>
            </w:r>
            <w:r w:rsidR="005D25BE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7EF72047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71630657" w14:textId="2DDF5FDB" w:rsidR="00594260" w:rsidRPr="00FE0424" w:rsidRDefault="00B13603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 </w:t>
            </w:r>
            <w:r w:rsidR="00701747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Flexibilidad/consideraciones especiales, si las hubiera.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  <w:r w:rsidR="00701747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>.</w:t>
            </w:r>
            <w:r w:rsidR="00701747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76392FAD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699E3A8D" w14:textId="1057B3B4" w:rsidR="00594260" w:rsidRPr="00FE0424" w:rsidRDefault="001960B6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Medidas de seguridad con las que el proveedor de servicios debe contar - por ejemplo, vehículos blindados en el caso de los servicios de envío; y sistema de pago seguro por SMS en el caso de transferencia a través de teléfonos móviles.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5947B7EC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0AE6F4BD" w14:textId="49B54A60" w:rsidR="00594260" w:rsidRPr="00FE0424" w:rsidRDefault="001960B6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Seguro frente a pérdidas o insolvencia.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396E153D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2F67BA98" w14:textId="6BF3E3E4" w:rsidR="00594260" w:rsidRPr="00FE0424" w:rsidRDefault="001960B6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>Requisitos de protección de datos.</w:t>
            </w:r>
          </w:p>
        </w:tc>
      </w:tr>
      <w:tr w:rsidR="00594260" w:rsidRPr="00FE0424" w14:paraId="3AC5162B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4F318B98" w14:textId="28596DA8" w:rsidR="00594260" w:rsidRPr="00FE0424" w:rsidRDefault="00FA6C7C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Detalle de los criterios de verificación y proceso de documentación que el proveedor de servicios debe seguir a la hora de transferir efectivo a los beneficiarios. 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5D283215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35F04231" w14:textId="2172B821" w:rsidR="00594260" w:rsidRPr="00FE0424" w:rsidRDefault="00FB416A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Detalles de los las exigencias de presentación de informes, incluyendo la frecuencia, el contenido y los comprobantes de las transacciones. Se pueden incluir los procedimientos para acceder a las cuentas de la organización y de los beneficiarios </w:t>
            </w:r>
            <w:r w:rsidR="00AF7909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alojadas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en cualquier portal de internet del proveedor de servicios.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719A773C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6A163920" w14:textId="4D9C5CA2" w:rsidR="00594260" w:rsidRPr="00FE0424" w:rsidRDefault="00AF7909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Detalles sobre el vencimiento de comisiones y las condiciones bajo las cuales se remunerará al proveedor de servicios (probablemente una vez al mes tras la realización de las actividades, una vez verificada mediante </w:t>
            </w:r>
            <w:r w:rsidR="003A594F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monitoreo y revisión de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informes, a través de transferencia bancaria).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38374579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4DDD273E" w14:textId="7DFA5522" w:rsidR="00594260" w:rsidRPr="00FE0424" w:rsidRDefault="003A594F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Resumen del proceso a seguir en caso de ausencias, operaciones rechazadas y reembolsos.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79EDEC53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3B710587" w14:textId="45508829" w:rsidR="00594260" w:rsidRPr="00FE0424" w:rsidRDefault="003A594F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Sanciones claras, sobre todo en lo concerniente a la imposibilidad de suministrar los bienes acordados.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2D9B77EB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A6A6A6"/>
          </w:tcPr>
          <w:p w14:paraId="379015A7" w14:textId="1BA26941" w:rsidR="00594260" w:rsidRPr="00FE0424" w:rsidRDefault="003A594F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lastRenderedPageBreak/>
              <w:t xml:space="preserve">Cláusulas detallando la posición de la organización con respecto al fraude y la protección participante del programa, y las responsabilidades del proveedor de servicios.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7A5343F0" w14:textId="77777777" w:rsidTr="00552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  <w:shd w:val="clear" w:color="auto" w:fill="F3F3F3"/>
          </w:tcPr>
          <w:p w14:paraId="40543A74" w14:textId="3C3CB188" w:rsidR="00594260" w:rsidRPr="00FE0424" w:rsidRDefault="007A7E4E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Cláusulas detallando el procedimiento para la protección de los datos personales </w:t>
            </w:r>
            <w:r w:rsidR="00CE7E0D"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del </w:t>
            </w: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beneficiario.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  <w:tr w:rsidR="00594260" w:rsidRPr="00FE0424" w14:paraId="3E38A89A" w14:textId="77777777" w:rsidTr="00552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auto"/>
            </w:tcBorders>
            <w:shd w:val="clear" w:color="auto" w:fill="A6A6A6"/>
          </w:tcPr>
          <w:p w14:paraId="6762392F" w14:textId="0C8C9E17" w:rsidR="00594260" w:rsidRPr="00FE0424" w:rsidRDefault="00CE7E0D" w:rsidP="00FE04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25" w:hanging="357"/>
              <w:contextualSpacing w:val="0"/>
              <w:rPr>
                <w:rFonts w:cs="Arial"/>
                <w:b w:val="0"/>
                <w:color w:val="000000"/>
                <w:szCs w:val="20"/>
                <w:lang w:val="es-ES"/>
              </w:rPr>
            </w:pPr>
            <w:r w:rsidRPr="00FE0424">
              <w:rPr>
                <w:rFonts w:cs="Arial"/>
                <w:b w:val="0"/>
                <w:color w:val="000000"/>
                <w:szCs w:val="20"/>
                <w:lang w:val="es-ES"/>
              </w:rPr>
              <w:t xml:space="preserve">Estrategia de salida, incluyendo los períodos de desactivación de cuentas y cualquier apoyo adicional que se pueda requerir del proveedor de servicios más allá del periodo de transferencia. </w:t>
            </w:r>
            <w:r w:rsidR="00FE0424" w:rsidRPr="00FE0424">
              <w:rPr>
                <w:rFonts w:cs="Arial"/>
                <w:b w:val="0"/>
                <w:color w:val="4F81BD" w:themeColor="accent1"/>
                <w:szCs w:val="20"/>
                <w:lang w:val="es-ES"/>
              </w:rPr>
              <w:t xml:space="preserve"> </w:t>
            </w:r>
          </w:p>
        </w:tc>
      </w:tr>
    </w:tbl>
    <w:p w14:paraId="4F663A2B" w14:textId="71F6B607" w:rsidR="006D2F29" w:rsidRPr="005528AF" w:rsidRDefault="00CE7E0D" w:rsidP="00A94E13">
      <w:pPr>
        <w:widowControl w:val="0"/>
        <w:autoSpaceDE w:val="0"/>
        <w:autoSpaceDN w:val="0"/>
        <w:adjustRightInd w:val="0"/>
        <w:spacing w:before="120" w:after="0"/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Fuente</w:t>
      </w:r>
      <w:proofErr w:type="spellEnd"/>
      <w:r w:rsidR="00BD5DED" w:rsidRPr="005528AF">
        <w:rPr>
          <w:color w:val="000000"/>
          <w:sz w:val="18"/>
          <w:szCs w:val="18"/>
        </w:rPr>
        <w:t>: E-transfers in emergencies: i</w:t>
      </w:r>
      <w:r w:rsidR="006D2F29" w:rsidRPr="005528AF">
        <w:rPr>
          <w:color w:val="000000"/>
          <w:sz w:val="18"/>
          <w:szCs w:val="18"/>
        </w:rPr>
        <w:t>mplementation support guidelines CaLP</w:t>
      </w:r>
    </w:p>
    <w:sectPr w:rsidR="006D2F29" w:rsidRPr="005528AF" w:rsidSect="005528AF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D824" w14:textId="77777777" w:rsidR="00D837CB" w:rsidRDefault="00D837CB" w:rsidP="008C25F5">
      <w:r>
        <w:separator/>
      </w:r>
    </w:p>
  </w:endnote>
  <w:endnote w:type="continuationSeparator" w:id="0">
    <w:p w14:paraId="31458FC4" w14:textId="77777777" w:rsidR="00D837CB" w:rsidRDefault="00D837CB" w:rsidP="008C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AEDC8" w14:textId="77777777" w:rsidR="005528AF" w:rsidRPr="00B45C74" w:rsidRDefault="005528A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E042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810F217" w14:textId="36549129" w:rsidR="005528AF" w:rsidRPr="003A3500" w:rsidRDefault="008F50C2" w:rsidP="00ED1B2B">
    <w:pPr>
      <w:pStyle w:val="Footer"/>
    </w:pPr>
    <w:proofErr w:type="spellStart"/>
    <w:r>
      <w:rPr>
        <w:b/>
      </w:rPr>
      <w:t>Mó</w:t>
    </w:r>
    <w:r w:rsidR="005528AF" w:rsidRPr="00107E15">
      <w:rPr>
        <w:b/>
      </w:rPr>
      <w:t>dul</w:t>
    </w:r>
    <w:r>
      <w:rPr>
        <w:b/>
      </w:rPr>
      <w:t>o</w:t>
    </w:r>
    <w:proofErr w:type="spellEnd"/>
    <w:r w:rsidR="005528AF" w:rsidRPr="00107E15">
      <w:rPr>
        <w:b/>
      </w:rPr>
      <w:t xml:space="preserve"> </w:t>
    </w:r>
    <w:r w:rsidR="005528AF">
      <w:rPr>
        <w:b/>
      </w:rPr>
      <w:t>4</w:t>
    </w:r>
    <w:r w:rsidR="005528AF" w:rsidRPr="00107E15">
      <w:rPr>
        <w:b/>
      </w:rPr>
      <w:t>.</w:t>
    </w:r>
    <w:r w:rsidR="005528AF" w:rsidRPr="00107E15">
      <w:t xml:space="preserve"> </w:t>
    </w:r>
    <w:proofErr w:type="spellStart"/>
    <w:r>
      <w:t>Etapa</w:t>
    </w:r>
    <w:proofErr w:type="spellEnd"/>
    <w:r w:rsidR="005528AF" w:rsidRPr="00107E15">
      <w:t xml:space="preserve"> </w:t>
    </w:r>
    <w:r w:rsidR="005528AF">
      <w:t>3</w:t>
    </w:r>
    <w:r w:rsidR="005528AF" w:rsidRPr="00107E15">
      <w:t>.</w:t>
    </w:r>
    <w:r w:rsidR="005528AF">
      <w:t xml:space="preserve"> Sub-</w:t>
    </w:r>
    <w:proofErr w:type="spellStart"/>
    <w:r>
      <w:t>etapa</w:t>
    </w:r>
    <w:proofErr w:type="spellEnd"/>
    <w:r w:rsidR="005528AF">
      <w:t xml:space="preserve"> 3. </w:t>
    </w:r>
    <w:r w:rsidR="005528AF" w:rsidRPr="00107E15">
      <w:rPr>
        <w:i/>
      </w:rPr>
      <w:fldChar w:fldCharType="begin"/>
    </w:r>
    <w:r w:rsidR="005528AF" w:rsidRPr="00107E15">
      <w:rPr>
        <w:i/>
      </w:rPr>
      <w:instrText xml:space="preserve"> STYLEREF  H1 \t  \* MERGEFORMAT </w:instrText>
    </w:r>
    <w:r w:rsidR="005528AF" w:rsidRPr="00107E15">
      <w:rPr>
        <w:i/>
      </w:rPr>
      <w:fldChar w:fldCharType="separate"/>
    </w:r>
    <w:r w:rsidR="00FE0424" w:rsidRPr="00FE0424">
      <w:rPr>
        <w:bCs/>
        <w:noProof/>
      </w:rPr>
      <w:t>Lista de verificación de los requisitos del</w:t>
    </w:r>
    <w:r w:rsidR="00FE0424">
      <w:rPr>
        <w:i/>
        <w:noProof/>
      </w:rPr>
      <w:t xml:space="preserve"> contrato de transferencia electrónica</w:t>
    </w:r>
    <w:r w:rsidR="005528AF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55F8C" w14:textId="77777777" w:rsidR="00D837CB" w:rsidRDefault="00D837CB" w:rsidP="008C25F5">
      <w:r>
        <w:separator/>
      </w:r>
    </w:p>
  </w:footnote>
  <w:footnote w:type="continuationSeparator" w:id="0">
    <w:p w14:paraId="5F7A60DD" w14:textId="77777777" w:rsidR="00D837CB" w:rsidRDefault="00D837CB" w:rsidP="008C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EEA3" w14:textId="77777777" w:rsidR="008F50C2" w:rsidRPr="00730879" w:rsidRDefault="008F50C2" w:rsidP="008F50C2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bCs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236CD98A" w14:textId="476B0D9C" w:rsidR="005528AF" w:rsidRPr="008F50C2" w:rsidRDefault="005528AF" w:rsidP="008F50C2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D02"/>
    <w:multiLevelType w:val="hybridMultilevel"/>
    <w:tmpl w:val="92CAD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0"/>
    <w:rsid w:val="001960B6"/>
    <w:rsid w:val="001A75C7"/>
    <w:rsid w:val="001C70DB"/>
    <w:rsid w:val="002D61B1"/>
    <w:rsid w:val="003A56F9"/>
    <w:rsid w:val="003A594F"/>
    <w:rsid w:val="003B7690"/>
    <w:rsid w:val="004B1DFB"/>
    <w:rsid w:val="004F3255"/>
    <w:rsid w:val="004F78CE"/>
    <w:rsid w:val="00530C26"/>
    <w:rsid w:val="005528AF"/>
    <w:rsid w:val="00594260"/>
    <w:rsid w:val="005D25BE"/>
    <w:rsid w:val="006145CD"/>
    <w:rsid w:val="006D2F29"/>
    <w:rsid w:val="00701747"/>
    <w:rsid w:val="0071100B"/>
    <w:rsid w:val="007A7E4E"/>
    <w:rsid w:val="007B539C"/>
    <w:rsid w:val="007F63BA"/>
    <w:rsid w:val="008C25F5"/>
    <w:rsid w:val="008F50C2"/>
    <w:rsid w:val="00A94E13"/>
    <w:rsid w:val="00AE0EA5"/>
    <w:rsid w:val="00AF11C5"/>
    <w:rsid w:val="00AF7909"/>
    <w:rsid w:val="00B13603"/>
    <w:rsid w:val="00BD5DED"/>
    <w:rsid w:val="00C62B57"/>
    <w:rsid w:val="00C63558"/>
    <w:rsid w:val="00CE7B15"/>
    <w:rsid w:val="00CE7E0D"/>
    <w:rsid w:val="00D837CB"/>
    <w:rsid w:val="00D83859"/>
    <w:rsid w:val="00D964C8"/>
    <w:rsid w:val="00FA6C7C"/>
    <w:rsid w:val="00FB416A"/>
    <w:rsid w:val="00FD0CEF"/>
    <w:rsid w:val="00FE0424"/>
    <w:rsid w:val="00FF27CC"/>
    <w:rsid w:val="00FF2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C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F2C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3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2C3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F2C3B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42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2C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2C3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F2C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C3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2C3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2C3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C3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C3B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F2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2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A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F2C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F2C3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F2C3B"/>
    <w:rPr>
      <w:b/>
    </w:rPr>
  </w:style>
  <w:style w:type="character" w:styleId="Hyperlink">
    <w:name w:val="Hyperlink"/>
    <w:basedOn w:val="DefaultParagraphFont"/>
    <w:uiPriority w:val="99"/>
    <w:unhideWhenUsed/>
    <w:rsid w:val="00FF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C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2C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C3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F2C3B"/>
    <w:rPr>
      <w:vertAlign w:val="superscript"/>
    </w:rPr>
  </w:style>
  <w:style w:type="paragraph" w:styleId="Revision">
    <w:name w:val="Revision"/>
    <w:hidden/>
    <w:uiPriority w:val="99"/>
    <w:semiHidden/>
    <w:rsid w:val="00FF2C3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F2C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F2C3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F2C3B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F2C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F2C3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F2C3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F2C3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F2C3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F2C3B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F2C3B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F2C3B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F2C3B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F2C3B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F2C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F2C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F2C3B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3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F2C3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C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3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2C3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F2C3B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42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F2C3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2C3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F2C3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C3B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2C3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2C3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C3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C3B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F2C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2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A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F2C3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F2C3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F2C3B"/>
    <w:rPr>
      <w:b/>
    </w:rPr>
  </w:style>
  <w:style w:type="character" w:styleId="Hyperlink">
    <w:name w:val="Hyperlink"/>
    <w:basedOn w:val="DefaultParagraphFont"/>
    <w:uiPriority w:val="99"/>
    <w:unhideWhenUsed/>
    <w:rsid w:val="00FF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C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2C3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2C3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F2C3B"/>
    <w:rPr>
      <w:vertAlign w:val="superscript"/>
    </w:rPr>
  </w:style>
  <w:style w:type="paragraph" w:styleId="Revision">
    <w:name w:val="Revision"/>
    <w:hidden/>
    <w:uiPriority w:val="99"/>
    <w:semiHidden/>
    <w:rsid w:val="00FF2C3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F2C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F2C3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F2C3B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F2C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F2C3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F2C3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F2C3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F2C3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F2C3B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F2C3B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F2C3B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F2C3B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F2C3B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F2C3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F2C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F2C3B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Patricia</cp:lastModifiedBy>
  <cp:revision>2</cp:revision>
  <cp:lastPrinted>2015-10-01T03:16:00Z</cp:lastPrinted>
  <dcterms:created xsi:type="dcterms:W3CDTF">2016-02-21T20:05:00Z</dcterms:created>
  <dcterms:modified xsi:type="dcterms:W3CDTF">2016-02-21T20:05:00Z</dcterms:modified>
</cp:coreProperties>
</file>