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8256B" w14:textId="3E952393" w:rsidR="000A4024" w:rsidRPr="00FC01C8" w:rsidRDefault="000A4024" w:rsidP="00C35DC8">
      <w:pPr>
        <w:pStyle w:val="H1"/>
      </w:pPr>
      <w:r w:rsidRPr="00FC01C8">
        <w:t>Feuille de route pour l</w:t>
      </w:r>
      <w:r w:rsidR="009039EE" w:rsidRPr="00FC01C8">
        <w:t>’</w:t>
      </w:r>
      <w:r w:rsidR="00C35DC8" w:rsidRPr="00FC01C8">
        <w:t>enregistrement</w:t>
      </w:r>
      <w:r w:rsidR="003D7EB4" w:rsidRPr="00FC01C8">
        <w:t xml:space="preserve"> et l</w:t>
      </w:r>
      <w:r w:rsidR="009039EE" w:rsidRPr="00FC01C8">
        <w:t>’</w:t>
      </w:r>
      <w:r w:rsidRPr="00FC01C8">
        <w:t>identification</w:t>
      </w:r>
    </w:p>
    <w:p w14:paraId="6E0986B9" w14:textId="68796654" w:rsidR="005B6A03" w:rsidRPr="00FC01C8" w:rsidRDefault="008C360D" w:rsidP="005B6A03">
      <w:pPr>
        <w:pStyle w:val="H1"/>
        <w:ind w:left="-170"/>
        <w:rPr>
          <w:sz w:val="20"/>
          <w:szCs w:val="20"/>
        </w:rPr>
      </w:pPr>
      <w:r>
        <w:pict w14:anchorId="7CF93F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25pt;height:216.55pt;mso-position-vertical:absolute">
            <v:imagedata r:id="rId8" o:title="04-Setup_Implementation-rodmap-EN4"/>
          </v:shape>
        </w:pict>
      </w:r>
    </w:p>
    <w:p w14:paraId="3DCFAE98" w14:textId="77777777" w:rsidR="00905760" w:rsidRPr="00FC01C8" w:rsidRDefault="00905760" w:rsidP="005B6A03">
      <w:pPr>
        <w:pStyle w:val="Heading2"/>
      </w:pPr>
      <w:r w:rsidRPr="00FC01C8">
        <w:t>INTRODUCTION</w:t>
      </w:r>
    </w:p>
    <w:p w14:paraId="7B554AA8" w14:textId="7F28192B" w:rsidR="00905760" w:rsidRPr="00FC01C8" w:rsidRDefault="00905760" w:rsidP="00D7233B">
      <w:r w:rsidRPr="00FC01C8">
        <w:t xml:space="preserve">Cette feuille de route vous guidera </w:t>
      </w:r>
      <w:r w:rsidR="00D7233B" w:rsidRPr="00FC01C8">
        <w:t xml:space="preserve">tout au long du </w:t>
      </w:r>
      <w:r w:rsidRPr="00FC01C8">
        <w:t>processus de collecte et d</w:t>
      </w:r>
      <w:r w:rsidR="009039EE" w:rsidRPr="00FC01C8">
        <w:t>’</w:t>
      </w:r>
      <w:r w:rsidRPr="00FC01C8">
        <w:t xml:space="preserve">enregistrement des informations pertinentes </w:t>
      </w:r>
      <w:r w:rsidR="00D7233B" w:rsidRPr="00FC01C8">
        <w:t>relatives aux</w:t>
      </w:r>
      <w:r w:rsidRPr="00FC01C8">
        <w:t xml:space="preserve"> bénéficiaires, et </w:t>
      </w:r>
      <w:r w:rsidR="002617CC" w:rsidRPr="00FC01C8">
        <w:t xml:space="preserve">vous permettra </w:t>
      </w:r>
      <w:r w:rsidRPr="00FC01C8">
        <w:t>d</w:t>
      </w:r>
      <w:r w:rsidR="009039EE" w:rsidRPr="00FC01C8">
        <w:t>’</w:t>
      </w:r>
      <w:r w:rsidRPr="00FC01C8">
        <w:t>établir des mécanismes appropriés pour les identifier. L</w:t>
      </w:r>
      <w:r w:rsidR="009039EE" w:rsidRPr="00FC01C8">
        <w:t>’</w:t>
      </w:r>
      <w:r w:rsidR="00D7233B" w:rsidRPr="00FC01C8">
        <w:t>enregistrement</w:t>
      </w:r>
      <w:r w:rsidRPr="00FC01C8">
        <w:t xml:space="preserve"> et l</w:t>
      </w:r>
      <w:r w:rsidR="009039EE" w:rsidRPr="00FC01C8">
        <w:t>’</w:t>
      </w:r>
      <w:r w:rsidRPr="00FC01C8">
        <w:t>identification contribuent à assurer la re</w:t>
      </w:r>
      <w:r w:rsidR="00D7233B" w:rsidRPr="00FC01C8">
        <w:t>devabilité</w:t>
      </w:r>
      <w:r w:rsidRPr="00FC01C8">
        <w:t xml:space="preserve"> et la transparence dans l</w:t>
      </w:r>
      <w:r w:rsidR="009039EE" w:rsidRPr="00FC01C8">
        <w:t>’</w:t>
      </w:r>
      <w:r w:rsidRPr="00FC01C8">
        <w:t>utilisation des ressources, et facilite</w:t>
      </w:r>
      <w:r w:rsidR="00FA1C26" w:rsidRPr="00FC01C8">
        <w:t>nt</w:t>
      </w:r>
      <w:r w:rsidRPr="00FC01C8">
        <w:t xml:space="preserve"> </w:t>
      </w:r>
      <w:r w:rsidR="00D7233B" w:rsidRPr="00FC01C8">
        <w:t>le suivi</w:t>
      </w:r>
      <w:r w:rsidRPr="00FC01C8">
        <w:t>.</w:t>
      </w:r>
    </w:p>
    <w:p w14:paraId="0604920B" w14:textId="6C0C160B" w:rsidR="00F61A31" w:rsidRPr="00FC01C8" w:rsidRDefault="00D7233B" w:rsidP="00D7233B">
      <w:r w:rsidRPr="00FC01C8">
        <w:t>Elle vous indiquera également quel</w:t>
      </w:r>
      <w:r w:rsidR="00DD11EE">
        <w:t>le</w:t>
      </w:r>
      <w:r w:rsidRPr="00FC01C8">
        <w:t>s sont les ressources de la Boîte à outils qui sont les plus utiles pour cette étape et ses étapes subsidiaires. Ces outils devront être adaptés à vos besoins et à votre contexte</w:t>
      </w:r>
      <w:r w:rsidR="00B65C9D" w:rsidRPr="00FC01C8">
        <w:t xml:space="preserve">.  </w:t>
      </w:r>
    </w:p>
    <w:p w14:paraId="78635322" w14:textId="75F5E4AC" w:rsidR="00F61A31" w:rsidRPr="00FC01C8" w:rsidRDefault="00D7233B" w:rsidP="00D7233B">
      <w:r w:rsidRPr="00FC01C8">
        <w:t>Il est important de respecter les normes minimales définies pour cette étape aux fins de garantir la qualité des PTM</w:t>
      </w:r>
      <w:r w:rsidR="00F61A31" w:rsidRPr="00FC01C8">
        <w:t xml:space="preserve">. </w:t>
      </w:r>
    </w:p>
    <w:p w14:paraId="157946D3" w14:textId="6329B6CC" w:rsidR="00F61A31" w:rsidRPr="00FC01C8" w:rsidRDefault="00D7233B" w:rsidP="00D7233B">
      <w:r w:rsidRPr="00FC01C8">
        <w:t xml:space="preserve">Il est probable que vous deviez </w:t>
      </w:r>
      <w:r w:rsidRPr="00FC01C8">
        <w:rPr>
          <w:b/>
        </w:rPr>
        <w:t>aller et venir</w:t>
      </w:r>
      <w:r w:rsidRPr="00FC01C8">
        <w:t xml:space="preserve"> entre les différentes étapes subsidiaires pour orienter la prise de décisions à mesure que des informations deviennent disponibles et que la mise en œuvre du processus progresse</w:t>
      </w:r>
      <w:r w:rsidR="00F61A31" w:rsidRPr="00FC01C8">
        <w:t>.</w:t>
      </w:r>
    </w:p>
    <w:p w14:paraId="689ECFB6" w14:textId="493E7391" w:rsidR="00F61A31" w:rsidRPr="00FC01C8" w:rsidRDefault="00D7233B" w:rsidP="00D7233B">
      <w:r w:rsidRPr="00FC01C8">
        <w:t>Pour obtenir des orientations plus détaillées sur</w:t>
      </w:r>
      <w:r w:rsidR="00F61A31" w:rsidRPr="00FC01C8">
        <w:t xml:space="preserve"> l</w:t>
      </w:r>
      <w:r w:rsidR="009039EE" w:rsidRPr="00FC01C8">
        <w:t>’</w:t>
      </w:r>
      <w:r w:rsidRPr="00FC01C8">
        <w:t>enregistrement</w:t>
      </w:r>
      <w:r w:rsidR="00F61A31" w:rsidRPr="00FC01C8">
        <w:t xml:space="preserve"> et l</w:t>
      </w:r>
      <w:r w:rsidR="009039EE" w:rsidRPr="00FC01C8">
        <w:t>’</w:t>
      </w:r>
      <w:r w:rsidR="00F61A31" w:rsidRPr="00FC01C8">
        <w:t xml:space="preserve">identification, </w:t>
      </w:r>
      <w:r w:rsidRPr="00FC01C8">
        <w:t>veuillez consulter les documents de référence mentionnés à la fin du document</w:t>
      </w:r>
      <w:r w:rsidR="00F61A31" w:rsidRPr="00FC01C8">
        <w:t xml:space="preserve">. </w:t>
      </w:r>
    </w:p>
    <w:p w14:paraId="2743B6A6" w14:textId="28D1A452" w:rsidR="00905760" w:rsidRPr="00FC01C8" w:rsidRDefault="00905760" w:rsidP="005B6A03">
      <w:pPr>
        <w:pStyle w:val="Heading2"/>
      </w:pPr>
      <w:r w:rsidRPr="00FC01C8">
        <w:t>NORMES MINIMALES</w:t>
      </w:r>
    </w:p>
    <w:p w14:paraId="63322859" w14:textId="67E8D14C" w:rsidR="00905760" w:rsidRPr="00FC01C8" w:rsidRDefault="00905760" w:rsidP="00FA0ABC">
      <w:pPr>
        <w:pStyle w:val="Bullet1"/>
      </w:pPr>
      <w:r w:rsidRPr="00FC01C8">
        <w:t>N</w:t>
      </w:r>
      <w:r w:rsidR="009039EE" w:rsidRPr="00FC01C8">
        <w:t>’</w:t>
      </w:r>
      <w:r w:rsidR="00FA0ABC" w:rsidRPr="00FC01C8">
        <w:t>enregistrer</w:t>
      </w:r>
      <w:r w:rsidRPr="00FC01C8">
        <w:t xml:space="preserve"> que les pe</w:t>
      </w:r>
      <w:r w:rsidR="00FA0ABC" w:rsidRPr="00FC01C8">
        <w:t>rsonnes admissibles à recevoir des</w:t>
      </w:r>
      <w:r w:rsidRPr="00FC01C8">
        <w:t xml:space="preserve"> transfert</w:t>
      </w:r>
      <w:r w:rsidR="00FA0ABC" w:rsidRPr="00FC01C8">
        <w:t>s monétaires</w:t>
      </w:r>
      <w:r w:rsidR="003D7EB4" w:rsidRPr="00FC01C8">
        <w:t> ;</w:t>
      </w:r>
    </w:p>
    <w:p w14:paraId="6F200699" w14:textId="7F3468C1" w:rsidR="00905760" w:rsidRPr="00FC01C8" w:rsidRDefault="00905760" w:rsidP="00FA0ABC">
      <w:pPr>
        <w:pStyle w:val="Bullet1"/>
      </w:pPr>
      <w:r w:rsidRPr="00FC01C8">
        <w:t xml:space="preserve">Veiller à ce que </w:t>
      </w:r>
      <w:r w:rsidR="00FA0ABC" w:rsidRPr="00FC01C8">
        <w:t>les processus d’</w:t>
      </w:r>
      <w:r w:rsidRPr="00FC01C8">
        <w:t xml:space="preserve">identification </w:t>
      </w:r>
      <w:r w:rsidR="00FA0ABC" w:rsidRPr="00FC01C8">
        <w:t>requis</w:t>
      </w:r>
      <w:r w:rsidRPr="00FC01C8">
        <w:t xml:space="preserve"> pour </w:t>
      </w:r>
      <w:r w:rsidR="00FA0ABC" w:rsidRPr="00FC01C8">
        <w:t>enregistrer</w:t>
      </w:r>
      <w:r w:rsidRPr="00FC01C8">
        <w:t xml:space="preserve"> les bénéficiaires respecte</w:t>
      </w:r>
      <w:r w:rsidR="00FA0ABC" w:rsidRPr="00FC01C8">
        <w:t>nt</w:t>
      </w:r>
      <w:r w:rsidRPr="00FC01C8">
        <w:t xml:space="preserve"> les règlements financiers nationaux. </w:t>
      </w:r>
    </w:p>
    <w:p w14:paraId="63D18E99" w14:textId="28A616B4" w:rsidR="00905760" w:rsidRPr="00FC01C8" w:rsidRDefault="00FA0ABC" w:rsidP="005B6A03">
      <w:pPr>
        <w:pStyle w:val="Heading2"/>
      </w:pPr>
      <w:r w:rsidRPr="00FC01C8">
        <w:lastRenderedPageBreak/>
        <w:t>Étapes subsidiaires ET OUTILS</w:t>
      </w:r>
    </w:p>
    <w:p w14:paraId="40F5C67E" w14:textId="32ACA59E" w:rsidR="000A4024" w:rsidRPr="00FC01C8" w:rsidRDefault="000A4024" w:rsidP="00057D5D">
      <w:pPr>
        <w:pStyle w:val="Heading3"/>
      </w:pPr>
      <w:r w:rsidRPr="00FC01C8">
        <w:t>Planifier et préparer l</w:t>
      </w:r>
      <w:r w:rsidR="009039EE" w:rsidRPr="00FC01C8">
        <w:t>’</w:t>
      </w:r>
      <w:r w:rsidR="00057D5D" w:rsidRPr="00FC01C8">
        <w:t>enregistrement</w:t>
      </w:r>
    </w:p>
    <w:p w14:paraId="2FCCA857" w14:textId="45DC272E" w:rsidR="000A4024" w:rsidRPr="00FC01C8" w:rsidRDefault="00B65C9D" w:rsidP="00DF3A7B">
      <w:pPr>
        <w:rPr>
          <w:rFonts w:ascii="Times" w:hAnsi="Times"/>
        </w:rPr>
      </w:pPr>
      <w:r w:rsidRPr="00FC01C8">
        <w:t>Tout d</w:t>
      </w:r>
      <w:r w:rsidR="009039EE" w:rsidRPr="00FC01C8">
        <w:t>’</w:t>
      </w:r>
      <w:r w:rsidRPr="00FC01C8">
        <w:t xml:space="preserve">abord, vous devez </w:t>
      </w:r>
      <w:r w:rsidR="003D7EB4" w:rsidRPr="00FC01C8">
        <w:t>déterminer</w:t>
      </w:r>
      <w:r w:rsidR="00057D5D" w:rsidRPr="00FC01C8">
        <w:t xml:space="preserve"> s’il est approprié</w:t>
      </w:r>
      <w:r w:rsidRPr="00FC01C8">
        <w:t xml:space="preserve"> et possible</w:t>
      </w:r>
      <w:r w:rsidR="00057D5D" w:rsidRPr="00FC01C8">
        <w:t xml:space="preserve"> d’enregistrer les bénéficiaires, par ex.</w:t>
      </w:r>
      <w:r w:rsidRPr="00FC01C8">
        <w:t>, si l</w:t>
      </w:r>
      <w:r w:rsidR="009039EE" w:rsidRPr="00FC01C8">
        <w:t>’</w:t>
      </w:r>
      <w:r w:rsidRPr="00FC01C8">
        <w:t>ensembl</w:t>
      </w:r>
      <w:r w:rsidR="00A51C09">
        <w:t>e de la communauté a été touché</w:t>
      </w:r>
      <w:r w:rsidRPr="00FC01C8">
        <w:t xml:space="preserve"> par une urgence extrême et </w:t>
      </w:r>
      <w:r w:rsidR="00057D5D" w:rsidRPr="00FC01C8">
        <w:t xml:space="preserve">que vous </w:t>
      </w:r>
      <w:r w:rsidR="00DF3A7B" w:rsidRPr="00FC01C8">
        <w:t xml:space="preserve">prévoyez de </w:t>
      </w:r>
      <w:r w:rsidR="00057D5D" w:rsidRPr="00FC01C8">
        <w:t xml:space="preserve">procéder à </w:t>
      </w:r>
      <w:r w:rsidRPr="00FC01C8">
        <w:t>une</w:t>
      </w:r>
      <w:r w:rsidR="00057D5D" w:rsidRPr="00FC01C8">
        <w:t xml:space="preserve"> distribution générale</w:t>
      </w:r>
      <w:r w:rsidRPr="00FC01C8">
        <w:t xml:space="preserve">, ou si la population touchée </w:t>
      </w:r>
      <w:r w:rsidR="00DF3A7B" w:rsidRPr="00FC01C8">
        <w:t>a été</w:t>
      </w:r>
      <w:r w:rsidRPr="00FC01C8">
        <w:t xml:space="preserve"> déplacée</w:t>
      </w:r>
      <w:r w:rsidR="00DF3A7B" w:rsidRPr="00FC01C8">
        <w:t xml:space="preserve"> et que</w:t>
      </w:r>
      <w:r w:rsidRPr="00FC01C8">
        <w:t xml:space="preserve"> vous pourriez préférer </w:t>
      </w:r>
      <w:r w:rsidR="00DF3A7B" w:rsidRPr="00FC01C8">
        <w:t>distribuer des bons</w:t>
      </w:r>
      <w:r w:rsidRPr="00FC01C8">
        <w:t xml:space="preserve"> </w:t>
      </w:r>
      <w:r w:rsidR="00DF3A7B" w:rsidRPr="00FC01C8">
        <w:t>pour un paiement unique</w:t>
      </w:r>
      <w:r w:rsidRPr="00FC01C8">
        <w:t xml:space="preserve">. </w:t>
      </w:r>
      <w:r w:rsidR="00DF3A7B" w:rsidRPr="00FC01C8">
        <w:t>La</w:t>
      </w:r>
      <w:r w:rsidRPr="00FC01C8">
        <w:t xml:space="preserve"> d</w:t>
      </w:r>
      <w:r w:rsidR="003D7EB4" w:rsidRPr="00FC01C8">
        <w:t>istribution</w:t>
      </w:r>
      <w:r w:rsidR="00DF3A7B" w:rsidRPr="00FC01C8">
        <w:t xml:space="preserve"> de bons ne permet</w:t>
      </w:r>
      <w:r w:rsidR="003D7EB4" w:rsidRPr="00FC01C8">
        <w:t xml:space="preserve"> pas</w:t>
      </w:r>
      <w:r w:rsidR="00DF3A7B" w:rsidRPr="00FC01C8">
        <w:t xml:space="preserve"> de collecter des</w:t>
      </w:r>
      <w:r w:rsidRPr="00FC01C8">
        <w:t xml:space="preserve"> données démographiques, à moins que les bénéficiaires ne soient enregistrés au moment de la distribution.</w:t>
      </w:r>
    </w:p>
    <w:p w14:paraId="5962DFE8" w14:textId="3172A344" w:rsidR="000A4024" w:rsidRPr="00FC01C8" w:rsidRDefault="00905760" w:rsidP="00DF3A7B">
      <w:pPr>
        <w:rPr>
          <w:rFonts w:ascii="Times" w:hAnsi="Times"/>
        </w:rPr>
      </w:pPr>
      <w:r w:rsidRPr="00FC01C8">
        <w:t>Avant d</w:t>
      </w:r>
      <w:r w:rsidR="00DF3A7B" w:rsidRPr="00FC01C8">
        <w:t>’enregistrer</w:t>
      </w:r>
      <w:r w:rsidRPr="00FC01C8">
        <w:t xml:space="preserve"> les bénéficiaires, </w:t>
      </w:r>
      <w:r w:rsidR="00DF3A7B" w:rsidRPr="00FC01C8">
        <w:t>l</w:t>
      </w:r>
      <w:r w:rsidRPr="00FC01C8">
        <w:t>es mesures préparatoires</w:t>
      </w:r>
      <w:r w:rsidR="00DF3A7B" w:rsidRPr="00FC01C8">
        <w:t xml:space="preserve"> suivantes peuvent être prises pour faciliter le processus</w:t>
      </w:r>
      <w:r w:rsidRPr="00FC01C8">
        <w:t> :</w:t>
      </w:r>
    </w:p>
    <w:p w14:paraId="41349A01" w14:textId="0883168C" w:rsidR="000A4024" w:rsidRPr="00FC01C8" w:rsidRDefault="000A4024" w:rsidP="00DF3A7B">
      <w:pPr>
        <w:pStyle w:val="Heading3"/>
      </w:pPr>
      <w:r w:rsidRPr="00FC01C8">
        <w:t>Conven</w:t>
      </w:r>
      <w:r w:rsidR="00DF3A7B" w:rsidRPr="00FC01C8">
        <w:t>ir</w:t>
      </w:r>
      <w:r w:rsidRPr="00FC01C8">
        <w:t xml:space="preserve"> des rôles, des responsabilités et des </w:t>
      </w:r>
      <w:r w:rsidR="00DF3A7B" w:rsidRPr="00FC01C8">
        <w:t>méthodes</w:t>
      </w:r>
      <w:r w:rsidRPr="00FC01C8">
        <w:t xml:space="preserve"> de travail</w:t>
      </w:r>
    </w:p>
    <w:p w14:paraId="1A04E039" w14:textId="6A6506D0" w:rsidR="000A4024" w:rsidRPr="00FC01C8" w:rsidRDefault="000A4024" w:rsidP="00777ACF">
      <w:r w:rsidRPr="00FC01C8">
        <w:t xml:space="preserve">La coopération avec les autorités locales devrait être assurée. Dans certains cas, il est conseillé de procéder à </w:t>
      </w:r>
      <w:r w:rsidR="00777ACF" w:rsidRPr="00FC01C8">
        <w:t>l’enregistrement</w:t>
      </w:r>
      <w:r w:rsidRPr="00FC01C8">
        <w:t xml:space="preserve"> en partenariat avec l</w:t>
      </w:r>
      <w:r w:rsidR="009039EE" w:rsidRPr="00FC01C8">
        <w:t>’</w:t>
      </w:r>
      <w:r w:rsidRPr="00FC01C8">
        <w:t xml:space="preserve">administration locale, voire dans ses locaux, par exemple pour des raisons de sécurité. </w:t>
      </w:r>
    </w:p>
    <w:p w14:paraId="481AA59A" w14:textId="0F2E6283" w:rsidR="000A4024" w:rsidRPr="00FC01C8" w:rsidRDefault="000A4024" w:rsidP="00777ACF">
      <w:r w:rsidRPr="00FC01C8">
        <w:t xml:space="preserve">Il est important de définir qui </w:t>
      </w:r>
      <w:r w:rsidR="003D7EB4" w:rsidRPr="00FC01C8">
        <w:t>recueille</w:t>
      </w:r>
      <w:r w:rsidRPr="00FC01C8">
        <w:t>r</w:t>
      </w:r>
      <w:r w:rsidR="003D7EB4" w:rsidRPr="00FC01C8">
        <w:t xml:space="preserve">a et </w:t>
      </w:r>
      <w:r w:rsidRPr="00FC01C8">
        <w:t>consigner</w:t>
      </w:r>
      <w:r w:rsidR="003D7EB4" w:rsidRPr="00FC01C8">
        <w:t xml:space="preserve">a les </w:t>
      </w:r>
      <w:r w:rsidR="00777ACF" w:rsidRPr="00FC01C8">
        <w:t>informations</w:t>
      </w:r>
      <w:r w:rsidR="003D7EB4" w:rsidRPr="00FC01C8">
        <w:t xml:space="preserve"> et de quelle manière.</w:t>
      </w:r>
      <w:r w:rsidRPr="00FC01C8">
        <w:t xml:space="preserve"> </w:t>
      </w:r>
      <w:r w:rsidR="00777ACF" w:rsidRPr="00FC01C8">
        <w:t>Au moment de prendre cette</w:t>
      </w:r>
      <w:r w:rsidRPr="00FC01C8">
        <w:t xml:space="preserve"> décision, </w:t>
      </w:r>
      <w:r w:rsidR="00777ACF" w:rsidRPr="00FC01C8">
        <w:t>il faut garder à l’esprit le fait</w:t>
      </w:r>
      <w:r w:rsidRPr="00FC01C8">
        <w:t xml:space="preserve"> que, dans certains cas, les informations relatives aux bénéficiaires peuvent être partagées avec d</w:t>
      </w:r>
      <w:r w:rsidR="009039EE" w:rsidRPr="00FC01C8">
        <w:t>’</w:t>
      </w:r>
      <w:r w:rsidRPr="00FC01C8">
        <w:t xml:space="preserve">autres </w:t>
      </w:r>
      <w:r w:rsidR="00777ACF" w:rsidRPr="00FC01C8">
        <w:t>organisations</w:t>
      </w:r>
      <w:r w:rsidRPr="00FC01C8">
        <w:t xml:space="preserve"> et </w:t>
      </w:r>
      <w:r w:rsidR="00777ACF" w:rsidRPr="00FC01C8">
        <w:t>prestataires</w:t>
      </w:r>
      <w:r w:rsidRPr="00FC01C8">
        <w:t xml:space="preserve"> de services.</w:t>
      </w:r>
    </w:p>
    <w:p w14:paraId="414FD5F1" w14:textId="77777777" w:rsidR="000A4024" w:rsidRPr="00FC01C8" w:rsidRDefault="000A4024" w:rsidP="00B36D76">
      <w:pPr>
        <w:pStyle w:val="Heading3"/>
      </w:pPr>
      <w:r w:rsidRPr="00FC01C8">
        <w:t>Définir le type et le niveau des informations à collecter</w:t>
      </w:r>
    </w:p>
    <w:p w14:paraId="2ECF65F4" w14:textId="3B6E8861" w:rsidR="000A4024" w:rsidRPr="00FC01C8" w:rsidRDefault="000A4024" w:rsidP="00777ACF">
      <w:r w:rsidRPr="00FC01C8">
        <w:t>Le type d</w:t>
      </w:r>
      <w:r w:rsidR="009039EE" w:rsidRPr="00FC01C8">
        <w:t>’</w:t>
      </w:r>
      <w:r w:rsidRPr="00FC01C8">
        <w:t xml:space="preserve">informations à </w:t>
      </w:r>
      <w:r w:rsidR="00777ACF" w:rsidRPr="00FC01C8">
        <w:t>collecter</w:t>
      </w:r>
      <w:r w:rsidRPr="00FC01C8">
        <w:t xml:space="preserve"> pour l</w:t>
      </w:r>
      <w:r w:rsidR="009039EE" w:rsidRPr="00FC01C8">
        <w:t>’</w:t>
      </w:r>
      <w:r w:rsidRPr="00FC01C8">
        <w:t>identificatio</w:t>
      </w:r>
      <w:r w:rsidR="00643975">
        <w:t>n des bénéficiaires peut varier</w:t>
      </w:r>
      <w:r w:rsidRPr="00FC01C8">
        <w:t xml:space="preserve"> en fonction du contexte, mais comprend généralement : les prénom et nom du chef de </w:t>
      </w:r>
      <w:r w:rsidR="006D60DC" w:rsidRPr="00FC01C8">
        <w:t>ménage</w:t>
      </w:r>
      <w:r w:rsidRPr="00FC01C8">
        <w:t xml:space="preserve"> (ou du membre du ménage bénéficiaire désigné pour </w:t>
      </w:r>
      <w:r w:rsidR="006D60DC" w:rsidRPr="00FC01C8">
        <w:t>recevoir</w:t>
      </w:r>
      <w:r w:rsidRPr="00FC01C8">
        <w:t xml:space="preserve"> le</w:t>
      </w:r>
      <w:r w:rsidR="00777ACF" w:rsidRPr="00FC01C8">
        <w:t>s</w:t>
      </w:r>
      <w:r w:rsidRPr="00FC01C8">
        <w:t xml:space="preserve"> transfert</w:t>
      </w:r>
      <w:r w:rsidR="00777ACF" w:rsidRPr="00FC01C8">
        <w:t>s</w:t>
      </w:r>
      <w:r w:rsidRPr="00FC01C8">
        <w:t xml:space="preserve"> </w:t>
      </w:r>
      <w:r w:rsidR="006D60DC" w:rsidRPr="00FC01C8">
        <w:t>monétaire</w:t>
      </w:r>
      <w:r w:rsidR="00777ACF" w:rsidRPr="00FC01C8">
        <w:t>s</w:t>
      </w:r>
      <w:r w:rsidRPr="00FC01C8">
        <w:t xml:space="preserve">), le nombre de membres </w:t>
      </w:r>
      <w:r w:rsidR="006D60DC" w:rsidRPr="00FC01C8">
        <w:t>du foyer</w:t>
      </w:r>
      <w:r w:rsidRPr="00FC01C8">
        <w:t>, et l</w:t>
      </w:r>
      <w:r w:rsidR="009039EE" w:rsidRPr="00FC01C8">
        <w:t>’</w:t>
      </w:r>
      <w:r w:rsidRPr="00FC01C8">
        <w:t>adresse ou le lieu de résidenc</w:t>
      </w:r>
      <w:r w:rsidR="00777ACF" w:rsidRPr="00FC01C8">
        <w:t xml:space="preserve">e permanente et/ou temporaire. </w:t>
      </w:r>
      <w:r w:rsidRPr="00FC01C8">
        <w:t xml:space="preserve">Dans les situations où de multiples distributions et/ou des programmes à plus long terme sont prévus, il peut être conseillé de recueillir des informations supplémentaires </w:t>
      </w:r>
      <w:r w:rsidR="00777ACF" w:rsidRPr="00FC01C8">
        <w:t>sur</w:t>
      </w:r>
      <w:r w:rsidRPr="00FC01C8">
        <w:t xml:space="preserve"> les membres de la famille tel</w:t>
      </w:r>
      <w:r w:rsidR="00643975">
        <w:t>le</w:t>
      </w:r>
      <w:r w:rsidRPr="00FC01C8">
        <w:t>s que : le nom, le sexe, l</w:t>
      </w:r>
      <w:r w:rsidR="009039EE" w:rsidRPr="00FC01C8">
        <w:t>’</w:t>
      </w:r>
      <w:r w:rsidRPr="00FC01C8">
        <w:t xml:space="preserve">âge, </w:t>
      </w:r>
      <w:r w:rsidR="00777ACF" w:rsidRPr="00FC01C8">
        <w:t>le numéro</w:t>
      </w:r>
      <w:r w:rsidRPr="00FC01C8">
        <w:t xml:space="preserve"> d</w:t>
      </w:r>
      <w:r w:rsidR="009039EE" w:rsidRPr="00FC01C8">
        <w:t>’</w:t>
      </w:r>
      <w:r w:rsidR="00777ACF" w:rsidRPr="00FC01C8">
        <w:t>identité national</w:t>
      </w:r>
      <w:r w:rsidRPr="00FC01C8">
        <w:t xml:space="preserve"> et la date de l</w:t>
      </w:r>
      <w:r w:rsidR="009039EE" w:rsidRPr="00FC01C8">
        <w:t>’</w:t>
      </w:r>
      <w:r w:rsidRPr="00FC01C8">
        <w:t xml:space="preserve">identification. </w:t>
      </w:r>
    </w:p>
    <w:p w14:paraId="65870E97" w14:textId="3C23BA13" w:rsidR="000A4024" w:rsidRPr="00FC01C8" w:rsidRDefault="000A4024" w:rsidP="00777ACF">
      <w:r w:rsidRPr="00FC01C8">
        <w:t xml:space="preserve">Il peut être utile de se renseigner sur les règlements financiers applicables dans le pays </w:t>
      </w:r>
      <w:r w:rsidR="00777ACF" w:rsidRPr="00FC01C8">
        <w:t>concerné et</w:t>
      </w:r>
      <w:r w:rsidRPr="00FC01C8">
        <w:t xml:space="preserve"> </w:t>
      </w:r>
      <w:r w:rsidR="00777ACF" w:rsidRPr="00FC01C8">
        <w:t>sur</w:t>
      </w:r>
      <w:r w:rsidRPr="00FC01C8">
        <w:t xml:space="preserve"> les informations (et la documentation) que les bénéficiaires peuvent être tenus de fournir. En l</w:t>
      </w:r>
      <w:r w:rsidR="009039EE" w:rsidRPr="00FC01C8">
        <w:t>’</w:t>
      </w:r>
      <w:r w:rsidRPr="00FC01C8">
        <w:t xml:space="preserve">absence de ces informations, reportez-vous aux exigences des </w:t>
      </w:r>
      <w:r w:rsidR="00777ACF" w:rsidRPr="00FC01C8">
        <w:t>prestataires</w:t>
      </w:r>
      <w:r w:rsidRPr="00FC01C8">
        <w:t xml:space="preserve"> de services.</w:t>
      </w:r>
    </w:p>
    <w:p w14:paraId="0947A59A" w14:textId="77777777" w:rsidR="000A4024" w:rsidRPr="00FC01C8" w:rsidRDefault="000A4024" w:rsidP="00B36D76">
      <w:pPr>
        <w:pStyle w:val="Heading3"/>
      </w:pPr>
      <w:r w:rsidRPr="00FC01C8">
        <w:t>Créer une base de données</w:t>
      </w:r>
    </w:p>
    <w:p w14:paraId="1CA8CA42" w14:textId="3F4A826E" w:rsidR="000A4024" w:rsidRPr="00FC01C8" w:rsidRDefault="000A4024" w:rsidP="00F41942">
      <w:pPr>
        <w:rPr>
          <w:color w:val="231F20"/>
        </w:rPr>
      </w:pPr>
      <w:r w:rsidRPr="00FC01C8">
        <w:t xml:space="preserve">Les bases de données électroniques permettent </w:t>
      </w:r>
      <w:r w:rsidR="00777ACF" w:rsidRPr="00FC01C8">
        <w:t>d’assurer un</w:t>
      </w:r>
      <w:r w:rsidRPr="00FC01C8">
        <w:t xml:space="preserve"> suivi continu des bénéficiaires et </w:t>
      </w:r>
      <w:r w:rsidR="00F41942" w:rsidRPr="00FC01C8">
        <w:t xml:space="preserve">de repérer immédiatement </w:t>
      </w:r>
      <w:r w:rsidRPr="00FC01C8">
        <w:t>les bénéficiaires</w:t>
      </w:r>
      <w:r w:rsidR="00F41942" w:rsidRPr="00FC01C8">
        <w:t xml:space="preserve"> qui tentent de s’enregistrer</w:t>
      </w:r>
      <w:r w:rsidRPr="00FC01C8">
        <w:t xml:space="preserve"> plus d</w:t>
      </w:r>
      <w:r w:rsidR="009039EE" w:rsidRPr="00FC01C8">
        <w:t>’</w:t>
      </w:r>
      <w:r w:rsidR="00643975">
        <w:t>une fois. Non seulement</w:t>
      </w:r>
      <w:r w:rsidRPr="00FC01C8">
        <w:t xml:space="preserve"> elles réduisent les erreurs de saisie et de duplication, mais </w:t>
      </w:r>
      <w:r w:rsidR="00F41942" w:rsidRPr="00FC01C8">
        <w:t xml:space="preserve">aussi </w:t>
      </w:r>
      <w:r w:rsidRPr="00FC01C8">
        <w:t xml:space="preserve">elles facilitent </w:t>
      </w:r>
      <w:r w:rsidR="00F41942" w:rsidRPr="00FC01C8">
        <w:t xml:space="preserve">la mise à jour et </w:t>
      </w:r>
      <w:r w:rsidRPr="00FC01C8">
        <w:t>la sauvegarde</w:t>
      </w:r>
      <w:r w:rsidR="00F41942" w:rsidRPr="00FC01C8">
        <w:t xml:space="preserve"> des données</w:t>
      </w:r>
      <w:r w:rsidRPr="00FC01C8">
        <w:t xml:space="preserve">, </w:t>
      </w:r>
      <w:r w:rsidR="00F41942" w:rsidRPr="00FC01C8">
        <w:t>le compte rendu</w:t>
      </w:r>
      <w:r w:rsidRPr="00FC01C8">
        <w:t>, le suivi et les contrôles d</w:t>
      </w:r>
      <w:r w:rsidR="009039EE" w:rsidRPr="00FC01C8">
        <w:t>’</w:t>
      </w:r>
      <w:r w:rsidRPr="00FC01C8">
        <w:t>audit.</w:t>
      </w:r>
    </w:p>
    <w:p w14:paraId="1263FA21" w14:textId="2F3FFBC5" w:rsidR="000A4024" w:rsidRPr="00FC01C8" w:rsidRDefault="000A4024" w:rsidP="00F41942">
      <w:r w:rsidRPr="00FC01C8">
        <w:t>Les bases de données électroniques peuvent être alimentées soit directement lors de l</w:t>
      </w:r>
      <w:r w:rsidR="009039EE" w:rsidRPr="00FC01C8">
        <w:t>’</w:t>
      </w:r>
      <w:r w:rsidR="00F41942" w:rsidRPr="00FC01C8">
        <w:t>enregistrement</w:t>
      </w:r>
      <w:r w:rsidRPr="00FC01C8">
        <w:t xml:space="preserve">, soit </w:t>
      </w:r>
      <w:r w:rsidR="008D099F" w:rsidRPr="00FC01C8">
        <w:t>ultérieurement</w:t>
      </w:r>
      <w:r w:rsidRPr="00FC01C8">
        <w:t xml:space="preserve">. Cela dépendra </w:t>
      </w:r>
      <w:r w:rsidR="00F41942" w:rsidRPr="00FC01C8">
        <w:t>des outils que vous utiliserez pour collecter les données</w:t>
      </w:r>
      <w:r w:rsidRPr="00FC01C8">
        <w:t> :</w:t>
      </w:r>
    </w:p>
    <w:p w14:paraId="207F87A7" w14:textId="27A73CE6" w:rsidR="000A4024" w:rsidRPr="00FC01C8" w:rsidRDefault="00B65C9D" w:rsidP="00F41942">
      <w:pPr>
        <w:pStyle w:val="Bullet2"/>
      </w:pPr>
      <w:r w:rsidRPr="00FC01C8">
        <w:rPr>
          <w:u w:val="single"/>
        </w:rPr>
        <w:t>dispositif en ligne</w:t>
      </w:r>
      <w:r w:rsidR="00F41942" w:rsidRPr="00FC01C8">
        <w:t> :</w:t>
      </w:r>
      <w:r w:rsidRPr="00FC01C8">
        <w:t xml:space="preserve"> </w:t>
      </w:r>
      <w:r w:rsidR="00F41942" w:rsidRPr="00FC01C8">
        <w:t>possibilité de</w:t>
      </w:r>
      <w:r w:rsidRPr="00FC01C8">
        <w:t xml:space="preserve"> mettre </w:t>
      </w:r>
      <w:r w:rsidR="00F41942" w:rsidRPr="00FC01C8">
        <w:t xml:space="preserve">directement </w:t>
      </w:r>
      <w:r w:rsidRPr="00FC01C8">
        <w:t xml:space="preserve">à jour la base de données électronique. </w:t>
      </w:r>
      <w:r w:rsidR="00F41942" w:rsidRPr="00FC01C8">
        <w:t>Exige d’avoir accès à</w:t>
      </w:r>
      <w:r w:rsidRPr="00FC01C8">
        <w:t xml:space="preserve"> une connexion Internet. </w:t>
      </w:r>
    </w:p>
    <w:p w14:paraId="5783C5F8" w14:textId="31BB67E2" w:rsidR="000A4024" w:rsidRPr="00FC01C8" w:rsidRDefault="00B65C9D" w:rsidP="00F41942">
      <w:pPr>
        <w:pStyle w:val="Bullet2"/>
      </w:pPr>
      <w:r w:rsidRPr="00FC01C8">
        <w:rPr>
          <w:u w:val="single"/>
        </w:rPr>
        <w:t>dispositif hors ligne</w:t>
      </w:r>
      <w:r w:rsidR="00F41942" w:rsidRPr="00FC01C8">
        <w:t> :</w:t>
      </w:r>
      <w:r w:rsidRPr="00FC01C8">
        <w:t xml:space="preserve"> </w:t>
      </w:r>
      <w:r w:rsidR="00F41942" w:rsidRPr="00FC01C8">
        <w:t>possibilité d’</w:t>
      </w:r>
      <w:r w:rsidRPr="00FC01C8">
        <w:t xml:space="preserve">utiliser </w:t>
      </w:r>
      <w:r w:rsidR="00F41942" w:rsidRPr="00FC01C8">
        <w:t>un formulaire</w:t>
      </w:r>
      <w:r w:rsidRPr="00FC01C8">
        <w:t xml:space="preserve"> électronique et </w:t>
      </w:r>
      <w:r w:rsidR="00F41942" w:rsidRPr="00FC01C8">
        <w:t xml:space="preserve">de </w:t>
      </w:r>
      <w:r w:rsidRPr="00FC01C8">
        <w:t xml:space="preserve">télécharger </w:t>
      </w:r>
      <w:r w:rsidR="00F41942" w:rsidRPr="00FC01C8">
        <w:t xml:space="preserve">plus tard </w:t>
      </w:r>
      <w:r w:rsidRPr="00FC01C8">
        <w:t xml:space="preserve">les informations vers la base de données électronique. </w:t>
      </w:r>
      <w:r w:rsidR="00F41942" w:rsidRPr="00FC01C8">
        <w:t xml:space="preserve">Exige de disposer </w:t>
      </w:r>
      <w:r w:rsidR="008D099F" w:rsidRPr="00FC01C8">
        <w:t>d’</w:t>
      </w:r>
      <w:r w:rsidRPr="00FC01C8">
        <w:t>une source d</w:t>
      </w:r>
      <w:r w:rsidR="009039EE" w:rsidRPr="00FC01C8">
        <w:t>’</w:t>
      </w:r>
      <w:r w:rsidR="00F41942" w:rsidRPr="00FC01C8">
        <w:t>électricité</w:t>
      </w:r>
      <w:r w:rsidRPr="00FC01C8">
        <w:t xml:space="preserve"> ou de batteries longue durée.</w:t>
      </w:r>
    </w:p>
    <w:p w14:paraId="754E8CB0" w14:textId="78EBCA51" w:rsidR="000A4024" w:rsidRPr="00FC01C8" w:rsidRDefault="00F41942" w:rsidP="00F41942">
      <w:pPr>
        <w:pStyle w:val="Bullet2"/>
      </w:pPr>
      <w:r w:rsidRPr="00FC01C8">
        <w:rPr>
          <w:u w:val="single"/>
        </w:rPr>
        <w:t>formulaire papier</w:t>
      </w:r>
      <w:r w:rsidRPr="00FC01C8">
        <w:t> :</w:t>
      </w:r>
      <w:r w:rsidR="000A4024" w:rsidRPr="00FC01C8">
        <w:t xml:space="preserve"> </w:t>
      </w:r>
      <w:r w:rsidRPr="00FC01C8">
        <w:t>possibilité de noter les informations sur des formulaires papiers et de les saisir ultérieurement</w:t>
      </w:r>
      <w:r w:rsidR="000A4024" w:rsidRPr="00FC01C8">
        <w:t xml:space="preserve"> dans la base de données électronique lorsque </w:t>
      </w:r>
      <w:r w:rsidRPr="00FC01C8">
        <w:t>vous disposerez d’un accès à Internet</w:t>
      </w:r>
      <w:r w:rsidR="000A4024" w:rsidRPr="00FC01C8">
        <w:t xml:space="preserve">. </w:t>
      </w:r>
    </w:p>
    <w:p w14:paraId="617834B8" w14:textId="62105177" w:rsidR="000A4024" w:rsidRPr="00FC01C8" w:rsidRDefault="00F41942" w:rsidP="00F41942">
      <w:pPr>
        <w:pStyle w:val="Heading3"/>
      </w:pPr>
      <w:r w:rsidRPr="00FC01C8">
        <w:t>Élaborer</w:t>
      </w:r>
      <w:r w:rsidR="000A4024" w:rsidRPr="00FC01C8">
        <w:t xml:space="preserve"> des formulaires d</w:t>
      </w:r>
      <w:r w:rsidR="009039EE" w:rsidRPr="00FC01C8">
        <w:t>’</w:t>
      </w:r>
      <w:r w:rsidRPr="00FC01C8">
        <w:t>enregistrement</w:t>
      </w:r>
    </w:p>
    <w:p w14:paraId="5B8B6F8D" w14:textId="525D5FE9" w:rsidR="000A4024" w:rsidRPr="00FC01C8" w:rsidRDefault="00D65282" w:rsidP="008803FB">
      <w:r w:rsidRPr="00FC01C8">
        <w:t xml:space="preserve">Il est important d’élaborer </w:t>
      </w:r>
      <w:r w:rsidR="000A4024" w:rsidRPr="00FC01C8">
        <w:t xml:space="preserve">un formulaire </w:t>
      </w:r>
      <w:r w:rsidRPr="00FC01C8">
        <w:t>aligné sur la structure de la base</w:t>
      </w:r>
      <w:r w:rsidR="000A4024" w:rsidRPr="00FC01C8">
        <w:t xml:space="preserve"> de données. Le formulaire peut être imprimé directement depuis la base de données. Il doit </w:t>
      </w:r>
      <w:r w:rsidR="004A718D" w:rsidRPr="00FC01C8">
        <w:t xml:space="preserve">pouvoir </w:t>
      </w:r>
      <w:r w:rsidR="000A4024" w:rsidRPr="00FC01C8">
        <w:t>être facilement complété par les équipes d</w:t>
      </w:r>
      <w:r w:rsidR="009039EE" w:rsidRPr="00FC01C8">
        <w:t>’</w:t>
      </w:r>
      <w:r w:rsidR="000B566E" w:rsidRPr="00FC01C8">
        <w:t>enregistrement</w:t>
      </w:r>
      <w:r w:rsidR="000A4024" w:rsidRPr="00FC01C8">
        <w:t xml:space="preserve">. Il doit être testé, et une fois approuvé, ne devrait </w:t>
      </w:r>
      <w:r w:rsidR="000B566E" w:rsidRPr="00FC01C8">
        <w:t>plus</w:t>
      </w:r>
      <w:r w:rsidR="000A4024" w:rsidRPr="00FC01C8">
        <w:t xml:space="preserve"> être modifié. </w:t>
      </w:r>
      <w:r w:rsidR="008803FB" w:rsidRPr="00FC01C8">
        <w:t xml:space="preserve">Le modèle de liste des </w:t>
      </w:r>
      <w:r w:rsidR="000A4024" w:rsidRPr="00FC01C8">
        <w:t>bénéficiaires donne une idée de ce à quoi un tel formulaire peut ressembler.</w:t>
      </w:r>
    </w:p>
    <w:p w14:paraId="0F4365F8" w14:textId="1638FEF8" w:rsidR="000A4024" w:rsidRPr="00FC01C8" w:rsidRDefault="000A4024" w:rsidP="008803FB">
      <w:pPr>
        <w:pStyle w:val="Heading3"/>
      </w:pPr>
      <w:r w:rsidRPr="00FC01C8">
        <w:t>Organiser l</w:t>
      </w:r>
      <w:r w:rsidR="009039EE" w:rsidRPr="00FC01C8">
        <w:t>’</w:t>
      </w:r>
      <w:r w:rsidR="008803FB" w:rsidRPr="00FC01C8">
        <w:t>enregistrement</w:t>
      </w:r>
    </w:p>
    <w:p w14:paraId="27AB843B" w14:textId="60E5875D" w:rsidR="000A4024" w:rsidRPr="00FC01C8" w:rsidRDefault="000A4024" w:rsidP="00485DB9">
      <w:r w:rsidRPr="00FC01C8">
        <w:t>Le nombre de bénéficiaires qu</w:t>
      </w:r>
      <w:r w:rsidR="009039EE" w:rsidRPr="00FC01C8">
        <w:t>’</w:t>
      </w:r>
      <w:r w:rsidRPr="00FC01C8">
        <w:t>il est possible d</w:t>
      </w:r>
      <w:r w:rsidR="009039EE" w:rsidRPr="00FC01C8">
        <w:t>’</w:t>
      </w:r>
      <w:r w:rsidR="008803FB" w:rsidRPr="00FC01C8">
        <w:t>enregistrer</w:t>
      </w:r>
      <w:r w:rsidRPr="00FC01C8">
        <w:t xml:space="preserve"> dans un laps de temps donné détermine l</w:t>
      </w:r>
      <w:r w:rsidR="004A718D" w:rsidRPr="00FC01C8">
        <w:t>a durée de ce processus, l</w:t>
      </w:r>
      <w:r w:rsidRPr="00FC01C8">
        <w:t>es besoins en termes d</w:t>
      </w:r>
      <w:r w:rsidR="009039EE" w:rsidRPr="00FC01C8">
        <w:t>’</w:t>
      </w:r>
      <w:r w:rsidRPr="00FC01C8">
        <w:t xml:space="preserve">espace et les effectifs de personnel nécessaires. </w:t>
      </w:r>
      <w:r w:rsidR="008803FB" w:rsidRPr="00FC01C8">
        <w:t>Il faut calculer le</w:t>
      </w:r>
      <w:r w:rsidRPr="00FC01C8">
        <w:t xml:space="preserve"> temps requis pour </w:t>
      </w:r>
      <w:r w:rsidR="008803FB" w:rsidRPr="00FC01C8">
        <w:t xml:space="preserve">mener à bien le processus dans </w:t>
      </w:r>
      <w:r w:rsidRPr="00FC01C8">
        <w:t>les différents sites d</w:t>
      </w:r>
      <w:r w:rsidR="009039EE" w:rsidRPr="00FC01C8">
        <w:t>’</w:t>
      </w:r>
      <w:r w:rsidR="008803FB" w:rsidRPr="00FC01C8">
        <w:t>enregistrement</w:t>
      </w:r>
      <w:r w:rsidRPr="00FC01C8">
        <w:t xml:space="preserve"> </w:t>
      </w:r>
      <w:r w:rsidR="004A718D" w:rsidRPr="00FC01C8">
        <w:t>et</w:t>
      </w:r>
      <w:r w:rsidR="008803FB" w:rsidRPr="00FC01C8">
        <w:t xml:space="preserve"> choisir</w:t>
      </w:r>
      <w:r w:rsidRPr="00FC01C8">
        <w:t xml:space="preserve"> les jours qui conviennent le mieux (les jours fériés officiels/fêtes religieuses ou jours de marché sont à éviter). </w:t>
      </w:r>
      <w:r w:rsidR="008803FB" w:rsidRPr="00FC01C8">
        <w:t>Ces estimations peuvent être affinées en menant un processus d’enregistrement test</w:t>
      </w:r>
      <w:r w:rsidRPr="00FC01C8">
        <w:t xml:space="preserve">. Fixer une date limite pour </w:t>
      </w:r>
      <w:r w:rsidR="008803FB" w:rsidRPr="00FC01C8">
        <w:t>l’enregistrement</w:t>
      </w:r>
      <w:r w:rsidRPr="00FC01C8">
        <w:t>.</w:t>
      </w:r>
    </w:p>
    <w:p w14:paraId="79FC9A8E" w14:textId="6B2A53A8" w:rsidR="000A4024" w:rsidRPr="00FC01C8" w:rsidRDefault="00935836" w:rsidP="00362DB2">
      <w:pPr>
        <w:pStyle w:val="Bullet2"/>
        <w:rPr>
          <w:i/>
        </w:rPr>
      </w:pPr>
      <w:r w:rsidRPr="00FC01C8">
        <w:rPr>
          <w:i/>
          <w:u w:val="single"/>
        </w:rPr>
        <w:t>Choisir les sites d</w:t>
      </w:r>
      <w:r w:rsidR="009039EE" w:rsidRPr="00FC01C8">
        <w:rPr>
          <w:i/>
          <w:u w:val="single"/>
        </w:rPr>
        <w:t>’</w:t>
      </w:r>
      <w:r w:rsidR="008803FB" w:rsidRPr="00FC01C8">
        <w:rPr>
          <w:i/>
          <w:u w:val="single"/>
        </w:rPr>
        <w:t>enregistrement</w:t>
      </w:r>
      <w:r w:rsidRPr="00FC01C8">
        <w:rPr>
          <w:i/>
        </w:rPr>
        <w:t xml:space="preserve"> : </w:t>
      </w:r>
      <w:r w:rsidRPr="00FC01C8">
        <w:t xml:space="preserve">Des sites appropriés </w:t>
      </w:r>
      <w:r w:rsidR="008803FB" w:rsidRPr="00FC01C8">
        <w:t xml:space="preserve">qui attireront </w:t>
      </w:r>
      <w:r w:rsidRPr="00FC01C8">
        <w:t xml:space="preserve">un nombre gérable de bénéficiaires potentiels doivent être </w:t>
      </w:r>
      <w:r w:rsidR="004A718D" w:rsidRPr="00FC01C8">
        <w:t>identifiés</w:t>
      </w:r>
      <w:r w:rsidRPr="00FC01C8">
        <w:t xml:space="preserve">. La formation </w:t>
      </w:r>
      <w:r w:rsidR="008803FB" w:rsidRPr="00FC01C8">
        <w:t xml:space="preserve">d’une </w:t>
      </w:r>
      <w:r w:rsidRPr="00FC01C8">
        <w:t xml:space="preserve">foule, la confusion et </w:t>
      </w:r>
      <w:r w:rsidR="00485DB9" w:rsidRPr="00FC01C8">
        <w:t>les pressions</w:t>
      </w:r>
      <w:r w:rsidRPr="00FC01C8">
        <w:t xml:space="preserve"> peuvent être évitées </w:t>
      </w:r>
      <w:r w:rsidR="00485DB9" w:rsidRPr="00FC01C8">
        <w:t xml:space="preserve">en prenant </w:t>
      </w:r>
      <w:r w:rsidRPr="00FC01C8">
        <w:t xml:space="preserve">des mesures </w:t>
      </w:r>
      <w:r w:rsidR="00485DB9" w:rsidRPr="00FC01C8">
        <w:t>appropriées</w:t>
      </w:r>
      <w:r w:rsidRPr="00FC01C8">
        <w:t xml:space="preserve">. Des mesures logistiques basées sur une liste de contrôle doivent être </w:t>
      </w:r>
      <w:r w:rsidR="00485DB9" w:rsidRPr="00FC01C8">
        <w:t>mises en place le</w:t>
      </w:r>
      <w:r w:rsidRPr="00FC01C8">
        <w:t xml:space="preserve"> jour de l</w:t>
      </w:r>
      <w:r w:rsidR="009039EE" w:rsidRPr="00FC01C8">
        <w:t>’</w:t>
      </w:r>
      <w:r w:rsidR="00485DB9" w:rsidRPr="00FC01C8">
        <w:t>enregistrement avant l’arrivée des bénéficiaires</w:t>
      </w:r>
      <w:r w:rsidR="004A718D" w:rsidRPr="00FC01C8">
        <w:t xml:space="preserve"> (par ex</w:t>
      </w:r>
      <w:r w:rsidR="00485DB9" w:rsidRPr="00FC01C8">
        <w:t>.</w:t>
      </w:r>
      <w:r w:rsidR="004A718D" w:rsidRPr="00FC01C8">
        <w:t>,</w:t>
      </w:r>
      <w:r w:rsidRPr="00FC01C8">
        <w:t xml:space="preserve"> préparation de l</w:t>
      </w:r>
      <w:r w:rsidR="009039EE" w:rsidRPr="00FC01C8">
        <w:t>’</w:t>
      </w:r>
      <w:r w:rsidRPr="00FC01C8">
        <w:t xml:space="preserve">espace, transport du personnel </w:t>
      </w:r>
      <w:r w:rsidR="00485DB9" w:rsidRPr="00FC01C8">
        <w:t>chargé de l’enregistrement</w:t>
      </w:r>
      <w:r w:rsidRPr="00FC01C8">
        <w:t xml:space="preserve">, </w:t>
      </w:r>
      <w:r w:rsidR="00485DB9" w:rsidRPr="00FC01C8">
        <w:t>mise à disposition du</w:t>
      </w:r>
      <w:r w:rsidRPr="00FC01C8">
        <w:t xml:space="preserve"> matériel et </w:t>
      </w:r>
      <w:r w:rsidR="007448FC">
        <w:t>d</w:t>
      </w:r>
      <w:r w:rsidRPr="00FC01C8">
        <w:t>es formulaires nécessaires,</w:t>
      </w:r>
      <w:r w:rsidR="00485DB9" w:rsidRPr="00FC01C8">
        <w:t xml:space="preserve"> et évaluation des risques pour la séc</w:t>
      </w:r>
      <w:r w:rsidRPr="00FC01C8">
        <w:t>urité).</w:t>
      </w:r>
    </w:p>
    <w:p w14:paraId="6AC23298" w14:textId="6EFACF0E" w:rsidR="000A4024" w:rsidRPr="00FC01C8" w:rsidRDefault="00485DB9" w:rsidP="00D678DF">
      <w:pPr>
        <w:pStyle w:val="Bullet2"/>
      </w:pPr>
      <w:r w:rsidRPr="00FC01C8">
        <w:rPr>
          <w:i/>
          <w:u w:val="single"/>
        </w:rPr>
        <w:t>Former les é</w:t>
      </w:r>
      <w:r w:rsidR="00B65C9D" w:rsidRPr="00FC01C8">
        <w:rPr>
          <w:i/>
          <w:u w:val="single"/>
        </w:rPr>
        <w:t>quipes</w:t>
      </w:r>
      <w:r w:rsidRPr="00FC01C8">
        <w:rPr>
          <w:i/>
          <w:u w:val="single"/>
        </w:rPr>
        <w:t xml:space="preserve"> chargées de l’enregistrement</w:t>
      </w:r>
      <w:r w:rsidR="00B65C9D" w:rsidRPr="00FC01C8">
        <w:rPr>
          <w:i/>
        </w:rPr>
        <w:t xml:space="preserve"> : </w:t>
      </w:r>
      <w:r w:rsidR="00B65C9D" w:rsidRPr="00FC01C8">
        <w:t xml:space="preserve">Du personnel supplémentaire peut être employé sur une base temporaire/à temps partiel. </w:t>
      </w:r>
      <w:r w:rsidR="00970494" w:rsidRPr="00FC01C8">
        <w:t>Sa</w:t>
      </w:r>
      <w:r w:rsidR="00B65C9D" w:rsidRPr="00FC01C8">
        <w:t xml:space="preserve"> formation est absolument nécessaire, et devrait couvrir </w:t>
      </w:r>
      <w:r w:rsidR="00970494" w:rsidRPr="00FC01C8">
        <w:t xml:space="preserve">la </w:t>
      </w:r>
      <w:r w:rsidR="0093753C" w:rsidRPr="00FC01C8">
        <w:t>collecte d’</w:t>
      </w:r>
      <w:r w:rsidR="00B65C9D" w:rsidRPr="00FC01C8">
        <w:t>information</w:t>
      </w:r>
      <w:r w:rsidR="00970494" w:rsidRPr="00FC01C8">
        <w:t>s</w:t>
      </w:r>
      <w:r w:rsidR="00B65C9D" w:rsidRPr="00FC01C8">
        <w:t xml:space="preserve"> pertinente</w:t>
      </w:r>
      <w:r w:rsidR="00970494" w:rsidRPr="00FC01C8">
        <w:t>s</w:t>
      </w:r>
      <w:r w:rsidR="00B65C9D" w:rsidRPr="00FC01C8">
        <w:t xml:space="preserve"> et </w:t>
      </w:r>
      <w:r w:rsidR="0093753C" w:rsidRPr="00FC01C8">
        <w:t>la saisie de ces</w:t>
      </w:r>
      <w:r w:rsidR="00B65C9D" w:rsidRPr="00FC01C8">
        <w:t xml:space="preserve"> données dans les formulaires, les responsabilités et les </w:t>
      </w:r>
      <w:r w:rsidR="0093753C" w:rsidRPr="00FC01C8">
        <w:t>procédures en cas de difficulté</w:t>
      </w:r>
      <w:r w:rsidR="00B65C9D" w:rsidRPr="00FC01C8">
        <w:t xml:space="preserve">. Un membre du personnel du programme </w:t>
      </w:r>
      <w:r w:rsidR="00D678DF" w:rsidRPr="00FC01C8">
        <w:t xml:space="preserve">doit </w:t>
      </w:r>
      <w:r w:rsidR="0093753C" w:rsidRPr="00FC01C8">
        <w:t>ass</w:t>
      </w:r>
      <w:r w:rsidR="00D678DF" w:rsidRPr="00FC01C8">
        <w:t>urer la liaison avec l’équipe et lui apporter soutien et</w:t>
      </w:r>
      <w:r w:rsidR="00B65C9D" w:rsidRPr="00FC01C8">
        <w:t xml:space="preserve"> </w:t>
      </w:r>
      <w:r w:rsidR="00D678DF" w:rsidRPr="00FC01C8">
        <w:t>supervision</w:t>
      </w:r>
      <w:r w:rsidR="00B65C9D" w:rsidRPr="00FC01C8">
        <w:t>. Les formulaires d</w:t>
      </w:r>
      <w:r w:rsidR="009039EE" w:rsidRPr="00FC01C8">
        <w:t>’</w:t>
      </w:r>
      <w:r w:rsidR="00D678DF" w:rsidRPr="00FC01C8">
        <w:t>enregistrement</w:t>
      </w:r>
      <w:r w:rsidR="00B65C9D" w:rsidRPr="00FC01C8">
        <w:t xml:space="preserve"> doivent être collectés régulièrement et </w:t>
      </w:r>
      <w:r w:rsidR="00D678DF" w:rsidRPr="00FC01C8">
        <w:t xml:space="preserve">faire l’objet d’un examen/d’une vérification (quantité, </w:t>
      </w:r>
      <w:r w:rsidR="00B65C9D" w:rsidRPr="00FC01C8">
        <w:t>qualité</w:t>
      </w:r>
      <w:r w:rsidR="00D678DF" w:rsidRPr="00FC01C8">
        <w:t>)</w:t>
      </w:r>
      <w:r w:rsidR="00B65C9D" w:rsidRPr="00FC01C8">
        <w:t xml:space="preserve"> et </w:t>
      </w:r>
      <w:r w:rsidR="00970494" w:rsidRPr="00FC01C8">
        <w:t>d’</w:t>
      </w:r>
      <w:r w:rsidR="00B65C9D" w:rsidRPr="00FC01C8">
        <w:t xml:space="preserve">observations </w:t>
      </w:r>
      <w:r w:rsidR="00970494" w:rsidRPr="00FC01C8">
        <w:t>éventuelles</w:t>
      </w:r>
      <w:r w:rsidR="00B65C9D" w:rsidRPr="00FC01C8">
        <w:t>.</w:t>
      </w:r>
    </w:p>
    <w:p w14:paraId="424F38D8" w14:textId="68C5D224" w:rsidR="00531048" w:rsidRPr="00FC01C8" w:rsidRDefault="000A4024" w:rsidP="008C360D">
      <w:pPr>
        <w:pStyle w:val="Bullet2"/>
        <w:rPr>
          <w:i/>
        </w:rPr>
      </w:pPr>
      <w:r w:rsidRPr="00FC01C8">
        <w:rPr>
          <w:i/>
          <w:u w:val="single"/>
        </w:rPr>
        <w:t>Préparer les communautés</w:t>
      </w:r>
      <w:r w:rsidRPr="00FC01C8">
        <w:t> : Ce processus vise</w:t>
      </w:r>
      <w:r w:rsidRPr="00FC01C8">
        <w:rPr>
          <w:i/>
        </w:rPr>
        <w:t xml:space="preserve"> </w:t>
      </w:r>
      <w:r w:rsidRPr="00FC01C8">
        <w:t>à</w:t>
      </w:r>
      <w:r w:rsidRPr="00FC01C8">
        <w:rPr>
          <w:i/>
        </w:rPr>
        <w:t xml:space="preserve"> </w:t>
      </w:r>
      <w:r w:rsidRPr="00FC01C8">
        <w:t xml:space="preserve">réduire les tensions que le processus </w:t>
      </w:r>
      <w:r w:rsidR="00D678DF" w:rsidRPr="00FC01C8">
        <w:t>d’</w:t>
      </w:r>
      <w:r w:rsidR="00AE782F" w:rsidRPr="00FC01C8">
        <w:t>enregistrement</w:t>
      </w:r>
      <w:r w:rsidRPr="00FC01C8">
        <w:t xml:space="preserve"> peut </w:t>
      </w:r>
      <w:r w:rsidR="00970494" w:rsidRPr="00FC01C8">
        <w:t>engendrer</w:t>
      </w:r>
      <w:r w:rsidRPr="00FC01C8">
        <w:t xml:space="preserve">, en particulier entre les bénéficiaires et </w:t>
      </w:r>
      <w:r w:rsidR="00970494" w:rsidRPr="00FC01C8">
        <w:t xml:space="preserve">les </w:t>
      </w:r>
      <w:r w:rsidRPr="00FC01C8">
        <w:t xml:space="preserve">non-bénéficiaires. Quelques jours avant le début de </w:t>
      </w:r>
      <w:r w:rsidR="00815743" w:rsidRPr="00FC01C8">
        <w:t>l’enregistrement</w:t>
      </w:r>
      <w:r w:rsidRPr="00FC01C8">
        <w:t xml:space="preserve">, une réunion </w:t>
      </w:r>
      <w:r w:rsidR="00815743" w:rsidRPr="00FC01C8">
        <w:t xml:space="preserve">communautaire peut être organisée pour échanger des informations sur le </w:t>
      </w:r>
      <w:r w:rsidRPr="00FC01C8">
        <w:t>proje</w:t>
      </w:r>
      <w:r w:rsidR="00571F21" w:rsidRPr="00FC01C8">
        <w:t>t et la méthodologie utilisée</w:t>
      </w:r>
      <w:r w:rsidRPr="00FC01C8">
        <w:t xml:space="preserve"> pour l</w:t>
      </w:r>
      <w:r w:rsidR="009039EE" w:rsidRPr="00FC01C8">
        <w:t>’</w:t>
      </w:r>
      <w:r w:rsidRPr="00FC01C8">
        <w:t>identification des bén</w:t>
      </w:r>
      <w:r w:rsidR="00571F21" w:rsidRPr="00FC01C8">
        <w:t>éficiaires. Explique</w:t>
      </w:r>
      <w:r w:rsidR="00815743" w:rsidRPr="00FC01C8">
        <w:t>z</w:t>
      </w:r>
      <w:r w:rsidR="00571F21" w:rsidRPr="00FC01C8">
        <w:t xml:space="preserve"> que seules les personnes</w:t>
      </w:r>
      <w:r w:rsidRPr="00FC01C8">
        <w:t xml:space="preserve"> admissibles à recevoir </w:t>
      </w:r>
      <w:r w:rsidR="00815743" w:rsidRPr="00FC01C8">
        <w:t>des</w:t>
      </w:r>
      <w:r w:rsidRPr="00FC01C8">
        <w:t xml:space="preserve"> transfert</w:t>
      </w:r>
      <w:r w:rsidR="00815743" w:rsidRPr="00FC01C8">
        <w:t>s monétaires</w:t>
      </w:r>
      <w:r w:rsidRPr="00FC01C8">
        <w:t xml:space="preserve"> seront </w:t>
      </w:r>
      <w:r w:rsidR="00815743" w:rsidRPr="00FC01C8">
        <w:t>enregistrées. Lors de la réunion, le nom</w:t>
      </w:r>
      <w:r w:rsidRPr="00FC01C8">
        <w:t xml:space="preserve"> de</w:t>
      </w:r>
      <w:r w:rsidR="008C360D">
        <w:t xml:space="preserve">s personnes à enregistrer peut être lu </w:t>
      </w:r>
      <w:r w:rsidRPr="00FC01C8">
        <w:t>et/ou affiché</w:t>
      </w:r>
      <w:bookmarkStart w:id="0" w:name="_GoBack"/>
      <w:bookmarkEnd w:id="0"/>
      <w:r w:rsidRPr="00FC01C8">
        <w:t xml:space="preserve"> dans un endroit approprié. Cela permet aux personnes </w:t>
      </w:r>
      <w:r w:rsidR="00927D89" w:rsidRPr="00FC01C8">
        <w:t>qui devront s’enregistrer</w:t>
      </w:r>
      <w:r w:rsidRPr="00FC01C8">
        <w:t xml:space="preserve"> de se préparer et </w:t>
      </w:r>
      <w:r w:rsidR="00927D89" w:rsidRPr="00FC01C8">
        <w:t>contribue à</w:t>
      </w:r>
      <w:r w:rsidRPr="00FC01C8">
        <w:t xml:space="preserve"> réduire l</w:t>
      </w:r>
      <w:r w:rsidR="00571F21" w:rsidRPr="00FC01C8">
        <w:t>es</w:t>
      </w:r>
      <w:r w:rsidRPr="00FC01C8">
        <w:t xml:space="preserve"> pression</w:t>
      </w:r>
      <w:r w:rsidR="00571F21" w:rsidRPr="00FC01C8">
        <w:t xml:space="preserve">s </w:t>
      </w:r>
      <w:r w:rsidR="00927D89" w:rsidRPr="00FC01C8">
        <w:t xml:space="preserve">qui peuvent être </w:t>
      </w:r>
      <w:r w:rsidR="00571F21" w:rsidRPr="00FC01C8">
        <w:t>exercées</w:t>
      </w:r>
      <w:r w:rsidRPr="00FC01C8">
        <w:t xml:space="preserve"> sur l</w:t>
      </w:r>
      <w:r w:rsidR="009039EE" w:rsidRPr="00FC01C8">
        <w:t>’</w:t>
      </w:r>
      <w:r w:rsidRPr="00FC01C8">
        <w:t xml:space="preserve">équipe </w:t>
      </w:r>
      <w:r w:rsidR="00927D89" w:rsidRPr="00FC01C8">
        <w:t>chargée de l’enregistrement par des</w:t>
      </w:r>
      <w:r w:rsidRPr="00FC01C8">
        <w:t xml:space="preserve"> personnes ne figurant pas sur la liste. La date et le lieu de l</w:t>
      </w:r>
      <w:r w:rsidR="00927D89" w:rsidRPr="00FC01C8">
        <w:t>’enregistrement</w:t>
      </w:r>
      <w:r w:rsidRPr="00FC01C8">
        <w:t>, ainsi que la liste des documents requis doivent être portés à la connaissance des bénéficiaires bien à l</w:t>
      </w:r>
      <w:r w:rsidR="009039EE" w:rsidRPr="00FC01C8">
        <w:t>’</w:t>
      </w:r>
      <w:r w:rsidRPr="00FC01C8">
        <w:t>avance.</w:t>
      </w:r>
    </w:p>
    <w:p w14:paraId="744482F8" w14:textId="469C202D" w:rsidR="000A4024" w:rsidRPr="00FC01C8" w:rsidRDefault="00531048" w:rsidP="00B36D76">
      <w:pPr>
        <w:pStyle w:val="Heading3"/>
      </w:pPr>
      <w:r w:rsidRPr="00FC01C8">
        <w:t>Identifier et authentifier les bénéficiaires</w:t>
      </w:r>
    </w:p>
    <w:p w14:paraId="6E3088BF" w14:textId="365A02D4" w:rsidR="007A4579" w:rsidRPr="00FC01C8" w:rsidRDefault="000A4024" w:rsidP="004E6D99">
      <w:pPr>
        <w:spacing w:after="360"/>
      </w:pPr>
      <w:r w:rsidRPr="00FC01C8">
        <w:t>L</w:t>
      </w:r>
      <w:r w:rsidR="00927D89" w:rsidRPr="00FC01C8">
        <w:t xml:space="preserve">ors de l’enregistrement, vous attribuerez </w:t>
      </w:r>
      <w:r w:rsidR="002B4562" w:rsidRPr="00FC01C8">
        <w:t>à chaque bénéficiaire un</w:t>
      </w:r>
      <w:r w:rsidRPr="00FC01C8">
        <w:t xml:space="preserve"> identifiant unique, qui peut être </w:t>
      </w:r>
      <w:r w:rsidR="00927D89" w:rsidRPr="00FC01C8">
        <w:t xml:space="preserve">un numéro </w:t>
      </w:r>
      <w:r w:rsidRPr="00FC01C8">
        <w:t xml:space="preserve">ou un mot de passe. Cet identifiant </w:t>
      </w:r>
      <w:r w:rsidR="00927D89" w:rsidRPr="00FC01C8">
        <w:t>permettra de garantir</w:t>
      </w:r>
      <w:r w:rsidRPr="00FC01C8">
        <w:t xml:space="preserve"> plus tard que la personne se présentant pour recevoir le transfert d</w:t>
      </w:r>
      <w:r w:rsidR="009039EE" w:rsidRPr="00FC01C8">
        <w:t>’</w:t>
      </w:r>
      <w:r w:rsidRPr="00FC01C8">
        <w:t xml:space="preserve">argent est </w:t>
      </w:r>
      <w:r w:rsidR="00927D89" w:rsidRPr="00FC01C8">
        <w:t>bien le bénéficiaire enregistré. Il s’agit du processus d’</w:t>
      </w:r>
      <w:r w:rsidR="00900E13" w:rsidRPr="00FC01C8">
        <w:t>a</w:t>
      </w:r>
      <w:r w:rsidRPr="00FC01C8">
        <w:t>uthentification. L</w:t>
      </w:r>
      <w:r w:rsidR="009039EE" w:rsidRPr="00FC01C8">
        <w:t>’</w:t>
      </w:r>
      <w:r w:rsidR="00927D89" w:rsidRPr="00FC01C8">
        <w:t>outil relatif à l’</w:t>
      </w:r>
      <w:r w:rsidRPr="00FC01C8">
        <w:t xml:space="preserve">identification et </w:t>
      </w:r>
      <w:r w:rsidR="00927D89" w:rsidRPr="00FC01C8">
        <w:t xml:space="preserve">à </w:t>
      </w:r>
      <w:r w:rsidRPr="00FC01C8">
        <w:t>l</w:t>
      </w:r>
      <w:r w:rsidR="009039EE" w:rsidRPr="00FC01C8">
        <w:t>’</w:t>
      </w:r>
      <w:r w:rsidRPr="00FC01C8">
        <w:t>authentification fourni</w:t>
      </w:r>
      <w:r w:rsidR="00927D89" w:rsidRPr="00FC01C8">
        <w:t>t de brèves orientations sur les</w:t>
      </w:r>
      <w:r w:rsidRPr="00FC01C8">
        <w:t xml:space="preserve"> différentes façons dont les bénéficiaires peuvent être identifiés </w:t>
      </w:r>
      <w:r w:rsidR="00927D89" w:rsidRPr="00FC01C8">
        <w:t>(</w:t>
      </w:r>
      <w:r w:rsidRPr="00FC01C8">
        <w:t>listes communautaires</w:t>
      </w:r>
      <w:r w:rsidR="00927D89" w:rsidRPr="00FC01C8">
        <w:t>, pi</w:t>
      </w:r>
      <w:r w:rsidRPr="00FC01C8">
        <w:t>èces d</w:t>
      </w:r>
      <w:r w:rsidR="009039EE" w:rsidRPr="00FC01C8">
        <w:t>’</w:t>
      </w:r>
      <w:r w:rsidRPr="00FC01C8">
        <w:t xml:space="preserve">identité officielles ou </w:t>
      </w:r>
      <w:r w:rsidR="00927D89" w:rsidRPr="00FC01C8">
        <w:t>solutions technologiques telles que</w:t>
      </w:r>
      <w:r w:rsidRPr="00FC01C8">
        <w:t xml:space="preserve"> cartes plastifiées </w:t>
      </w:r>
      <w:r w:rsidR="004E6D99">
        <w:t>avec code ou</w:t>
      </w:r>
      <w:r w:rsidRPr="00FC01C8">
        <w:t xml:space="preserve"> </w:t>
      </w:r>
      <w:r w:rsidR="004E6D99">
        <w:t>code</w:t>
      </w:r>
      <w:r w:rsidR="00927D89" w:rsidRPr="00FC01C8">
        <w:t>-</w:t>
      </w:r>
      <w:r w:rsidRPr="00FC01C8">
        <w:t>barres</w:t>
      </w:r>
      <w:r w:rsidR="004E6D99">
        <w:t>, cartes plastifiées biométriques</w:t>
      </w:r>
      <w:r w:rsidR="00927D89" w:rsidRPr="00FC01C8">
        <w:t xml:space="preserve"> et</w:t>
      </w:r>
      <w:r w:rsidRPr="00FC01C8">
        <w:t xml:space="preserve"> cartes SIM de téléphones mobiles</w:t>
      </w:r>
      <w:r w:rsidR="00927D89" w:rsidRPr="00FC01C8">
        <w:t>)</w:t>
      </w:r>
      <w:r w:rsidRPr="00FC01C8">
        <w:t>. L</w:t>
      </w:r>
      <w:r w:rsidR="00927D89" w:rsidRPr="00FC01C8">
        <w:t>’outil présentant une carte de</w:t>
      </w:r>
      <w:r w:rsidRPr="00FC01C8">
        <w:t xml:space="preserve"> bénéficiaire </w:t>
      </w:r>
      <w:r w:rsidR="00927D89" w:rsidRPr="00FC01C8">
        <w:t>donne</w:t>
      </w:r>
      <w:r w:rsidRPr="00FC01C8">
        <w:t xml:space="preserve"> un exemple d</w:t>
      </w:r>
      <w:r w:rsidR="009039EE" w:rsidRPr="00FC01C8">
        <w:t>’</w:t>
      </w:r>
      <w:r w:rsidRPr="00FC01C8">
        <w:t xml:space="preserve">identifiant possible. 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5B6A03" w:rsidRPr="00FC01C8" w14:paraId="26501899" w14:textId="77777777" w:rsidTr="005B6A03">
        <w:tc>
          <w:tcPr>
            <w:tcW w:w="9848" w:type="dxa"/>
          </w:tcPr>
          <w:p w14:paraId="7B89F79A" w14:textId="2335C50C" w:rsidR="005B6A03" w:rsidRPr="00FC01C8" w:rsidRDefault="005B6A03" w:rsidP="005B6A03">
            <w:pPr>
              <w:pStyle w:val="RefTitre"/>
            </w:pPr>
            <w:r w:rsidRPr="00FC01C8">
              <w:t>DOCUMENTS DE RÉFÉRENCE</w:t>
            </w:r>
          </w:p>
          <w:p w14:paraId="31FD729B" w14:textId="423B282A" w:rsidR="005B6A03" w:rsidRPr="00FC01C8" w:rsidRDefault="001257A5" w:rsidP="005B6A03">
            <w:pPr>
              <w:pStyle w:val="RefItem1"/>
            </w:pPr>
            <w:r w:rsidRPr="00FC01C8">
              <w:t xml:space="preserve">CaLP, </w:t>
            </w:r>
            <w:r w:rsidR="005B6A03" w:rsidRPr="00FC01C8">
              <w:rPr>
                <w:i/>
              </w:rPr>
              <w:t xml:space="preserve">Directives pour la mise en </w:t>
            </w:r>
            <w:r w:rsidR="00FC01C8" w:rsidRPr="00FC01C8">
              <w:rPr>
                <w:i/>
              </w:rPr>
              <w:t>œuvre</w:t>
            </w:r>
            <w:r w:rsidR="005B6A03" w:rsidRPr="00FC01C8">
              <w:rPr>
                <w:i/>
              </w:rPr>
              <w:t xml:space="preserve"> de transferts électroniques en situation d</w:t>
            </w:r>
            <w:r w:rsidR="009039EE" w:rsidRPr="00FC01C8">
              <w:rPr>
                <w:i/>
              </w:rPr>
              <w:t>’</w:t>
            </w:r>
            <w:r w:rsidR="005B6A03" w:rsidRPr="00FC01C8">
              <w:rPr>
                <w:i/>
              </w:rPr>
              <w:t>urgence</w:t>
            </w:r>
            <w:r w:rsidR="005B6A03" w:rsidRPr="00FC01C8">
              <w:t xml:space="preserve"> (2013)</w:t>
            </w:r>
            <w:r w:rsidR="0012245F" w:rsidRPr="00FC01C8">
              <w:t xml:space="preserve">. </w:t>
            </w:r>
            <w:r w:rsidR="0012245F" w:rsidRPr="00FC01C8">
              <w:br/>
            </w:r>
            <w:hyperlink r:id="rId9">
              <w:r w:rsidR="005B6A03" w:rsidRPr="00FC01C8">
                <w:rPr>
                  <w:rStyle w:val="Hyperlink"/>
                </w:rPr>
                <w:t>http://www.cashlearning.org/resources/library/429-directives-pour-la-mise-en-oeuvre-de-transferts-lectroniques-en-situation-durgence</w:t>
              </w:r>
            </w:hyperlink>
          </w:p>
          <w:p w14:paraId="632263D9" w14:textId="5DB565AC" w:rsidR="005B6A03" w:rsidRPr="00FC01C8" w:rsidRDefault="001257A5" w:rsidP="005B6A03">
            <w:pPr>
              <w:pStyle w:val="RefItem1"/>
            </w:pPr>
            <w:proofErr w:type="spellStart"/>
            <w:r w:rsidRPr="00DD11EE">
              <w:rPr>
                <w:lang w:val="en-GB"/>
              </w:rPr>
              <w:t>CaLP</w:t>
            </w:r>
            <w:proofErr w:type="spellEnd"/>
            <w:r w:rsidRPr="00DD11EE">
              <w:rPr>
                <w:lang w:val="en-GB"/>
              </w:rPr>
              <w:t xml:space="preserve">, </w:t>
            </w:r>
            <w:r w:rsidR="005B6A03" w:rsidRPr="00DD11EE">
              <w:rPr>
                <w:i/>
                <w:lang w:val="en-GB"/>
              </w:rPr>
              <w:t>Delivering Money: Cash Transfer Mechanisms in Emergencies</w:t>
            </w:r>
            <w:r w:rsidR="0012245F" w:rsidRPr="00DD11EE">
              <w:rPr>
                <w:lang w:val="en-GB"/>
              </w:rPr>
              <w:t xml:space="preserve"> (2010). </w:t>
            </w:r>
            <w:r w:rsidR="0012245F" w:rsidRPr="00DD11EE">
              <w:rPr>
                <w:lang w:val="en-GB"/>
              </w:rPr>
              <w:br/>
            </w:r>
            <w:hyperlink r:id="rId10">
              <w:r w:rsidR="005B6A03" w:rsidRPr="00FC01C8">
                <w:rPr>
                  <w:rStyle w:val="Hyperlink"/>
                  <w:rFonts w:cs="Arial"/>
                  <w:szCs w:val="20"/>
                </w:rPr>
                <w:t>http://www.cashlearning.org/resources/library/6-delivering-money-cash-transfer-mechanisms-in-emergencies</w:t>
              </w:r>
            </w:hyperlink>
          </w:p>
          <w:p w14:paraId="395D56DF" w14:textId="130A6F26" w:rsidR="005B6A03" w:rsidRPr="00FC01C8" w:rsidRDefault="001257A5" w:rsidP="005B6A03">
            <w:pPr>
              <w:pStyle w:val="RefItem1"/>
            </w:pPr>
            <w:proofErr w:type="spellStart"/>
            <w:r w:rsidRPr="00DD11EE">
              <w:rPr>
                <w:lang w:val="en-GB"/>
              </w:rPr>
              <w:t>CaLP</w:t>
            </w:r>
            <w:proofErr w:type="spellEnd"/>
            <w:r w:rsidRPr="00DD11EE">
              <w:rPr>
                <w:lang w:val="en-GB"/>
              </w:rPr>
              <w:t xml:space="preserve">, </w:t>
            </w:r>
            <w:r w:rsidR="005B6A03" w:rsidRPr="00DD11EE">
              <w:rPr>
                <w:i/>
                <w:lang w:val="en-GB"/>
              </w:rPr>
              <w:t>A quick delivery guide: Cheques</w:t>
            </w:r>
            <w:r w:rsidR="0012245F" w:rsidRPr="00DD11EE">
              <w:rPr>
                <w:lang w:val="en-GB"/>
              </w:rPr>
              <w:t xml:space="preserve"> (2011).</w:t>
            </w:r>
            <w:r w:rsidR="005B6A03" w:rsidRPr="00DD11EE">
              <w:rPr>
                <w:lang w:val="en-GB"/>
              </w:rPr>
              <w:br/>
            </w:r>
            <w:hyperlink r:id="rId11">
              <w:r w:rsidR="005B6A03" w:rsidRPr="00FC01C8">
                <w:rPr>
                  <w:rStyle w:val="Hyperlink"/>
                </w:rPr>
                <w:t>http://www.cashlearning.org/resources/library/22-cheques---a-quick-</w:t>
              </w:r>
              <w:proofErr w:type="spellStart"/>
              <w:r w:rsidR="005B6A03" w:rsidRPr="00FC01C8">
                <w:rPr>
                  <w:rStyle w:val="Hyperlink"/>
                </w:rPr>
                <w:t>delivery</w:t>
              </w:r>
              <w:proofErr w:type="spellEnd"/>
              <w:r w:rsidR="005B6A03" w:rsidRPr="00FC01C8">
                <w:rPr>
                  <w:rStyle w:val="Hyperlink"/>
                </w:rPr>
                <w:t>-guide-</w:t>
              </w:r>
              <w:proofErr w:type="spellStart"/>
              <w:r w:rsidR="005B6A03" w:rsidRPr="00FC01C8">
                <w:rPr>
                  <w:rStyle w:val="Hyperlink"/>
                </w:rPr>
                <w:t>screen</w:t>
              </w:r>
              <w:proofErr w:type="spellEnd"/>
              <w:r w:rsidR="005B6A03" w:rsidRPr="00FC01C8">
                <w:rPr>
                  <w:rStyle w:val="Hyperlink"/>
                </w:rPr>
                <w:t>-version</w:t>
              </w:r>
            </w:hyperlink>
          </w:p>
          <w:p w14:paraId="4CDA7716" w14:textId="7A08379B" w:rsidR="005B6A03" w:rsidRPr="00FC01C8" w:rsidRDefault="001257A5" w:rsidP="005B6A03">
            <w:pPr>
              <w:pStyle w:val="RefItem1"/>
            </w:pPr>
            <w:proofErr w:type="spellStart"/>
            <w:r w:rsidRPr="00DD11EE">
              <w:rPr>
                <w:lang w:val="en-GB"/>
              </w:rPr>
              <w:t>CaLP</w:t>
            </w:r>
            <w:proofErr w:type="spellEnd"/>
            <w:r w:rsidRPr="00DD11EE">
              <w:rPr>
                <w:lang w:val="en-GB"/>
              </w:rPr>
              <w:t xml:space="preserve">, </w:t>
            </w:r>
            <w:r w:rsidR="005B6A03" w:rsidRPr="00DD11EE">
              <w:rPr>
                <w:i/>
                <w:lang w:val="en-GB"/>
              </w:rPr>
              <w:t>A quick delivery guide: Cards</w:t>
            </w:r>
            <w:r w:rsidR="0012245F" w:rsidRPr="00DD11EE">
              <w:rPr>
                <w:lang w:val="en-GB"/>
              </w:rPr>
              <w:t xml:space="preserve"> (2011).</w:t>
            </w:r>
            <w:r w:rsidR="005B6A03" w:rsidRPr="00DD11EE">
              <w:rPr>
                <w:lang w:val="en-GB"/>
              </w:rPr>
              <w:br/>
            </w:r>
            <w:hyperlink r:id="rId12">
              <w:r w:rsidR="005B6A03" w:rsidRPr="00FC01C8">
                <w:rPr>
                  <w:rStyle w:val="Hyperlink"/>
                </w:rPr>
                <w:t>http://www.cashlearning.org/resources/library/235-delivering-cash-through-cards---a-quick-delivery-guide-booklet</w:t>
              </w:r>
            </w:hyperlink>
          </w:p>
          <w:p w14:paraId="74176B2B" w14:textId="3FC04DAF" w:rsidR="005B6A03" w:rsidRPr="00FC01C8" w:rsidRDefault="001257A5" w:rsidP="005B6A03">
            <w:pPr>
              <w:pStyle w:val="RefItem1"/>
            </w:pPr>
            <w:proofErr w:type="spellStart"/>
            <w:r w:rsidRPr="00DD11EE">
              <w:rPr>
                <w:lang w:val="en-GB"/>
              </w:rPr>
              <w:t>CaLP</w:t>
            </w:r>
            <w:proofErr w:type="spellEnd"/>
            <w:r w:rsidRPr="00DD11EE">
              <w:rPr>
                <w:lang w:val="en-GB"/>
              </w:rPr>
              <w:t xml:space="preserve">, </w:t>
            </w:r>
            <w:r w:rsidR="005B6A03" w:rsidRPr="00DD11EE">
              <w:rPr>
                <w:i/>
                <w:lang w:val="en-GB"/>
              </w:rPr>
              <w:t>A quick delivery guide: Direct Cash</w:t>
            </w:r>
            <w:r w:rsidR="0012245F" w:rsidRPr="00DD11EE">
              <w:rPr>
                <w:lang w:val="en-GB"/>
              </w:rPr>
              <w:t xml:space="preserve"> (2011).</w:t>
            </w:r>
            <w:r w:rsidR="005B6A03" w:rsidRPr="00DD11EE">
              <w:rPr>
                <w:lang w:val="en-GB"/>
              </w:rPr>
              <w:br/>
            </w:r>
            <w:hyperlink r:id="rId13">
              <w:r w:rsidR="005B6A03" w:rsidRPr="00FC01C8">
                <w:rPr>
                  <w:rStyle w:val="Hyperlink"/>
                </w:rPr>
                <w:t>http://www.cashlearning.org/resources/library/24-direct-cash---a-quick-</w:t>
              </w:r>
              <w:proofErr w:type="spellStart"/>
              <w:r w:rsidR="005B6A03" w:rsidRPr="00FC01C8">
                <w:rPr>
                  <w:rStyle w:val="Hyperlink"/>
                </w:rPr>
                <w:t>delivery</w:t>
              </w:r>
              <w:proofErr w:type="spellEnd"/>
              <w:r w:rsidR="005B6A03" w:rsidRPr="00FC01C8">
                <w:rPr>
                  <w:rStyle w:val="Hyperlink"/>
                </w:rPr>
                <w:t>-guide-</w:t>
              </w:r>
              <w:proofErr w:type="spellStart"/>
              <w:r w:rsidR="005B6A03" w:rsidRPr="00FC01C8">
                <w:rPr>
                  <w:rStyle w:val="Hyperlink"/>
                </w:rPr>
                <w:t>screen</w:t>
              </w:r>
              <w:proofErr w:type="spellEnd"/>
              <w:r w:rsidR="005B6A03" w:rsidRPr="00FC01C8">
                <w:rPr>
                  <w:rStyle w:val="Hyperlink"/>
                </w:rPr>
                <w:t>-version</w:t>
              </w:r>
            </w:hyperlink>
          </w:p>
          <w:p w14:paraId="41774B34" w14:textId="4040A14F" w:rsidR="005B6A03" w:rsidRPr="00FC01C8" w:rsidRDefault="001257A5" w:rsidP="005B6A03">
            <w:pPr>
              <w:pStyle w:val="RefItem1"/>
            </w:pPr>
            <w:proofErr w:type="spellStart"/>
            <w:r w:rsidRPr="00DD11EE">
              <w:rPr>
                <w:lang w:val="en-GB"/>
              </w:rPr>
              <w:t>CaLP</w:t>
            </w:r>
            <w:proofErr w:type="spellEnd"/>
            <w:r w:rsidRPr="00DD11EE">
              <w:rPr>
                <w:lang w:val="en-GB"/>
              </w:rPr>
              <w:t xml:space="preserve">, </w:t>
            </w:r>
            <w:r w:rsidR="005B6A03" w:rsidRPr="00DD11EE">
              <w:rPr>
                <w:i/>
                <w:lang w:val="en-GB"/>
              </w:rPr>
              <w:t>A quick deli</w:t>
            </w:r>
            <w:r w:rsidR="0012245F" w:rsidRPr="00DD11EE">
              <w:rPr>
                <w:i/>
                <w:lang w:val="en-GB"/>
              </w:rPr>
              <w:t>very guide: Vouchers</w:t>
            </w:r>
            <w:r w:rsidR="0012245F" w:rsidRPr="00DD11EE">
              <w:rPr>
                <w:lang w:val="en-GB"/>
              </w:rPr>
              <w:t xml:space="preserve"> (2011).</w:t>
            </w:r>
            <w:r w:rsidR="005B6A03" w:rsidRPr="00DD11EE">
              <w:rPr>
                <w:lang w:val="en-GB"/>
              </w:rPr>
              <w:t xml:space="preserve"> </w:t>
            </w:r>
            <w:r w:rsidR="005B6A03" w:rsidRPr="00DD11EE">
              <w:rPr>
                <w:lang w:val="en-GB"/>
              </w:rPr>
              <w:br/>
            </w:r>
            <w:hyperlink r:id="rId14">
              <w:r w:rsidR="005B6A03" w:rsidRPr="00FC01C8">
                <w:rPr>
                  <w:rStyle w:val="Hyperlink"/>
                </w:rPr>
                <w:t>http://www.cashlearning.org/resources/library/25-vouchers---a-quick-</w:t>
              </w:r>
              <w:proofErr w:type="spellStart"/>
              <w:r w:rsidR="005B6A03" w:rsidRPr="00FC01C8">
                <w:rPr>
                  <w:rStyle w:val="Hyperlink"/>
                </w:rPr>
                <w:t>delivery</w:t>
              </w:r>
              <w:proofErr w:type="spellEnd"/>
              <w:r w:rsidR="005B6A03" w:rsidRPr="00FC01C8">
                <w:rPr>
                  <w:rStyle w:val="Hyperlink"/>
                </w:rPr>
                <w:t>-guide-</w:t>
              </w:r>
              <w:proofErr w:type="spellStart"/>
              <w:r w:rsidR="005B6A03" w:rsidRPr="00FC01C8">
                <w:rPr>
                  <w:rStyle w:val="Hyperlink"/>
                </w:rPr>
                <w:t>booklet</w:t>
              </w:r>
              <w:proofErr w:type="spellEnd"/>
              <w:r w:rsidR="005B6A03" w:rsidRPr="00FC01C8">
                <w:rPr>
                  <w:rStyle w:val="Hyperlink"/>
                </w:rPr>
                <w:t>-version</w:t>
              </w:r>
            </w:hyperlink>
          </w:p>
          <w:p w14:paraId="7849124D" w14:textId="63BB50FD" w:rsidR="005B6A03" w:rsidRPr="00FC01C8" w:rsidRDefault="001257A5" w:rsidP="005B6A03">
            <w:pPr>
              <w:pStyle w:val="RefItem1"/>
            </w:pPr>
            <w:proofErr w:type="spellStart"/>
            <w:r w:rsidRPr="00DD11EE">
              <w:rPr>
                <w:lang w:val="en-GB"/>
              </w:rPr>
              <w:t>CaLP</w:t>
            </w:r>
            <w:proofErr w:type="spellEnd"/>
            <w:r w:rsidRPr="00DD11EE">
              <w:rPr>
                <w:lang w:val="en-GB"/>
              </w:rPr>
              <w:t xml:space="preserve">, </w:t>
            </w:r>
            <w:r w:rsidR="005B6A03" w:rsidRPr="00DD11EE">
              <w:rPr>
                <w:i/>
                <w:lang w:val="en-GB"/>
              </w:rPr>
              <w:t>A quick delivery guide: Voucher fairs</w:t>
            </w:r>
            <w:r w:rsidR="0012245F" w:rsidRPr="00DD11EE">
              <w:rPr>
                <w:lang w:val="en-GB"/>
              </w:rPr>
              <w:t xml:space="preserve"> (2011).</w:t>
            </w:r>
            <w:r w:rsidR="005B6A03" w:rsidRPr="00DD11EE">
              <w:rPr>
                <w:lang w:val="en-GB"/>
              </w:rPr>
              <w:br/>
            </w:r>
            <w:hyperlink r:id="rId15">
              <w:r w:rsidR="005B6A03" w:rsidRPr="00FC01C8">
                <w:rPr>
                  <w:rStyle w:val="Hyperlink"/>
                </w:rPr>
                <w:t>http://www.cashlearning.org/resources/library/217-voucher-fairs-a-quick-delivery-guide-booklet-version</w:t>
              </w:r>
            </w:hyperlink>
          </w:p>
        </w:tc>
      </w:tr>
    </w:tbl>
    <w:p w14:paraId="702C3D9B" w14:textId="77777777" w:rsidR="005B6A03" w:rsidRPr="00FC01C8" w:rsidRDefault="005B6A03" w:rsidP="007608DC"/>
    <w:sectPr w:rsidR="005B6A03" w:rsidRPr="00FC01C8" w:rsidSect="005B6A03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395B7" w14:textId="77777777" w:rsidR="00B743CF" w:rsidRDefault="00B743CF" w:rsidP="00680748">
      <w:r>
        <w:separator/>
      </w:r>
    </w:p>
  </w:endnote>
  <w:endnote w:type="continuationSeparator" w:id="0">
    <w:p w14:paraId="5DC38A99" w14:textId="77777777" w:rsidR="00B743CF" w:rsidRDefault="00B743CF" w:rsidP="0068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99AAA" w14:textId="77777777" w:rsidR="005B6A03" w:rsidRPr="00B45C74" w:rsidRDefault="005B6A0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C360D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20F4080" w14:textId="69342D26" w:rsidR="005B6A03" w:rsidRPr="003A3500" w:rsidRDefault="005B6A03" w:rsidP="0068513C">
    <w:pPr>
      <w:pStyle w:val="Footer"/>
    </w:pPr>
    <w:r>
      <w:rPr>
        <w:b/>
      </w:rPr>
      <w:t>Module 4.</w:t>
    </w:r>
    <w:r>
      <w:t xml:space="preserve"> Étape 4. Feuille de route pour l</w:t>
    </w:r>
    <w:r w:rsidR="009039EE">
      <w:t>’</w:t>
    </w:r>
    <w:r w:rsidR="00F41942">
      <w:t>enregistrement</w:t>
    </w:r>
    <w:r>
      <w:t xml:space="preserve"> et </w:t>
    </w:r>
    <w:r w:rsidR="0068513C">
      <w:t>l</w:t>
    </w:r>
    <w:r w:rsidR="009039EE">
      <w:t>’</w:t>
    </w:r>
    <w:r>
      <w:t>identification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947B0" w14:textId="77777777" w:rsidR="005B6A03" w:rsidRPr="00B45C74" w:rsidRDefault="005B6A0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8513C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0A01184" w14:textId="7574329E" w:rsidR="005B6A03" w:rsidRPr="005B6A03" w:rsidRDefault="005B6A03" w:rsidP="00ED1B2B">
    <w:pPr>
      <w:pStyle w:val="Footer"/>
    </w:pPr>
    <w:r>
      <w:rPr>
        <w:b/>
      </w:rPr>
      <w:t>Module 4.</w:t>
    </w:r>
    <w:r>
      <w:t xml:space="preserve"> Étape 4. </w:t>
    </w:r>
    <w:r w:rsidR="008C360D">
      <w:fldChar w:fldCharType="begin"/>
    </w:r>
    <w:r w:rsidR="008C360D">
      <w:instrText xml:space="preserve"> STYLEREF  H1 \t  \* MERGEFORMAT </w:instrText>
    </w:r>
    <w:r w:rsidR="008C360D">
      <w:fldChar w:fldCharType="separate"/>
    </w:r>
    <w:r w:rsidR="0068513C" w:rsidRPr="0068513C">
      <w:rPr>
        <w:bCs/>
        <w:noProof/>
      </w:rPr>
      <w:t>Feuille de route pour l’enregistrement</w:t>
    </w:r>
    <w:r w:rsidR="0068513C">
      <w:rPr>
        <w:noProof/>
      </w:rPr>
      <w:t xml:space="preserve"> et l’identification</w:t>
    </w:r>
    <w:r w:rsidR="008C36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E5988" w14:textId="77777777" w:rsidR="00B743CF" w:rsidRDefault="00B743CF" w:rsidP="00680748">
      <w:r>
        <w:separator/>
      </w:r>
    </w:p>
  </w:footnote>
  <w:footnote w:type="continuationSeparator" w:id="0">
    <w:p w14:paraId="5C3C596E" w14:textId="77777777" w:rsidR="00B743CF" w:rsidRDefault="00B743CF" w:rsidP="00680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17C7" w14:textId="527679B6" w:rsidR="005B6A03" w:rsidRPr="00074036" w:rsidRDefault="00FA0ABC" w:rsidP="00173FF2">
    <w:pPr>
      <w:pStyle w:val="Header"/>
      <w:rPr>
        <w:szCs w:val="16"/>
      </w:rPr>
    </w:pPr>
    <w:r w:rsidRPr="006E3407">
      <w:rPr>
        <w:rStyle w:val="Pantone485"/>
        <w:sz w:val="14"/>
        <w:szCs w:val="14"/>
      </w:rPr>
      <w:t>Mouvement international de la Croix-Rouge et du Croissant-Rouge</w:t>
    </w:r>
    <w:r w:rsidRPr="006E3407">
      <w:rPr>
        <w:rFonts w:cs="Caecilia-Light"/>
        <w:color w:val="FF0000"/>
        <w:sz w:val="14"/>
        <w:szCs w:val="14"/>
      </w:rPr>
      <w:t xml:space="preserve"> </w:t>
    </w:r>
    <w:r w:rsidRPr="006E3407">
      <w:rPr>
        <w:rStyle w:val="PageNumber"/>
        <w:bCs/>
        <w:sz w:val="14"/>
        <w:szCs w:val="14"/>
      </w:rPr>
      <w:t>I</w:t>
    </w:r>
    <w:r w:rsidRPr="006E3407">
      <w:rPr>
        <w:rStyle w:val="PageNumber"/>
        <w:color w:val="FF0000"/>
        <w:sz w:val="14"/>
        <w:szCs w:val="14"/>
      </w:rPr>
      <w:t xml:space="preserve"> </w:t>
    </w:r>
    <w:r w:rsidRPr="006E3407">
      <w:rPr>
        <w:b/>
        <w:sz w:val="14"/>
        <w:szCs w:val="14"/>
      </w:rPr>
      <w:t>Boîte à outils pour les transferts monétaires dans les situations d’urgence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50ADF" w14:textId="77777777" w:rsidR="00C35DC8" w:rsidRDefault="00C35DC8" w:rsidP="00C35DC8">
    <w:pPr>
      <w:pStyle w:val="Header1"/>
    </w:pPr>
    <w:r>
      <w:rPr>
        <w:rFonts w:ascii="Arial Bold" w:hAnsi="Arial Bold"/>
        <w:noProof/>
        <w:color w:val="DC281E"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733437B5" wp14:editId="354A10B1">
          <wp:simplePos x="0" y="0"/>
          <wp:positionH relativeFrom="margin">
            <wp:posOffset>316865</wp:posOffset>
          </wp:positionH>
          <wp:positionV relativeFrom="margin">
            <wp:posOffset>-1280795</wp:posOffset>
          </wp:positionV>
          <wp:extent cx="630555" cy="735330"/>
          <wp:effectExtent l="0" t="0" r="0" b="7620"/>
          <wp:wrapSquare wrapText="bothSides"/>
          <wp:docPr id="2" name="Picture 2" descr="T:\Language\2015\French\Z_Jonathan\Références\Cash in emergencies\CICR 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anguage\2015\French\Z_Jonathan\Références\Cash in emergencies\CICR logo-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1EFF47" w14:textId="77777777" w:rsidR="00C35DC8" w:rsidRDefault="00C35DC8" w:rsidP="00C35DC8">
    <w:pPr>
      <w:pStyle w:val="Header1"/>
    </w:pPr>
    <w:r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756F2C64" wp14:editId="4506ED37">
          <wp:simplePos x="0" y="0"/>
          <wp:positionH relativeFrom="margin">
            <wp:posOffset>2590165</wp:posOffset>
          </wp:positionH>
          <wp:positionV relativeFrom="margin">
            <wp:posOffset>-915670</wp:posOffset>
          </wp:positionV>
          <wp:extent cx="3187065" cy="3086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-French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06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18CBD0" w14:textId="77777777" w:rsidR="005B6A03" w:rsidRDefault="005B6A03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14:paraId="35C73E9B" w14:textId="77777777" w:rsidR="00C35DC8" w:rsidRDefault="00C35DC8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14:paraId="074FC767" w14:textId="77777777" w:rsidR="005B6A03" w:rsidRDefault="005B6A03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14:paraId="1AA16FEB" w14:textId="7524E502" w:rsidR="005B6A03" w:rsidRPr="005B6A03" w:rsidRDefault="00C35DC8" w:rsidP="00050617">
    <w:pPr>
      <w:pStyle w:val="Header1"/>
      <w:rPr>
        <w:color w:val="DC281E"/>
      </w:rPr>
    </w:pPr>
    <w:r w:rsidRPr="00127652">
      <w:rPr>
        <w:rFonts w:ascii="Arial Bold" w:hAnsi="Arial Bold"/>
        <w:color w:val="DC281E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4C6B"/>
    <w:multiLevelType w:val="hybridMultilevel"/>
    <w:tmpl w:val="E210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5929"/>
    <w:multiLevelType w:val="hybridMultilevel"/>
    <w:tmpl w:val="60BE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A7A18"/>
    <w:multiLevelType w:val="hybridMultilevel"/>
    <w:tmpl w:val="7C52BF4E"/>
    <w:lvl w:ilvl="0" w:tplc="5A4C774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4512AC"/>
    <w:multiLevelType w:val="hybridMultilevel"/>
    <w:tmpl w:val="08C0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8596F"/>
    <w:multiLevelType w:val="hybridMultilevel"/>
    <w:tmpl w:val="864CA9F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395127E8"/>
    <w:multiLevelType w:val="hybridMultilevel"/>
    <w:tmpl w:val="4B0687D6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11121"/>
    <w:multiLevelType w:val="hybridMultilevel"/>
    <w:tmpl w:val="94F8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32DF8"/>
    <w:multiLevelType w:val="hybridMultilevel"/>
    <w:tmpl w:val="879CF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9B604F"/>
    <w:multiLevelType w:val="hybridMultilevel"/>
    <w:tmpl w:val="81787046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A7A02"/>
    <w:multiLevelType w:val="hybridMultilevel"/>
    <w:tmpl w:val="03FAC78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36DA0"/>
    <w:multiLevelType w:val="hybridMultilevel"/>
    <w:tmpl w:val="E9F8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182CCC"/>
    <w:multiLevelType w:val="hybridMultilevel"/>
    <w:tmpl w:val="71B0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C6EFC"/>
    <w:multiLevelType w:val="hybridMultilevel"/>
    <w:tmpl w:val="FF50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501F1"/>
    <w:multiLevelType w:val="hybridMultilevel"/>
    <w:tmpl w:val="4524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16"/>
  </w:num>
  <w:num w:numId="5">
    <w:abstractNumId w:val="2"/>
  </w:num>
  <w:num w:numId="6">
    <w:abstractNumId w:val="18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12"/>
  </w:num>
  <w:num w:numId="13">
    <w:abstractNumId w:val="1"/>
  </w:num>
  <w:num w:numId="14">
    <w:abstractNumId w:val="4"/>
  </w:num>
  <w:num w:numId="15">
    <w:abstractNumId w:val="0"/>
  </w:num>
  <w:num w:numId="16">
    <w:abstractNumId w:val="13"/>
  </w:num>
  <w:num w:numId="17">
    <w:abstractNumId w:val="3"/>
  </w:num>
  <w:num w:numId="18">
    <w:abstractNumId w:val="14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F7"/>
    <w:rsid w:val="00057D5D"/>
    <w:rsid w:val="00082E59"/>
    <w:rsid w:val="00093C9A"/>
    <w:rsid w:val="000A4024"/>
    <w:rsid w:val="000B566E"/>
    <w:rsid w:val="0012245F"/>
    <w:rsid w:val="001257A5"/>
    <w:rsid w:val="001745BC"/>
    <w:rsid w:val="001C5DD6"/>
    <w:rsid w:val="001E31F7"/>
    <w:rsid w:val="001F3C18"/>
    <w:rsid w:val="00200CC9"/>
    <w:rsid w:val="002617CC"/>
    <w:rsid w:val="00286A9F"/>
    <w:rsid w:val="002B4562"/>
    <w:rsid w:val="0034485F"/>
    <w:rsid w:val="00362DB2"/>
    <w:rsid w:val="00370BFA"/>
    <w:rsid w:val="003D7EB4"/>
    <w:rsid w:val="00471501"/>
    <w:rsid w:val="00485DB9"/>
    <w:rsid w:val="004A718D"/>
    <w:rsid w:val="004E6D99"/>
    <w:rsid w:val="00531048"/>
    <w:rsid w:val="00562815"/>
    <w:rsid w:val="00571F21"/>
    <w:rsid w:val="005A2F60"/>
    <w:rsid w:val="005B6A03"/>
    <w:rsid w:val="00643975"/>
    <w:rsid w:val="00680748"/>
    <w:rsid w:val="0068513C"/>
    <w:rsid w:val="006D60DC"/>
    <w:rsid w:val="007448FC"/>
    <w:rsid w:val="007608DC"/>
    <w:rsid w:val="00777ACF"/>
    <w:rsid w:val="007A0532"/>
    <w:rsid w:val="007A4579"/>
    <w:rsid w:val="0080622C"/>
    <w:rsid w:val="00815743"/>
    <w:rsid w:val="00830000"/>
    <w:rsid w:val="008803FB"/>
    <w:rsid w:val="008C360D"/>
    <w:rsid w:val="008D099F"/>
    <w:rsid w:val="00900E13"/>
    <w:rsid w:val="009039EE"/>
    <w:rsid w:val="00905760"/>
    <w:rsid w:val="00927D89"/>
    <w:rsid w:val="00935836"/>
    <w:rsid w:val="0093753C"/>
    <w:rsid w:val="00961279"/>
    <w:rsid w:val="00970494"/>
    <w:rsid w:val="00A51C09"/>
    <w:rsid w:val="00A733B3"/>
    <w:rsid w:val="00A942CD"/>
    <w:rsid w:val="00AE782F"/>
    <w:rsid w:val="00B1490E"/>
    <w:rsid w:val="00B36D76"/>
    <w:rsid w:val="00B65C9D"/>
    <w:rsid w:val="00B743CF"/>
    <w:rsid w:val="00B94FCD"/>
    <w:rsid w:val="00BB06E3"/>
    <w:rsid w:val="00C35DC8"/>
    <w:rsid w:val="00C73717"/>
    <w:rsid w:val="00D27BF8"/>
    <w:rsid w:val="00D65282"/>
    <w:rsid w:val="00D678DF"/>
    <w:rsid w:val="00D7233B"/>
    <w:rsid w:val="00DA12C0"/>
    <w:rsid w:val="00DD11EE"/>
    <w:rsid w:val="00DE40B4"/>
    <w:rsid w:val="00DF3A7B"/>
    <w:rsid w:val="00E414B3"/>
    <w:rsid w:val="00E57DF0"/>
    <w:rsid w:val="00ED3055"/>
    <w:rsid w:val="00F134C2"/>
    <w:rsid w:val="00F41942"/>
    <w:rsid w:val="00F61A31"/>
    <w:rsid w:val="00FA0ABC"/>
    <w:rsid w:val="00FA1C26"/>
    <w:rsid w:val="00FB061A"/>
    <w:rsid w:val="00FC01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64F0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C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134C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4C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4C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34C2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F134C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3970"/>
  </w:style>
  <w:style w:type="character" w:styleId="CommentReference">
    <w:name w:val="annotation reference"/>
    <w:basedOn w:val="DefaultParagraphFont"/>
    <w:uiPriority w:val="99"/>
    <w:semiHidden/>
    <w:unhideWhenUsed/>
    <w:rsid w:val="00F134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E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E59"/>
    <w:rPr>
      <w:lang w:val="fr-FR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134C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134C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C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4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4C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134C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134C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134C2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34C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134C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34C2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34C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134C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F134C2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134C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134C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34C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134C2"/>
    <w:rPr>
      <w:vertAlign w:val="superscript"/>
    </w:rPr>
  </w:style>
  <w:style w:type="paragraph" w:styleId="Revision">
    <w:name w:val="Revision"/>
    <w:hidden/>
    <w:uiPriority w:val="99"/>
    <w:semiHidden/>
    <w:rsid w:val="00F134C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134C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134C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134C2"/>
    <w:pPr>
      <w:numPr>
        <w:numId w:val="1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134C2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F134C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134C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134C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134C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134C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134C2"/>
    <w:pPr>
      <w:numPr>
        <w:numId w:val="18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F134C2"/>
    <w:pPr>
      <w:numPr>
        <w:ilvl w:val="1"/>
        <w:numId w:val="1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134C2"/>
    <w:pPr>
      <w:numPr>
        <w:numId w:val="1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134C2"/>
    <w:pPr>
      <w:numPr>
        <w:numId w:val="1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134C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134C2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F134C2"/>
    <w:pPr>
      <w:keepNext/>
      <w:keepLines/>
      <w:framePr w:hSpace="141" w:wrap="around" w:vAnchor="text" w:hAnchor="margin" w:y="402"/>
      <w:numPr>
        <w:numId w:val="2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C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134C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4C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4C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34C2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F134C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3970"/>
  </w:style>
  <w:style w:type="character" w:styleId="CommentReference">
    <w:name w:val="annotation reference"/>
    <w:basedOn w:val="DefaultParagraphFont"/>
    <w:uiPriority w:val="99"/>
    <w:semiHidden/>
    <w:unhideWhenUsed/>
    <w:rsid w:val="00F134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E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E59"/>
    <w:rPr>
      <w:lang w:val="fr-FR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134C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134C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C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4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4C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134C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134C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134C2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34C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134C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34C2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34C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134C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F134C2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134C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134C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34C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134C2"/>
    <w:rPr>
      <w:vertAlign w:val="superscript"/>
    </w:rPr>
  </w:style>
  <w:style w:type="paragraph" w:styleId="Revision">
    <w:name w:val="Revision"/>
    <w:hidden/>
    <w:uiPriority w:val="99"/>
    <w:semiHidden/>
    <w:rsid w:val="00F134C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134C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134C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134C2"/>
    <w:pPr>
      <w:numPr>
        <w:numId w:val="1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134C2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F134C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134C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134C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134C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134C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134C2"/>
    <w:pPr>
      <w:numPr>
        <w:numId w:val="18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F134C2"/>
    <w:pPr>
      <w:numPr>
        <w:ilvl w:val="1"/>
        <w:numId w:val="1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134C2"/>
    <w:pPr>
      <w:numPr>
        <w:numId w:val="1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134C2"/>
    <w:pPr>
      <w:numPr>
        <w:numId w:val="1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134C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134C2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F134C2"/>
    <w:pPr>
      <w:keepNext/>
      <w:keepLines/>
      <w:framePr w:hSpace="141" w:wrap="around" w:vAnchor="text" w:hAnchor="margin" w:y="402"/>
      <w:numPr>
        <w:numId w:val="2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shlearning.org/resources/library/24-direct-cash---a-quick-delivery-guide-screen-version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shlearning.org/resources/library/235-delivering-cash-through-cards---a-quick-delivery-guide-bookl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shlearning.org/resources/library/22-cheques---a-quick-delivery-guide-screen-vers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shlearning.org/resources/library/217-voucher-fairs-a-quick-delivery-guide-booklet-version" TargetMode="External"/><Relationship Id="rId10" Type="http://schemas.openxmlformats.org/officeDocument/2006/relationships/hyperlink" Target="http://www.cashlearning.org/resources/library/6-delivering-money-cash-transfer-mechanisms-in-emergencie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ashlearning.org/resources/library/429-directives-pour-la-mise-en-oeuvre-de-transferts-lectroniques-en-situation-durgence" TargetMode="External"/><Relationship Id="rId14" Type="http://schemas.openxmlformats.org/officeDocument/2006/relationships/hyperlink" Target="http://www.cashlearning.org/resources/library/25-vouchers---a-quick-delivery-guide-booklet-versio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199</TotalTime>
  <Pages>4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52</cp:revision>
  <cp:lastPrinted>2015-10-01T14:53:00Z</cp:lastPrinted>
  <dcterms:created xsi:type="dcterms:W3CDTF">2014-12-04T09:43:00Z</dcterms:created>
  <dcterms:modified xsi:type="dcterms:W3CDTF">2016-04-29T13:16:00Z</dcterms:modified>
</cp:coreProperties>
</file>