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BFEA" w14:textId="4C69EBB0" w:rsidR="00310F7F" w:rsidRPr="006018CC" w:rsidRDefault="00532AAE" w:rsidP="00167D73">
      <w:pPr>
        <w:pStyle w:val="H1"/>
        <w:rPr>
          <w:lang w:val="fr-FR"/>
        </w:rPr>
      </w:pPr>
      <w:bookmarkStart w:id="0" w:name="_GoBack"/>
      <w:r w:rsidRPr="006018CC">
        <w:rPr>
          <w:lang w:val="fr-FR"/>
        </w:rPr>
        <w:t xml:space="preserve">Feuille de route pour </w:t>
      </w:r>
      <w:r w:rsidR="000776EC" w:rsidRPr="006018CC">
        <w:rPr>
          <w:lang w:val="fr-FR"/>
        </w:rPr>
        <w:t>l’évaluation</w:t>
      </w:r>
      <w:r w:rsidRPr="006018CC">
        <w:rPr>
          <w:lang w:val="fr-FR"/>
        </w:rPr>
        <w:t xml:space="preserve"> </w:t>
      </w:r>
      <w:r w:rsidR="00EC4E9C" w:rsidRPr="006018CC">
        <w:rPr>
          <w:lang w:val="fr-FR"/>
        </w:rPr>
        <w:t xml:space="preserve">des capacités </w:t>
      </w:r>
      <w:r w:rsidRPr="006018CC">
        <w:rPr>
          <w:lang w:val="fr-FR"/>
        </w:rPr>
        <w:t>des prestataires de services</w:t>
      </w:r>
      <w:r w:rsidR="000776EC" w:rsidRPr="006018CC">
        <w:rPr>
          <w:shd w:val="clear" w:color="auto" w:fill="FFFFFF"/>
          <w:lang w:val="fr-FR" w:eastAsia="it-IT"/>
        </w:rPr>
        <w:t xml:space="preserve"> et de l’organisation</w:t>
      </w:r>
      <w:r w:rsidRPr="006018CC">
        <w:rPr>
          <w:shd w:val="clear" w:color="auto" w:fill="FFFFFF"/>
          <w:lang w:val="fr-FR" w:eastAsia="it-IT"/>
        </w:rPr>
        <w:t xml:space="preserve"> et</w:t>
      </w:r>
      <w:r w:rsidR="00167D73" w:rsidRPr="006018CC">
        <w:rPr>
          <w:shd w:val="clear" w:color="auto" w:fill="FFFFFF"/>
          <w:lang w:val="fr-FR" w:eastAsia="it-IT"/>
        </w:rPr>
        <w:t xml:space="preserve"> </w:t>
      </w:r>
      <w:r w:rsidR="000776EC" w:rsidRPr="006018CC">
        <w:rPr>
          <w:shd w:val="clear" w:color="auto" w:fill="FFFFFF"/>
          <w:lang w:val="fr-FR" w:eastAsia="it-IT"/>
        </w:rPr>
        <w:t xml:space="preserve">l’analyse </w:t>
      </w:r>
      <w:r w:rsidRPr="006018CC">
        <w:rPr>
          <w:shd w:val="clear" w:color="auto" w:fill="FFFFFF"/>
          <w:lang w:val="fr-FR" w:eastAsia="it-IT"/>
        </w:rPr>
        <w:t>des risques</w:t>
      </w:r>
    </w:p>
    <w:p w14:paraId="0D3251E5" w14:textId="4767A080" w:rsidR="00E66A9A" w:rsidRPr="006018CC" w:rsidRDefault="006018CC" w:rsidP="00C40D97">
      <w:pPr>
        <w:ind w:left="-170"/>
        <w:rPr>
          <w:sz w:val="22"/>
          <w:lang w:val="fr-FR"/>
        </w:rPr>
      </w:pPr>
      <w:r w:rsidRPr="006018CC">
        <w:rPr>
          <w:sz w:val="22"/>
          <w:lang w:val="fr-FR"/>
        </w:rPr>
        <w:pict w14:anchorId="50A9F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249.8pt">
            <v:imagedata r:id="rId9" o:title="02-Assessment-rodmap-EN4"/>
          </v:shape>
        </w:pict>
      </w:r>
    </w:p>
    <w:p w14:paraId="49B0E027" w14:textId="730665B0" w:rsidR="00C83F9A" w:rsidRPr="006018CC" w:rsidRDefault="00E66A9A" w:rsidP="006607B1">
      <w:pPr>
        <w:pStyle w:val="Heading2"/>
        <w:spacing w:before="480"/>
        <w:rPr>
          <w:lang w:val="fr-FR"/>
        </w:rPr>
      </w:pPr>
      <w:r w:rsidRPr="006018CC">
        <w:rPr>
          <w:lang w:val="fr-FR"/>
        </w:rPr>
        <w:t>INTRODUCTION</w:t>
      </w:r>
    </w:p>
    <w:p w14:paraId="049831F7" w14:textId="5B007B85" w:rsidR="006327BB" w:rsidRPr="006018CC" w:rsidRDefault="00570D79" w:rsidP="00167D73">
      <w:pPr>
        <w:rPr>
          <w:lang w:val="fr-FR"/>
        </w:rPr>
      </w:pPr>
      <w:r w:rsidRPr="006018CC">
        <w:rPr>
          <w:lang w:val="fr-FR"/>
        </w:rPr>
        <w:t xml:space="preserve">Lorsque vous menez une évaluation, il est important de savoir quelles sont les capacités existantes en matière de mise en </w:t>
      </w:r>
      <w:r w:rsidR="00533028" w:rsidRPr="006018CC">
        <w:rPr>
          <w:lang w:val="fr-FR"/>
        </w:rPr>
        <w:t>œuvre</w:t>
      </w:r>
      <w:r w:rsidR="00C10574" w:rsidRPr="006018CC">
        <w:rPr>
          <w:lang w:val="fr-FR"/>
        </w:rPr>
        <w:t xml:space="preserve"> </w:t>
      </w:r>
      <w:r w:rsidR="00167D73" w:rsidRPr="006018CC">
        <w:rPr>
          <w:lang w:val="fr-FR"/>
        </w:rPr>
        <w:t>d’opérations de</w:t>
      </w:r>
      <w:r w:rsidRPr="006018CC">
        <w:rPr>
          <w:lang w:val="fr-FR"/>
        </w:rPr>
        <w:t xml:space="preserve"> transferts monétaires</w:t>
      </w:r>
      <w:r w:rsidR="00533028" w:rsidRPr="006018CC">
        <w:rPr>
          <w:lang w:val="fr-FR"/>
        </w:rPr>
        <w:t xml:space="preserve"> et de connaître les risques liés à ce type d’intervention. </w:t>
      </w:r>
      <w:r w:rsidR="00C9101C" w:rsidRPr="006018CC">
        <w:rPr>
          <w:lang w:val="fr-FR"/>
        </w:rPr>
        <w:t>Cela implique d’élargir l’évaluation de manière à y inclure ces éléments et, si nécessaire, de procéder à des évaluations individuelles des capacités. À ce stade, les informations générales pertinentes recueillies durant la phase de préparation peuvent être utiles, mais elles doivent être mises à jour et adaptées au contexte.</w:t>
      </w:r>
    </w:p>
    <w:p w14:paraId="3514BFAA" w14:textId="5EEAE188" w:rsidR="00E66677" w:rsidRPr="006018CC" w:rsidRDefault="00C9101C" w:rsidP="008F6D6C">
      <w:pPr>
        <w:rPr>
          <w:lang w:val="fr-FR"/>
        </w:rPr>
      </w:pPr>
      <w:r w:rsidRPr="006018CC">
        <w:rPr>
          <w:lang w:val="fr-FR"/>
        </w:rPr>
        <w:t>L’évaluation des capacités et des risques fournira des informations essentielles pour les phases</w:t>
      </w:r>
      <w:r w:rsidR="00E66677" w:rsidRPr="006018CC">
        <w:rPr>
          <w:lang w:val="fr-FR"/>
        </w:rPr>
        <w:t xml:space="preserve"> </w:t>
      </w:r>
      <w:r w:rsidRPr="006018CC">
        <w:rPr>
          <w:lang w:val="fr-FR"/>
        </w:rPr>
        <w:t>d</w:t>
      </w:r>
      <w:r w:rsidR="008F6D6C" w:rsidRPr="006018CC">
        <w:rPr>
          <w:lang w:val="fr-FR"/>
        </w:rPr>
        <w:t>’</w:t>
      </w:r>
      <w:r w:rsidRPr="006018CC">
        <w:rPr>
          <w:lang w:val="fr-FR"/>
        </w:rPr>
        <w:t>analyse</w:t>
      </w:r>
      <w:r w:rsidR="008F6D6C" w:rsidRPr="006018CC">
        <w:rPr>
          <w:lang w:val="fr-FR"/>
        </w:rPr>
        <w:t>, de préparation et de mise en œuvre de l’intervention</w:t>
      </w:r>
      <w:r w:rsidR="00E66677" w:rsidRPr="006018CC">
        <w:rPr>
          <w:lang w:val="fr-FR"/>
        </w:rPr>
        <w:t xml:space="preserve">. </w:t>
      </w:r>
      <w:r w:rsidR="008F6D6C" w:rsidRPr="006018CC">
        <w:rPr>
          <w:lang w:val="fr-FR"/>
        </w:rPr>
        <w:t>C’est pourquoi vous devez toujours effectuer une analyse des capacités et des risques, dont le niveau de détail peut toutefois dépendre des informations et des ressources disponibles, du contexte et de la portée de l’intervention envisagée. Cette feuille de route établit des normes minimales</w:t>
      </w:r>
      <w:r w:rsidR="00445920" w:rsidRPr="006018CC">
        <w:rPr>
          <w:lang w:val="fr-FR"/>
        </w:rPr>
        <w:t xml:space="preserve"> en la matière</w:t>
      </w:r>
      <w:r w:rsidR="008F6D6C" w:rsidRPr="006018CC">
        <w:rPr>
          <w:lang w:val="fr-FR"/>
        </w:rPr>
        <w:t>.</w:t>
      </w:r>
    </w:p>
    <w:p w14:paraId="0B9D647D" w14:textId="3BD3F785" w:rsidR="00CE1C9B" w:rsidRPr="006018CC" w:rsidRDefault="00445920" w:rsidP="00AE0D18">
      <w:pPr>
        <w:rPr>
          <w:lang w:val="fr-FR"/>
        </w:rPr>
      </w:pPr>
      <w:r w:rsidRPr="006018CC">
        <w:rPr>
          <w:lang w:val="fr-FR"/>
        </w:rPr>
        <w:t>Les différentes composantes de l’évaluation des capacités et des risques ont été divisées en trois étapes</w:t>
      </w:r>
      <w:r w:rsidR="00167D73" w:rsidRPr="006018CC">
        <w:rPr>
          <w:lang w:val="fr-FR"/>
        </w:rPr>
        <w:t xml:space="preserve"> subsidiaires</w:t>
      </w:r>
      <w:r w:rsidRPr="006018CC">
        <w:rPr>
          <w:lang w:val="fr-FR"/>
        </w:rPr>
        <w:t>. Une série d’outils sont proposés pour chaque étape</w:t>
      </w:r>
      <w:r w:rsidR="00167D73" w:rsidRPr="006018CC">
        <w:rPr>
          <w:lang w:val="fr-FR"/>
        </w:rPr>
        <w:t xml:space="preserve"> subsidiaire</w:t>
      </w:r>
      <w:r w:rsidRPr="006018CC">
        <w:rPr>
          <w:lang w:val="fr-FR"/>
        </w:rPr>
        <w:t xml:space="preserve">. La première est axée sur la question de savoir si les prestataires de services ont la capacité </w:t>
      </w:r>
      <w:r w:rsidR="00C10574" w:rsidRPr="006018CC">
        <w:rPr>
          <w:lang w:val="fr-FR"/>
        </w:rPr>
        <w:t xml:space="preserve">de soutenir une </w:t>
      </w:r>
      <w:r w:rsidR="00AE0D18" w:rsidRPr="006018CC">
        <w:rPr>
          <w:lang w:val="fr-FR"/>
        </w:rPr>
        <w:t>opération de</w:t>
      </w:r>
      <w:r w:rsidR="00C10574" w:rsidRPr="006018CC">
        <w:rPr>
          <w:lang w:val="fr-FR"/>
        </w:rPr>
        <w:t xml:space="preserve"> t</w:t>
      </w:r>
      <w:r w:rsidRPr="006018CC">
        <w:rPr>
          <w:lang w:val="fr-FR"/>
        </w:rPr>
        <w:t xml:space="preserve">ransferts monétaires. La deuxième concerne l’évaluation de la capacité de votre organisation et de ses partenaires </w:t>
      </w:r>
      <w:r w:rsidR="00CD182D" w:rsidRPr="006018CC">
        <w:rPr>
          <w:lang w:val="fr-FR"/>
        </w:rPr>
        <w:t>de</w:t>
      </w:r>
      <w:r w:rsidRPr="006018CC">
        <w:rPr>
          <w:lang w:val="fr-FR"/>
        </w:rPr>
        <w:t xml:space="preserve"> mettre en œuvre un</w:t>
      </w:r>
      <w:r w:rsidR="00CD182D" w:rsidRPr="006018CC">
        <w:rPr>
          <w:lang w:val="fr-FR"/>
        </w:rPr>
        <w:t xml:space="preserve">e opération </w:t>
      </w:r>
      <w:r w:rsidR="00AE0D18" w:rsidRPr="006018CC">
        <w:rPr>
          <w:lang w:val="fr-FR"/>
        </w:rPr>
        <w:t>de</w:t>
      </w:r>
      <w:r w:rsidRPr="006018CC">
        <w:rPr>
          <w:lang w:val="fr-FR"/>
        </w:rPr>
        <w:t xml:space="preserve"> transferts monétaires de manière opportune et à grande échelle. La troisième porte sur l’analyse des risques </w:t>
      </w:r>
      <w:r w:rsidR="00E60078" w:rsidRPr="006018CC">
        <w:rPr>
          <w:lang w:val="fr-FR"/>
        </w:rPr>
        <w:t xml:space="preserve">que peut </w:t>
      </w:r>
      <w:r w:rsidR="003D3214" w:rsidRPr="006018CC">
        <w:rPr>
          <w:lang w:val="fr-FR"/>
        </w:rPr>
        <w:t xml:space="preserve">comporter </w:t>
      </w:r>
      <w:r w:rsidR="00E60078" w:rsidRPr="006018CC">
        <w:rPr>
          <w:lang w:val="fr-FR"/>
        </w:rPr>
        <w:t>ce type d’opération</w:t>
      </w:r>
      <w:r w:rsidRPr="006018CC">
        <w:rPr>
          <w:lang w:val="fr-FR"/>
        </w:rPr>
        <w:t xml:space="preserve">. </w:t>
      </w:r>
    </w:p>
    <w:p w14:paraId="65CE7550" w14:textId="77777777" w:rsidR="00D10FA8" w:rsidRPr="006018CC" w:rsidRDefault="00D10FA8" w:rsidP="0001565B">
      <w:pPr>
        <w:rPr>
          <w:lang w:val="fr-FR"/>
        </w:rPr>
      </w:pPr>
    </w:p>
    <w:p w14:paraId="3C85DAB3" w14:textId="6F1591A5" w:rsidR="000B0222" w:rsidRPr="006018CC" w:rsidRDefault="0001565B" w:rsidP="00AE0D18">
      <w:pPr>
        <w:rPr>
          <w:lang w:val="fr-FR"/>
        </w:rPr>
      </w:pPr>
      <w:r w:rsidRPr="006018CC">
        <w:rPr>
          <w:lang w:val="fr-FR"/>
        </w:rPr>
        <w:t xml:space="preserve">Si vous avez besoins d’explications plus détaillées sur l’évaluation des capacités et des risques, veuillez consulter les documents de référence </w:t>
      </w:r>
      <w:r w:rsidR="00AE0D18" w:rsidRPr="006018CC">
        <w:rPr>
          <w:lang w:val="fr-FR"/>
        </w:rPr>
        <w:t>proposés</w:t>
      </w:r>
      <w:r w:rsidRPr="006018CC">
        <w:rPr>
          <w:lang w:val="fr-FR"/>
        </w:rPr>
        <w:t xml:space="preserve"> à la fin de cette feuille de route.</w:t>
      </w:r>
      <w:r w:rsidR="000B0222" w:rsidRPr="006018CC">
        <w:rPr>
          <w:lang w:val="fr-FR"/>
        </w:rPr>
        <w:t xml:space="preserve"> </w:t>
      </w:r>
    </w:p>
    <w:p w14:paraId="4E297FEC" w14:textId="68996663" w:rsidR="00E66A9A" w:rsidRPr="006018CC" w:rsidRDefault="0001565B" w:rsidP="0001565B">
      <w:pPr>
        <w:pStyle w:val="Heading2"/>
        <w:rPr>
          <w:lang w:val="fr-FR"/>
        </w:rPr>
      </w:pPr>
      <w:r w:rsidRPr="006018CC">
        <w:rPr>
          <w:lang w:val="fr-FR"/>
        </w:rPr>
        <w:t>NORMES MINIMALES</w:t>
      </w:r>
    </w:p>
    <w:p w14:paraId="6C736B90" w14:textId="22063C5B" w:rsidR="00E66677" w:rsidRPr="006018CC" w:rsidRDefault="00D10FA8" w:rsidP="0001565B">
      <w:pPr>
        <w:pStyle w:val="ListParagraph"/>
        <w:keepNext/>
        <w:numPr>
          <w:ilvl w:val="0"/>
          <w:numId w:val="28"/>
        </w:numPr>
        <w:autoSpaceDE w:val="0"/>
        <w:autoSpaceDN w:val="0"/>
        <w:adjustRightInd w:val="0"/>
        <w:spacing w:after="120"/>
        <w:ind w:left="714" w:hanging="357"/>
        <w:contextualSpacing w:val="0"/>
        <w:rPr>
          <w:rFonts w:cs="Arial"/>
          <w:szCs w:val="20"/>
          <w:lang w:val="fr-FR"/>
        </w:rPr>
      </w:pPr>
      <w:r w:rsidRPr="006018CC">
        <w:rPr>
          <w:rFonts w:cs="Arial"/>
          <w:szCs w:val="20"/>
          <w:lang w:val="fr-FR"/>
        </w:rPr>
        <w:t>Évaluez les capacités et l</w:t>
      </w:r>
      <w:r w:rsidR="0001565B" w:rsidRPr="006018CC">
        <w:rPr>
          <w:rFonts w:cs="Arial"/>
          <w:szCs w:val="20"/>
          <w:lang w:val="fr-FR"/>
        </w:rPr>
        <w:t>es risques en associant les différents départements (surtout ceux de la logistique et des finances), avant de passer à l’analyse de l’intervention</w:t>
      </w:r>
      <w:r w:rsidR="00E60078" w:rsidRPr="006018CC">
        <w:rPr>
          <w:rFonts w:cs="Arial"/>
          <w:szCs w:val="20"/>
          <w:lang w:val="fr-FR"/>
        </w:rPr>
        <w:t>.</w:t>
      </w:r>
    </w:p>
    <w:p w14:paraId="0EDE036B" w14:textId="26354222" w:rsidR="00C53138" w:rsidRPr="006018CC" w:rsidRDefault="0001565B" w:rsidP="00DD1832">
      <w:pPr>
        <w:pStyle w:val="ListParagraph"/>
        <w:keepNext/>
        <w:numPr>
          <w:ilvl w:val="0"/>
          <w:numId w:val="28"/>
        </w:numPr>
        <w:autoSpaceDE w:val="0"/>
        <w:autoSpaceDN w:val="0"/>
        <w:adjustRightInd w:val="0"/>
        <w:spacing w:after="120"/>
        <w:ind w:left="714" w:hanging="357"/>
        <w:contextualSpacing w:val="0"/>
        <w:rPr>
          <w:rFonts w:cs="Arial"/>
          <w:szCs w:val="20"/>
          <w:lang w:val="fr-FR"/>
        </w:rPr>
      </w:pPr>
      <w:r w:rsidRPr="006018CC">
        <w:rPr>
          <w:rFonts w:cs="Arial"/>
          <w:bCs/>
          <w:szCs w:val="20"/>
          <w:lang w:val="fr-FR"/>
        </w:rPr>
        <w:t xml:space="preserve">Les informations recueillies auprès des prestataires de services </w:t>
      </w:r>
      <w:r w:rsidR="00DD1832" w:rsidRPr="006018CC">
        <w:rPr>
          <w:rFonts w:cs="Arial"/>
          <w:bCs/>
          <w:szCs w:val="20"/>
          <w:lang w:val="fr-FR"/>
        </w:rPr>
        <w:t>doivent être comparées aux données et informations secondaires collectées au niveau des communautés</w:t>
      </w:r>
      <w:r w:rsidR="00CB2748" w:rsidRPr="006018CC">
        <w:rPr>
          <w:rFonts w:cs="Arial"/>
          <w:bCs/>
          <w:szCs w:val="20"/>
          <w:lang w:val="fr-FR"/>
        </w:rPr>
        <w:t>.</w:t>
      </w:r>
      <w:r w:rsidR="00DD1832" w:rsidRPr="006018CC">
        <w:rPr>
          <w:rFonts w:cs="Arial"/>
          <w:bCs/>
          <w:szCs w:val="20"/>
          <w:lang w:val="fr-FR"/>
        </w:rPr>
        <w:t xml:space="preserve"> </w:t>
      </w:r>
    </w:p>
    <w:p w14:paraId="4A4CD0AA" w14:textId="5EC8D387" w:rsidR="005D631B" w:rsidRPr="006018CC" w:rsidRDefault="00CB2748" w:rsidP="00295D6C">
      <w:pPr>
        <w:pStyle w:val="ListParagraph"/>
        <w:widowControl w:val="0"/>
        <w:numPr>
          <w:ilvl w:val="0"/>
          <w:numId w:val="28"/>
        </w:numPr>
        <w:autoSpaceDE w:val="0"/>
        <w:autoSpaceDN w:val="0"/>
        <w:adjustRightInd w:val="0"/>
        <w:spacing w:after="120"/>
        <w:ind w:left="714" w:hanging="357"/>
        <w:contextualSpacing w:val="0"/>
        <w:rPr>
          <w:rFonts w:cs="Arial"/>
          <w:szCs w:val="20"/>
          <w:lang w:val="fr-FR"/>
        </w:rPr>
      </w:pPr>
      <w:r w:rsidRPr="006018CC">
        <w:rPr>
          <w:rFonts w:cs="Arial"/>
          <w:bCs/>
          <w:szCs w:val="20"/>
          <w:lang w:val="fr-FR"/>
        </w:rPr>
        <w:t xml:space="preserve">Lorsque vous évaluez les services financiers, prenez en compte les services formels </w:t>
      </w:r>
      <w:r w:rsidR="00295D6C" w:rsidRPr="006018CC">
        <w:rPr>
          <w:rFonts w:cs="Arial"/>
          <w:bCs/>
          <w:szCs w:val="20"/>
          <w:lang w:val="fr-FR"/>
        </w:rPr>
        <w:t xml:space="preserve">et </w:t>
      </w:r>
      <w:r w:rsidRPr="006018CC">
        <w:rPr>
          <w:rFonts w:cs="Arial"/>
          <w:bCs/>
          <w:szCs w:val="20"/>
          <w:lang w:val="fr-FR"/>
        </w:rPr>
        <w:t xml:space="preserve">informels </w:t>
      </w:r>
      <w:r w:rsidR="001004F9" w:rsidRPr="006018CC">
        <w:rPr>
          <w:rFonts w:cs="Arial"/>
          <w:bCs/>
          <w:szCs w:val="20"/>
          <w:lang w:val="fr-FR"/>
        </w:rPr>
        <w:t xml:space="preserve">utilisés par </w:t>
      </w:r>
      <w:r w:rsidRPr="006018CC">
        <w:rPr>
          <w:rFonts w:cs="Arial"/>
          <w:bCs/>
          <w:szCs w:val="20"/>
          <w:lang w:val="fr-FR"/>
        </w:rPr>
        <w:t>la population touchée par le choc.</w:t>
      </w:r>
    </w:p>
    <w:p w14:paraId="62C5A3C1" w14:textId="701D98E0" w:rsidR="00E66677" w:rsidRPr="006018CC" w:rsidRDefault="00864ED9" w:rsidP="00683F8E">
      <w:pPr>
        <w:pStyle w:val="ListParagraph"/>
        <w:widowControl w:val="0"/>
        <w:numPr>
          <w:ilvl w:val="0"/>
          <w:numId w:val="28"/>
        </w:numPr>
        <w:autoSpaceDE w:val="0"/>
        <w:autoSpaceDN w:val="0"/>
        <w:adjustRightInd w:val="0"/>
        <w:spacing w:after="120"/>
        <w:ind w:left="714" w:hanging="357"/>
        <w:contextualSpacing w:val="0"/>
        <w:rPr>
          <w:rFonts w:cs="Arial"/>
          <w:szCs w:val="20"/>
          <w:lang w:val="fr-FR"/>
        </w:rPr>
      </w:pPr>
      <w:r w:rsidRPr="006018CC">
        <w:rPr>
          <w:rFonts w:cs="Arial"/>
          <w:bCs/>
          <w:szCs w:val="20"/>
          <w:lang w:val="fr-FR"/>
        </w:rPr>
        <w:t>Lorsque vous évaluez les capacités des prest</w:t>
      </w:r>
      <w:r w:rsidR="00EC4E9C" w:rsidRPr="006018CC">
        <w:rPr>
          <w:rFonts w:cs="Arial"/>
          <w:bCs/>
          <w:szCs w:val="20"/>
          <w:lang w:val="fr-FR"/>
        </w:rPr>
        <w:t>at</w:t>
      </w:r>
      <w:r w:rsidRPr="006018CC">
        <w:rPr>
          <w:rFonts w:cs="Arial"/>
          <w:bCs/>
          <w:szCs w:val="20"/>
          <w:lang w:val="fr-FR"/>
        </w:rPr>
        <w:t>aires de services</w:t>
      </w:r>
      <w:r w:rsidR="00683F8E" w:rsidRPr="006018CC">
        <w:rPr>
          <w:rFonts w:cs="Arial"/>
          <w:bCs/>
          <w:szCs w:val="20"/>
          <w:lang w:val="fr-FR"/>
        </w:rPr>
        <w:t xml:space="preserve">, veillez à ce que les questions juridiques et de protection des données soient prises en compte. </w:t>
      </w:r>
    </w:p>
    <w:p w14:paraId="5C5C8734" w14:textId="351F5DF7" w:rsidR="00BB3322" w:rsidRPr="006018CC" w:rsidRDefault="00C54D86" w:rsidP="00295D6C">
      <w:pPr>
        <w:pStyle w:val="ListParagraph"/>
        <w:numPr>
          <w:ilvl w:val="0"/>
          <w:numId w:val="28"/>
        </w:numPr>
        <w:spacing w:after="120"/>
        <w:ind w:left="714" w:hanging="357"/>
        <w:contextualSpacing w:val="0"/>
        <w:rPr>
          <w:rFonts w:eastAsia="Times New Roman" w:cs="Arial"/>
          <w:szCs w:val="20"/>
          <w:lang w:val="fr-FR"/>
        </w:rPr>
      </w:pPr>
      <w:r w:rsidRPr="006018CC">
        <w:rPr>
          <w:rFonts w:eastAsia="Times New Roman" w:cs="Arial"/>
          <w:szCs w:val="20"/>
          <w:lang w:val="fr-FR"/>
        </w:rPr>
        <w:t xml:space="preserve">Des </w:t>
      </w:r>
      <w:r w:rsidR="00295D6C" w:rsidRPr="006018CC">
        <w:rPr>
          <w:rFonts w:eastAsia="Times New Roman" w:cs="Arial"/>
          <w:szCs w:val="20"/>
          <w:lang w:val="fr-FR"/>
        </w:rPr>
        <w:t>responsables</w:t>
      </w:r>
      <w:r w:rsidRPr="006018CC">
        <w:rPr>
          <w:rFonts w:eastAsia="Times New Roman" w:cs="Arial"/>
          <w:szCs w:val="20"/>
          <w:lang w:val="fr-FR"/>
        </w:rPr>
        <w:t xml:space="preserve"> de haut niveau doivent être associés aux discussions menées sur les capacités de l’organisation et de ses partenaires de manière à garantir un examen approfondi des possibilités, des risques et des orientations stratégiques</w:t>
      </w:r>
      <w:r w:rsidR="00CA350C" w:rsidRPr="006018CC">
        <w:rPr>
          <w:rFonts w:eastAsia="Times New Roman" w:cs="Arial"/>
          <w:szCs w:val="20"/>
          <w:lang w:val="fr-FR"/>
        </w:rPr>
        <w:t>.</w:t>
      </w:r>
    </w:p>
    <w:p w14:paraId="1C935CD1" w14:textId="25157E1D" w:rsidR="00BB3322" w:rsidRPr="006018CC" w:rsidRDefault="00090479" w:rsidP="00295D6C">
      <w:pPr>
        <w:pStyle w:val="ListParagraph"/>
        <w:widowControl w:val="0"/>
        <w:numPr>
          <w:ilvl w:val="0"/>
          <w:numId w:val="28"/>
        </w:numPr>
        <w:autoSpaceDE w:val="0"/>
        <w:autoSpaceDN w:val="0"/>
        <w:adjustRightInd w:val="0"/>
        <w:spacing w:after="120"/>
        <w:ind w:left="714" w:hanging="357"/>
        <w:contextualSpacing w:val="0"/>
        <w:rPr>
          <w:rFonts w:cs="Arial"/>
          <w:szCs w:val="20"/>
          <w:lang w:val="fr-FR"/>
        </w:rPr>
      </w:pPr>
      <w:r w:rsidRPr="006018CC">
        <w:rPr>
          <w:rFonts w:cs="Arial"/>
          <w:szCs w:val="20"/>
          <w:lang w:val="fr-FR"/>
        </w:rPr>
        <w:t>L’analyse des risques doit commencer par l’identificat</w:t>
      </w:r>
      <w:r w:rsidR="00FD3778" w:rsidRPr="006018CC">
        <w:rPr>
          <w:rFonts w:cs="Arial"/>
          <w:szCs w:val="20"/>
          <w:lang w:val="fr-FR"/>
        </w:rPr>
        <w:t>ion des risques au niveau macro</w:t>
      </w:r>
      <w:r w:rsidRPr="006018CC">
        <w:rPr>
          <w:rFonts w:cs="Arial"/>
          <w:szCs w:val="20"/>
          <w:lang w:val="fr-FR"/>
        </w:rPr>
        <w:t xml:space="preserve"> et inclure les risques </w:t>
      </w:r>
      <w:r w:rsidR="00453841" w:rsidRPr="006018CC">
        <w:rPr>
          <w:rFonts w:cs="Arial"/>
          <w:szCs w:val="20"/>
          <w:lang w:val="fr-FR"/>
        </w:rPr>
        <w:t xml:space="preserve">directement </w:t>
      </w:r>
      <w:r w:rsidRPr="006018CC">
        <w:rPr>
          <w:rFonts w:cs="Arial"/>
          <w:szCs w:val="20"/>
          <w:lang w:val="fr-FR"/>
        </w:rPr>
        <w:t>liés à la mise en œuvre d</w:t>
      </w:r>
      <w:r w:rsidR="003B20A8" w:rsidRPr="006018CC">
        <w:rPr>
          <w:rFonts w:cs="Arial"/>
          <w:szCs w:val="20"/>
          <w:lang w:val="fr-FR"/>
        </w:rPr>
        <w:t xml:space="preserve">’opérations </w:t>
      </w:r>
      <w:r w:rsidR="00295D6C" w:rsidRPr="006018CC">
        <w:rPr>
          <w:rFonts w:cs="Arial"/>
          <w:szCs w:val="20"/>
          <w:lang w:val="fr-FR"/>
        </w:rPr>
        <w:t>de</w:t>
      </w:r>
      <w:r w:rsidRPr="006018CC">
        <w:rPr>
          <w:rFonts w:cs="Arial"/>
          <w:szCs w:val="20"/>
          <w:lang w:val="fr-FR"/>
        </w:rPr>
        <w:t xml:space="preserve"> transferts monétaires dans </w:t>
      </w:r>
      <w:r w:rsidR="00295D6C" w:rsidRPr="006018CC">
        <w:rPr>
          <w:rFonts w:cs="Arial"/>
          <w:szCs w:val="20"/>
          <w:lang w:val="fr-FR"/>
        </w:rPr>
        <w:t>votre</w:t>
      </w:r>
      <w:r w:rsidRPr="006018CC">
        <w:rPr>
          <w:rFonts w:cs="Arial"/>
          <w:szCs w:val="20"/>
          <w:lang w:val="fr-FR"/>
        </w:rPr>
        <w:t xml:space="preserve"> contexte. </w:t>
      </w:r>
    </w:p>
    <w:p w14:paraId="36BC10D5" w14:textId="2F53750E" w:rsidR="00A22FB8" w:rsidRPr="006018CC" w:rsidRDefault="00453841" w:rsidP="00453841">
      <w:pPr>
        <w:pStyle w:val="Heading2"/>
        <w:rPr>
          <w:lang w:val="fr-FR"/>
        </w:rPr>
      </w:pPr>
      <w:r w:rsidRPr="006018CC">
        <w:rPr>
          <w:lang w:val="fr-FR"/>
        </w:rPr>
        <w:t>ÉTAPES</w:t>
      </w:r>
      <w:r w:rsidR="00D17094" w:rsidRPr="006018CC">
        <w:rPr>
          <w:lang w:val="fr-FR"/>
        </w:rPr>
        <w:t xml:space="preserve"> SUBSIDIAIRES</w:t>
      </w:r>
      <w:r w:rsidRPr="006018CC">
        <w:rPr>
          <w:lang w:val="fr-FR"/>
        </w:rPr>
        <w:t xml:space="preserve"> ET OUTILS</w:t>
      </w:r>
    </w:p>
    <w:p w14:paraId="1F69763B" w14:textId="29F7C1D2" w:rsidR="00681C45" w:rsidRPr="006018CC" w:rsidRDefault="007F4A2E" w:rsidP="007F4A2E">
      <w:pPr>
        <w:pStyle w:val="Heading3"/>
        <w:rPr>
          <w:rFonts w:cs="O¯øœ!Ÿ"/>
          <w:szCs w:val="22"/>
          <w:lang w:val="fr-FR"/>
        </w:rPr>
      </w:pPr>
      <w:r w:rsidRPr="006018CC">
        <w:rPr>
          <w:lang w:val="fr-FR"/>
        </w:rPr>
        <w:t>Évaluer les services financiers</w:t>
      </w:r>
    </w:p>
    <w:p w14:paraId="40EDD16B" w14:textId="2571CDD4" w:rsidR="005D631B" w:rsidRPr="006018CC" w:rsidRDefault="00FF0383" w:rsidP="0009277A">
      <w:pPr>
        <w:rPr>
          <w:bCs/>
          <w:lang w:val="fr-FR"/>
        </w:rPr>
      </w:pPr>
      <w:r w:rsidRPr="006018CC">
        <w:rPr>
          <w:lang w:val="fr-FR"/>
        </w:rPr>
        <w:t xml:space="preserve">Une évaluation initiale des prestataires de </w:t>
      </w:r>
      <w:r w:rsidR="00401830" w:rsidRPr="006018CC">
        <w:rPr>
          <w:lang w:val="fr-FR"/>
        </w:rPr>
        <w:t>services financiers, y compris l</w:t>
      </w:r>
      <w:r w:rsidRPr="006018CC">
        <w:rPr>
          <w:lang w:val="fr-FR"/>
        </w:rPr>
        <w:t>es opérateurs de téléphonie mobile, vous aidera à comprendre le contexte opérationnel</w:t>
      </w:r>
      <w:r w:rsidR="0009277A" w:rsidRPr="006018CC">
        <w:rPr>
          <w:lang w:val="fr-FR"/>
        </w:rPr>
        <w:t xml:space="preserve"> (</w:t>
      </w:r>
      <w:r w:rsidRPr="006018CC">
        <w:rPr>
          <w:lang w:val="fr-FR"/>
        </w:rPr>
        <w:t>services proposés</w:t>
      </w:r>
      <w:r w:rsidR="0009277A" w:rsidRPr="006018CC">
        <w:rPr>
          <w:lang w:val="fr-FR"/>
        </w:rPr>
        <w:t>, couverture</w:t>
      </w:r>
      <w:r w:rsidRPr="006018CC">
        <w:rPr>
          <w:lang w:val="fr-FR"/>
        </w:rPr>
        <w:t>, accessibilité, coûts et aspects juridiques et de protection des données</w:t>
      </w:r>
      <w:r w:rsidR="0009277A" w:rsidRPr="006018CC">
        <w:rPr>
          <w:lang w:val="fr-FR"/>
        </w:rPr>
        <w:t>)</w:t>
      </w:r>
      <w:r w:rsidRPr="006018CC">
        <w:rPr>
          <w:lang w:val="fr-FR"/>
        </w:rPr>
        <w:t xml:space="preserve">. Compte tenu des connaissances spécialisées dont ils disposent, les départements de soutien (Finances et Logistique) </w:t>
      </w:r>
      <w:r w:rsidRPr="006018CC">
        <w:rPr>
          <w:bCs/>
          <w:lang w:val="fr-FR"/>
        </w:rPr>
        <w:t>jouent un rôle important et dirigent même parfois l’évaluation des capacités des prestataires de services financiers. Les rôles et les responsabilités</w:t>
      </w:r>
      <w:r w:rsidR="005D631B" w:rsidRPr="006018CC">
        <w:rPr>
          <w:bCs/>
          <w:lang w:val="fr-FR"/>
        </w:rPr>
        <w:t xml:space="preserve"> </w:t>
      </w:r>
      <w:r w:rsidR="00790926" w:rsidRPr="006018CC">
        <w:rPr>
          <w:bCs/>
          <w:lang w:val="fr-FR"/>
        </w:rPr>
        <w:t>seront définis dans les procédures opérationnelles normalisées</w:t>
      </w:r>
      <w:r w:rsidR="0042174B" w:rsidRPr="006018CC">
        <w:rPr>
          <w:bCs/>
          <w:lang w:val="fr-FR"/>
        </w:rPr>
        <w:t xml:space="preserve"> </w:t>
      </w:r>
      <w:r w:rsidR="0009277A" w:rsidRPr="006018CC">
        <w:rPr>
          <w:bCs/>
          <w:lang w:val="fr-FR"/>
        </w:rPr>
        <w:t>relatives aux</w:t>
      </w:r>
      <w:r w:rsidR="0042174B" w:rsidRPr="006018CC">
        <w:rPr>
          <w:bCs/>
          <w:lang w:val="fr-FR"/>
        </w:rPr>
        <w:t xml:space="preserve"> transferts monétaires</w:t>
      </w:r>
      <w:r w:rsidR="00790926" w:rsidRPr="006018CC">
        <w:rPr>
          <w:bCs/>
          <w:lang w:val="fr-FR"/>
        </w:rPr>
        <w:t>. Une bonne coordination est en outre essentielle.</w:t>
      </w:r>
      <w:r w:rsidR="009E1DB2" w:rsidRPr="006018CC">
        <w:rPr>
          <w:bCs/>
          <w:lang w:val="fr-FR"/>
        </w:rPr>
        <w:t xml:space="preserve"> </w:t>
      </w:r>
    </w:p>
    <w:p w14:paraId="1B898C87" w14:textId="56C11560" w:rsidR="003D262A" w:rsidRPr="006018CC" w:rsidRDefault="00736C49" w:rsidP="0009277A">
      <w:pPr>
        <w:rPr>
          <w:lang w:val="fr-FR"/>
        </w:rPr>
      </w:pPr>
      <w:r w:rsidRPr="006018CC">
        <w:rPr>
          <w:bCs/>
          <w:lang w:val="fr-FR"/>
        </w:rPr>
        <w:t>Le but est que vous soyez capable d’identifier les prestataires de services et leurs capacités</w:t>
      </w:r>
      <w:r w:rsidR="00B82209" w:rsidRPr="006018CC">
        <w:rPr>
          <w:bCs/>
          <w:lang w:val="fr-FR"/>
        </w:rPr>
        <w:t xml:space="preserve"> d’intervention. Ces informations serviront de base aux discussions qui seront menées et aux décisions qui seront prises dans le cadre de l’analyse de l’intervention (m</w:t>
      </w:r>
      <w:r w:rsidR="006875AB" w:rsidRPr="006018CC">
        <w:rPr>
          <w:lang w:val="fr-FR"/>
        </w:rPr>
        <w:t xml:space="preserve">odule 3), </w:t>
      </w:r>
      <w:r w:rsidR="00B3685C" w:rsidRPr="006018CC">
        <w:rPr>
          <w:lang w:val="fr-FR"/>
        </w:rPr>
        <w:t>et fac</w:t>
      </w:r>
      <w:r w:rsidR="0042174B" w:rsidRPr="006018CC">
        <w:rPr>
          <w:lang w:val="fr-FR"/>
        </w:rPr>
        <w:t>iliteront</w:t>
      </w:r>
      <w:r w:rsidR="00B3685C" w:rsidRPr="006018CC">
        <w:rPr>
          <w:lang w:val="fr-FR"/>
        </w:rPr>
        <w:t xml:space="preserve"> la sélection finale des prestataires de services lors de</w:t>
      </w:r>
      <w:r w:rsidR="0009277A" w:rsidRPr="006018CC">
        <w:rPr>
          <w:lang w:val="fr-FR"/>
        </w:rPr>
        <w:t xml:space="preserve"> la phase</w:t>
      </w:r>
      <w:r w:rsidR="00B3685C" w:rsidRPr="006018CC">
        <w:rPr>
          <w:lang w:val="fr-FR"/>
        </w:rPr>
        <w:t xml:space="preserve"> de mise en œuvre (module 4)</w:t>
      </w:r>
      <w:r w:rsidR="006875AB" w:rsidRPr="006018CC">
        <w:rPr>
          <w:lang w:val="fr-FR"/>
        </w:rPr>
        <w:t>.</w:t>
      </w:r>
      <w:r w:rsidR="00B3685C" w:rsidRPr="006018CC">
        <w:rPr>
          <w:lang w:val="fr-FR"/>
        </w:rPr>
        <w:t xml:space="preserve"> Veillez à associer le département </w:t>
      </w:r>
      <w:r w:rsidR="0042174B" w:rsidRPr="006018CC">
        <w:rPr>
          <w:lang w:val="fr-FR"/>
        </w:rPr>
        <w:t>des finances</w:t>
      </w:r>
      <w:r w:rsidR="006875AB" w:rsidRPr="006018CC">
        <w:rPr>
          <w:lang w:val="fr-FR"/>
        </w:rPr>
        <w:t xml:space="preserve"> </w:t>
      </w:r>
      <w:r w:rsidR="00B3685C" w:rsidRPr="006018CC">
        <w:rPr>
          <w:lang w:val="fr-FR"/>
        </w:rPr>
        <w:t>à ce processus.</w:t>
      </w:r>
      <w:r w:rsidR="00722B54" w:rsidRPr="006018CC">
        <w:rPr>
          <w:lang w:val="fr-FR"/>
        </w:rPr>
        <w:t xml:space="preserve"> </w:t>
      </w:r>
    </w:p>
    <w:p w14:paraId="1C49F211" w14:textId="0146192B" w:rsidR="007165E1" w:rsidRPr="006018CC" w:rsidRDefault="00D32454" w:rsidP="00175739">
      <w:pPr>
        <w:rPr>
          <w:rFonts w:cs="Arial"/>
          <w:bCs/>
          <w:lang w:val="fr-FR"/>
        </w:rPr>
      </w:pPr>
      <w:r w:rsidRPr="006018CC">
        <w:rPr>
          <w:lang w:val="fr-FR"/>
        </w:rPr>
        <w:t xml:space="preserve">Vous trouverez, parmi les outils proposés pour </w:t>
      </w:r>
      <w:r w:rsidR="00264CAB" w:rsidRPr="006018CC">
        <w:rPr>
          <w:lang w:val="fr-FR"/>
        </w:rPr>
        <w:t>cette étape subsidiaires</w:t>
      </w:r>
      <w:r w:rsidRPr="006018CC">
        <w:rPr>
          <w:lang w:val="fr-FR"/>
        </w:rPr>
        <w:t>, une matrice récapitulant les principaux éléments à évaluer et les sources potentielles d’informations et indiquant pour chaque élément examiné si l’évaluation doit se fonder sur des recherches documentaires ou sur des entretiens. Vous trouverez en outre un questionnaire à utiliser lors des entretiens menés avec les représentants des prestataires de service</w:t>
      </w:r>
      <w:r w:rsidR="00B44DA6" w:rsidRPr="006018CC">
        <w:rPr>
          <w:lang w:val="fr-FR"/>
        </w:rPr>
        <w:t>s</w:t>
      </w:r>
      <w:r w:rsidRPr="006018CC">
        <w:rPr>
          <w:lang w:val="fr-FR"/>
        </w:rPr>
        <w:t xml:space="preserve"> actifs dans la zone touchée. Ces informations primaires doivent ensuite être </w:t>
      </w:r>
      <w:r w:rsidR="007C4CF4" w:rsidRPr="006018CC">
        <w:rPr>
          <w:lang w:val="fr-FR"/>
        </w:rPr>
        <w:t>recoupées avec les</w:t>
      </w:r>
      <w:r w:rsidRPr="006018CC">
        <w:rPr>
          <w:lang w:val="fr-FR"/>
        </w:rPr>
        <w:t xml:space="preserve"> données et </w:t>
      </w:r>
      <w:r w:rsidR="007C4CF4" w:rsidRPr="006018CC">
        <w:rPr>
          <w:lang w:val="fr-FR"/>
        </w:rPr>
        <w:t>l</w:t>
      </w:r>
      <w:r w:rsidRPr="006018CC">
        <w:rPr>
          <w:lang w:val="fr-FR"/>
        </w:rPr>
        <w:t xml:space="preserve">es informations secondaires collectées auprès de la communauté </w:t>
      </w:r>
      <w:r w:rsidR="00175739" w:rsidRPr="006018CC">
        <w:rPr>
          <w:lang w:val="fr-FR"/>
        </w:rPr>
        <w:t xml:space="preserve">concernant </w:t>
      </w:r>
      <w:r w:rsidRPr="006018CC">
        <w:rPr>
          <w:lang w:val="fr-FR"/>
        </w:rPr>
        <w:t>son accès aux services financiers et l’utilisation qu’elle en fait (outils de l’étape 2)</w:t>
      </w:r>
      <w:r w:rsidR="007165E1" w:rsidRPr="006018CC">
        <w:rPr>
          <w:lang w:val="fr-FR"/>
        </w:rPr>
        <w:t xml:space="preserve">. </w:t>
      </w:r>
      <w:r w:rsidR="007C4CF4" w:rsidRPr="006018CC">
        <w:rPr>
          <w:lang w:val="fr-FR"/>
        </w:rPr>
        <w:t>Pour ce faire</w:t>
      </w:r>
      <w:r w:rsidRPr="006018CC">
        <w:rPr>
          <w:lang w:val="fr-FR"/>
        </w:rPr>
        <w:t xml:space="preserve">, vous pouvez utiliser la feuille de calcul incluse dans les outils </w:t>
      </w:r>
      <w:r w:rsidR="007C4CF4" w:rsidRPr="006018CC">
        <w:rPr>
          <w:lang w:val="fr-FR"/>
        </w:rPr>
        <w:t>de cette étape subsidiaire</w:t>
      </w:r>
      <w:r w:rsidRPr="006018CC">
        <w:rPr>
          <w:lang w:val="fr-FR"/>
        </w:rPr>
        <w:t>.</w:t>
      </w:r>
      <w:r w:rsidR="007E5355" w:rsidRPr="006018CC">
        <w:rPr>
          <w:lang w:val="fr-FR"/>
        </w:rPr>
        <w:t xml:space="preserve"> Elle vous permettra de vous faire une idée de l’endroit où se trouvent les prestataires de services et de leur capacité </w:t>
      </w:r>
      <w:r w:rsidR="00B44DA6" w:rsidRPr="006018CC">
        <w:rPr>
          <w:lang w:val="fr-FR"/>
        </w:rPr>
        <w:t>d’</w:t>
      </w:r>
      <w:r w:rsidR="007E5355" w:rsidRPr="006018CC">
        <w:rPr>
          <w:lang w:val="fr-FR"/>
        </w:rPr>
        <w:t>atteindre la population touchée.</w:t>
      </w:r>
      <w:r w:rsidR="007165E1" w:rsidRPr="006018CC">
        <w:rPr>
          <w:rFonts w:cs="Arial"/>
          <w:bCs/>
          <w:lang w:val="fr-FR"/>
        </w:rPr>
        <w:t xml:space="preserve"> </w:t>
      </w:r>
    </w:p>
    <w:p w14:paraId="5BD83BDC" w14:textId="6EAAA0B0" w:rsidR="007165E1" w:rsidRPr="006018CC" w:rsidRDefault="007E5355" w:rsidP="00175739">
      <w:pPr>
        <w:rPr>
          <w:lang w:val="fr-FR"/>
        </w:rPr>
      </w:pPr>
      <w:r w:rsidRPr="006018CC">
        <w:rPr>
          <w:rFonts w:cs="O¯øœ!Ÿ"/>
          <w:lang w:val="fr-FR"/>
        </w:rPr>
        <w:t>Selon la complexité du secteur dans lequel les</w:t>
      </w:r>
      <w:r w:rsidR="00535BDE" w:rsidRPr="006018CC">
        <w:rPr>
          <w:rFonts w:cs="O¯øœ!Ÿ"/>
          <w:lang w:val="fr-FR"/>
        </w:rPr>
        <w:t xml:space="preserve"> prestatai</w:t>
      </w:r>
      <w:r w:rsidRPr="006018CC">
        <w:rPr>
          <w:rFonts w:cs="O¯øœ!Ÿ"/>
          <w:lang w:val="fr-FR"/>
        </w:rPr>
        <w:t>re</w:t>
      </w:r>
      <w:r w:rsidR="00535BDE" w:rsidRPr="006018CC">
        <w:rPr>
          <w:rFonts w:cs="O¯øœ!Ÿ"/>
          <w:lang w:val="fr-FR"/>
        </w:rPr>
        <w:t>s</w:t>
      </w:r>
      <w:r w:rsidRPr="006018CC">
        <w:rPr>
          <w:rFonts w:cs="O¯øœ!Ÿ"/>
          <w:lang w:val="fr-FR"/>
        </w:rPr>
        <w:t xml:space="preserve"> de service</w:t>
      </w:r>
      <w:r w:rsidR="00535BDE" w:rsidRPr="006018CC">
        <w:rPr>
          <w:rFonts w:cs="O¯øœ!Ÿ"/>
          <w:lang w:val="fr-FR"/>
        </w:rPr>
        <w:t xml:space="preserve">s opèrent, il peut être </w:t>
      </w:r>
      <w:r w:rsidR="00175739" w:rsidRPr="006018CC">
        <w:rPr>
          <w:rFonts w:cs="O¯øœ!Ÿ"/>
          <w:lang w:val="fr-FR"/>
        </w:rPr>
        <w:t>utile</w:t>
      </w:r>
      <w:r w:rsidR="00535BDE" w:rsidRPr="006018CC">
        <w:rPr>
          <w:rFonts w:cs="O¯øœ!Ÿ"/>
          <w:lang w:val="fr-FR"/>
        </w:rPr>
        <w:t xml:space="preserve"> de s’appuyer sur les connaissances spécialisées </w:t>
      </w:r>
      <w:r w:rsidR="00175739" w:rsidRPr="006018CC">
        <w:rPr>
          <w:rFonts w:cs="O¯øœ!Ÿ"/>
          <w:lang w:val="fr-FR"/>
        </w:rPr>
        <w:t>acquises durant</w:t>
      </w:r>
      <w:r w:rsidR="00535BDE" w:rsidRPr="006018CC">
        <w:rPr>
          <w:rFonts w:cs="O¯øœ!Ÿ"/>
          <w:lang w:val="fr-FR"/>
        </w:rPr>
        <w:t xml:space="preserve"> la phase d’évaluation.</w:t>
      </w:r>
      <w:r w:rsidR="007165E1" w:rsidRPr="006018CC">
        <w:rPr>
          <w:rFonts w:cs="O¯øœ!Ÿ"/>
          <w:lang w:val="fr-FR"/>
        </w:rPr>
        <w:t xml:space="preserve"> </w:t>
      </w:r>
      <w:r w:rsidR="00535BDE" w:rsidRPr="006018CC">
        <w:rPr>
          <w:rFonts w:cs="O¯øœ!Ÿ"/>
          <w:lang w:val="fr-FR"/>
        </w:rPr>
        <w:t xml:space="preserve">Ces connaissances peuvent simplifier les processus d’identification et de sélection des prestataires de services </w:t>
      </w:r>
      <w:r w:rsidR="00175739" w:rsidRPr="006018CC">
        <w:rPr>
          <w:rFonts w:cs="O¯øœ!Ÿ"/>
          <w:lang w:val="fr-FR"/>
        </w:rPr>
        <w:t>avec qui vous</w:t>
      </w:r>
      <w:r w:rsidR="00535BDE" w:rsidRPr="006018CC">
        <w:rPr>
          <w:rFonts w:cs="O¯øœ!Ÿ"/>
          <w:lang w:val="fr-FR"/>
        </w:rPr>
        <w:t xml:space="preserve"> travailler</w:t>
      </w:r>
      <w:r w:rsidR="00175739" w:rsidRPr="006018CC">
        <w:rPr>
          <w:rFonts w:cs="O¯øœ!Ÿ"/>
          <w:lang w:val="fr-FR"/>
        </w:rPr>
        <w:t>ez</w:t>
      </w:r>
      <w:r w:rsidR="00535BDE" w:rsidRPr="006018CC">
        <w:rPr>
          <w:rFonts w:cs="O¯øœ!Ÿ"/>
          <w:lang w:val="fr-FR"/>
        </w:rPr>
        <w:t xml:space="preserve">. Vous devrez pour ce faire obtenir des informations plus détaillées sur les prestataires de services et collaborer avec les départements </w:t>
      </w:r>
      <w:r w:rsidR="000925AC" w:rsidRPr="006018CC">
        <w:rPr>
          <w:rFonts w:cs="O¯øœ!Ÿ"/>
          <w:lang w:val="fr-FR"/>
        </w:rPr>
        <w:t>des finances et de la logistique</w:t>
      </w:r>
      <w:r w:rsidR="00535BDE" w:rsidRPr="006018CC">
        <w:rPr>
          <w:rFonts w:cs="O¯øœ!Ÿ"/>
          <w:lang w:val="fr-FR"/>
        </w:rPr>
        <w:t xml:space="preserve">. </w:t>
      </w:r>
      <w:r w:rsidR="00175739" w:rsidRPr="006018CC">
        <w:rPr>
          <w:rFonts w:cs="O¯øœ!Ÿ"/>
          <w:lang w:val="fr-FR"/>
        </w:rPr>
        <w:t>Vous trouverez dans le module </w:t>
      </w:r>
      <w:r w:rsidR="00535BDE" w:rsidRPr="006018CC">
        <w:rPr>
          <w:rFonts w:cs="O¯øœ!Ÿ"/>
          <w:lang w:val="fr-FR"/>
        </w:rPr>
        <w:t>4 (étape 3)</w:t>
      </w:r>
      <w:r w:rsidR="0073663D" w:rsidRPr="006018CC">
        <w:rPr>
          <w:rFonts w:cs="O¯øœ!Ÿ"/>
          <w:lang w:val="fr-FR"/>
        </w:rPr>
        <w:t xml:space="preserve"> des outils utiles</w:t>
      </w:r>
      <w:r w:rsidR="00535BDE" w:rsidRPr="006018CC">
        <w:rPr>
          <w:rFonts w:cs="O¯øœ!Ÿ"/>
          <w:lang w:val="fr-FR"/>
        </w:rPr>
        <w:t xml:space="preserve">. </w:t>
      </w:r>
    </w:p>
    <w:p w14:paraId="35E49E43" w14:textId="77777777" w:rsidR="00C93266" w:rsidRPr="006018CC" w:rsidRDefault="00C93266" w:rsidP="007749E8">
      <w:pPr>
        <w:pStyle w:val="Heading3"/>
        <w:rPr>
          <w:lang w:val="fr-FR"/>
        </w:rPr>
      </w:pPr>
    </w:p>
    <w:p w14:paraId="0EDAF301" w14:textId="72DAD6CB" w:rsidR="00A65DC3" w:rsidRPr="006018CC" w:rsidRDefault="007749E8" w:rsidP="007749E8">
      <w:pPr>
        <w:pStyle w:val="Heading3"/>
        <w:rPr>
          <w:lang w:val="fr-FR"/>
        </w:rPr>
      </w:pPr>
      <w:r w:rsidRPr="006018CC">
        <w:rPr>
          <w:lang w:val="fr-FR"/>
        </w:rPr>
        <w:t>Évaluer les capacités organisationnelles</w:t>
      </w:r>
    </w:p>
    <w:p w14:paraId="358E2D29" w14:textId="45914B23" w:rsidR="00936FC9" w:rsidRPr="006018CC" w:rsidRDefault="007749E8" w:rsidP="00F151C5">
      <w:pPr>
        <w:rPr>
          <w:rFonts w:cs="Lucida Grande"/>
          <w:color w:val="000000"/>
          <w:lang w:val="fr-FR"/>
        </w:rPr>
      </w:pPr>
      <w:r w:rsidRPr="006018CC">
        <w:rPr>
          <w:rFonts w:cs="Lucida Grande"/>
          <w:color w:val="000000"/>
          <w:lang w:val="fr-FR"/>
        </w:rPr>
        <w:t>L’évaluation des capacités organisationnelles et techniques de l’organisme d’exécution et de ses partenaires</w:t>
      </w:r>
      <w:r w:rsidR="007165E1" w:rsidRPr="006018CC">
        <w:rPr>
          <w:rFonts w:cs="Lucida Grande"/>
          <w:color w:val="000000"/>
          <w:lang w:val="fr-FR"/>
        </w:rPr>
        <w:t xml:space="preserve"> </w:t>
      </w:r>
      <w:r w:rsidRPr="006018CC">
        <w:rPr>
          <w:rFonts w:cs="Lucida Grande"/>
          <w:color w:val="000000"/>
          <w:lang w:val="fr-FR"/>
        </w:rPr>
        <w:t>est une étape essentielle pour assurer la qualité</w:t>
      </w:r>
      <w:r w:rsidR="00F054A5" w:rsidRPr="006018CC">
        <w:rPr>
          <w:rFonts w:cs="Lucida Grande"/>
          <w:color w:val="000000"/>
          <w:lang w:val="fr-FR"/>
        </w:rPr>
        <w:t xml:space="preserve"> (y compris en matière de protection des données)</w:t>
      </w:r>
      <w:r w:rsidRPr="006018CC">
        <w:rPr>
          <w:rFonts w:cs="Lucida Grande"/>
          <w:color w:val="000000"/>
          <w:lang w:val="fr-FR"/>
        </w:rPr>
        <w:t>, la rapidité et l’extensibilité des programmes de transferts monétaires</w:t>
      </w:r>
      <w:r w:rsidR="00F151C5" w:rsidRPr="006018CC">
        <w:rPr>
          <w:rFonts w:cs="Lucida Grande"/>
          <w:color w:val="000000"/>
          <w:lang w:val="fr-FR"/>
        </w:rPr>
        <w:t xml:space="preserve"> (PTM)</w:t>
      </w:r>
      <w:r w:rsidRPr="006018CC">
        <w:rPr>
          <w:rFonts w:cs="Lucida Grande"/>
          <w:color w:val="000000"/>
          <w:lang w:val="fr-FR"/>
        </w:rPr>
        <w:t>. Tous les départements (</w:t>
      </w:r>
      <w:r w:rsidR="00B56FC1" w:rsidRPr="006018CC">
        <w:rPr>
          <w:rFonts w:cs="Lucida Grande"/>
          <w:color w:val="000000"/>
          <w:lang w:val="fr-FR"/>
        </w:rPr>
        <w:t>gestion</w:t>
      </w:r>
      <w:r w:rsidR="002C5C58" w:rsidRPr="006018CC">
        <w:rPr>
          <w:rFonts w:cs="Lucida Grande"/>
          <w:color w:val="000000"/>
          <w:lang w:val="fr-FR"/>
        </w:rPr>
        <w:t>, technique, de soutien)</w:t>
      </w:r>
      <w:r w:rsidR="00936FC9" w:rsidRPr="006018CC">
        <w:rPr>
          <w:rFonts w:cs="Lucida Grande"/>
          <w:color w:val="000000"/>
          <w:lang w:val="fr-FR"/>
        </w:rPr>
        <w:t xml:space="preserve"> </w:t>
      </w:r>
      <w:r w:rsidR="002C5C58" w:rsidRPr="006018CC">
        <w:rPr>
          <w:rFonts w:cs="Lucida Grande"/>
          <w:color w:val="000000"/>
          <w:lang w:val="fr-FR"/>
        </w:rPr>
        <w:t>participant à la mise en œuvre de</w:t>
      </w:r>
      <w:r w:rsidR="00B56FC1" w:rsidRPr="006018CC">
        <w:rPr>
          <w:rFonts w:cs="Lucida Grande"/>
          <w:color w:val="000000"/>
          <w:lang w:val="fr-FR"/>
        </w:rPr>
        <w:t xml:space="preserve"> </w:t>
      </w:r>
      <w:r w:rsidR="00F151C5" w:rsidRPr="006018CC">
        <w:rPr>
          <w:rFonts w:cs="Lucida Grande"/>
          <w:color w:val="000000"/>
          <w:lang w:val="fr-FR"/>
        </w:rPr>
        <w:t>PTM</w:t>
      </w:r>
      <w:r w:rsidR="002C5C58" w:rsidRPr="006018CC">
        <w:rPr>
          <w:rFonts w:cs="Lucida Grande"/>
          <w:color w:val="000000"/>
          <w:lang w:val="fr-FR"/>
        </w:rPr>
        <w:t xml:space="preserve"> doivent être associés au processus. </w:t>
      </w:r>
      <w:r w:rsidR="00A639D2" w:rsidRPr="006018CC">
        <w:rPr>
          <w:rFonts w:cs="Lucida Grande"/>
          <w:color w:val="000000"/>
          <w:lang w:val="fr-FR"/>
        </w:rPr>
        <w:t>Vous trouverez</w:t>
      </w:r>
      <w:r w:rsidR="002C5C58" w:rsidRPr="006018CC">
        <w:rPr>
          <w:rFonts w:cs="Lucida Grande"/>
          <w:color w:val="000000"/>
          <w:lang w:val="fr-FR"/>
        </w:rPr>
        <w:t xml:space="preserve"> dans le m</w:t>
      </w:r>
      <w:r w:rsidR="00A639D2" w:rsidRPr="006018CC">
        <w:rPr>
          <w:rFonts w:cs="Lucida Grande"/>
          <w:color w:val="000000"/>
          <w:lang w:val="fr-FR"/>
        </w:rPr>
        <w:t>odule consacré à la préparation</w:t>
      </w:r>
      <w:r w:rsidR="002C5C58" w:rsidRPr="006018CC">
        <w:rPr>
          <w:rFonts w:cs="Lucida Grande"/>
          <w:color w:val="000000"/>
          <w:lang w:val="fr-FR"/>
        </w:rPr>
        <w:t xml:space="preserve"> une liste de contrôle permettant aux Sociétés nationales d’évaluer leur préparation et leurs capacités opérationnelles, ainsi que les lacunes à combler en matière de mise en œuvre </w:t>
      </w:r>
      <w:r w:rsidR="00B56FC1" w:rsidRPr="006018CC">
        <w:rPr>
          <w:rFonts w:cs="Lucida Grande"/>
          <w:color w:val="000000"/>
          <w:lang w:val="fr-FR"/>
        </w:rPr>
        <w:t xml:space="preserve">d’opérations </w:t>
      </w:r>
      <w:r w:rsidR="00F151C5" w:rsidRPr="006018CC">
        <w:rPr>
          <w:rFonts w:cs="Lucida Grande"/>
          <w:color w:val="000000"/>
          <w:lang w:val="fr-FR"/>
        </w:rPr>
        <w:t>de</w:t>
      </w:r>
      <w:r w:rsidR="002C5C58" w:rsidRPr="006018CC">
        <w:rPr>
          <w:rFonts w:cs="Lucida Grande"/>
          <w:color w:val="000000"/>
          <w:lang w:val="fr-FR"/>
        </w:rPr>
        <w:t xml:space="preserve"> transferts monétaires. </w:t>
      </w:r>
    </w:p>
    <w:p w14:paraId="7C0BE506" w14:textId="05171EC8" w:rsidR="00681C45" w:rsidRPr="006018CC" w:rsidRDefault="00903F5D" w:rsidP="002C5C58">
      <w:pPr>
        <w:pStyle w:val="Heading3"/>
        <w:rPr>
          <w:rFonts w:cs="O¯øœ!Ÿ"/>
          <w:szCs w:val="22"/>
          <w:lang w:val="fr-FR"/>
        </w:rPr>
      </w:pPr>
      <w:r w:rsidRPr="006018CC">
        <w:rPr>
          <w:lang w:val="fr-FR"/>
        </w:rPr>
        <w:t>Analy</w:t>
      </w:r>
      <w:r w:rsidR="00063601" w:rsidRPr="006018CC">
        <w:rPr>
          <w:lang w:val="fr-FR"/>
        </w:rPr>
        <w:t>s</w:t>
      </w:r>
      <w:r w:rsidRPr="006018CC">
        <w:rPr>
          <w:lang w:val="fr-FR"/>
        </w:rPr>
        <w:t>e</w:t>
      </w:r>
      <w:r w:rsidR="002C5C58" w:rsidRPr="006018CC">
        <w:rPr>
          <w:lang w:val="fr-FR"/>
        </w:rPr>
        <w:t>r les risques</w:t>
      </w:r>
    </w:p>
    <w:p w14:paraId="0B271A24" w14:textId="3F81674C" w:rsidR="00E76995" w:rsidRPr="006018CC" w:rsidRDefault="00100687" w:rsidP="00F151C5">
      <w:pPr>
        <w:rPr>
          <w:lang w:val="fr-FR"/>
        </w:rPr>
      </w:pPr>
      <w:r w:rsidRPr="006018CC">
        <w:rPr>
          <w:lang w:val="fr-FR"/>
        </w:rPr>
        <w:t xml:space="preserve">L’analyse des risques consiste à </w:t>
      </w:r>
      <w:r w:rsidR="002D5EAA" w:rsidRPr="006018CC">
        <w:rPr>
          <w:lang w:val="fr-FR"/>
        </w:rPr>
        <w:t>recenser</w:t>
      </w:r>
      <w:r w:rsidRPr="006018CC">
        <w:rPr>
          <w:lang w:val="fr-FR"/>
        </w:rPr>
        <w:t xml:space="preserve"> les risques, à évaluer la probabilité qu’ils se matérialisent </w:t>
      </w:r>
      <w:r w:rsidR="00385663" w:rsidRPr="006018CC">
        <w:rPr>
          <w:lang w:val="fr-FR"/>
        </w:rPr>
        <w:t>et leur impact et à décider comment les gérer.</w:t>
      </w:r>
      <w:r w:rsidR="000649E7" w:rsidRPr="006018CC">
        <w:rPr>
          <w:lang w:val="fr-FR"/>
        </w:rPr>
        <w:t xml:space="preserve"> </w:t>
      </w:r>
      <w:r w:rsidR="00385663" w:rsidRPr="006018CC">
        <w:rPr>
          <w:lang w:val="fr-FR"/>
        </w:rPr>
        <w:t>Les risques doivent être pris en compte tout au long du cycle de projet, dès la phase d’évaluation, d</w:t>
      </w:r>
      <w:r w:rsidR="00F151C5" w:rsidRPr="006018CC">
        <w:rPr>
          <w:lang w:val="fr-FR"/>
        </w:rPr>
        <w:t>urant</w:t>
      </w:r>
      <w:r w:rsidR="00385663" w:rsidRPr="006018CC">
        <w:rPr>
          <w:lang w:val="fr-FR"/>
        </w:rPr>
        <w:t xml:space="preserve"> laquelle</w:t>
      </w:r>
      <w:r w:rsidR="007C3BE3" w:rsidRPr="006018CC">
        <w:rPr>
          <w:lang w:val="fr-FR"/>
        </w:rPr>
        <w:t xml:space="preserve"> </w:t>
      </w:r>
      <w:r w:rsidR="00895696" w:rsidRPr="006018CC">
        <w:rPr>
          <w:lang w:val="fr-FR"/>
        </w:rPr>
        <w:t>les risques doivent être recensés avant toute chose</w:t>
      </w:r>
      <w:r w:rsidR="007C3BE3" w:rsidRPr="006018CC">
        <w:rPr>
          <w:lang w:val="fr-FR"/>
        </w:rPr>
        <w:t>, en particulier les risques au niveau macro. Les risques identifiés seront examiné</w:t>
      </w:r>
      <w:r w:rsidR="00A639D2" w:rsidRPr="006018CC">
        <w:rPr>
          <w:lang w:val="fr-FR"/>
        </w:rPr>
        <w:t>s de manière plus approfondie dans</w:t>
      </w:r>
      <w:r w:rsidR="007C3BE3" w:rsidRPr="006018CC">
        <w:rPr>
          <w:lang w:val="fr-FR"/>
        </w:rPr>
        <w:t xml:space="preserve"> l</w:t>
      </w:r>
      <w:r w:rsidR="00A639D2" w:rsidRPr="006018CC">
        <w:rPr>
          <w:lang w:val="fr-FR"/>
        </w:rPr>
        <w:t>e</w:t>
      </w:r>
      <w:r w:rsidR="007C3BE3" w:rsidRPr="006018CC">
        <w:rPr>
          <w:lang w:val="fr-FR"/>
        </w:rPr>
        <w:t xml:space="preserve"> cadre de l’analyse de l’intervention pour évaluer la faisabilité </w:t>
      </w:r>
      <w:r w:rsidR="0056630B" w:rsidRPr="006018CC">
        <w:rPr>
          <w:lang w:val="fr-FR"/>
        </w:rPr>
        <w:t xml:space="preserve">des transferts monétaires et l’opportunité </w:t>
      </w:r>
      <w:r w:rsidR="007C3BE3" w:rsidRPr="006018CC">
        <w:rPr>
          <w:lang w:val="fr-FR"/>
        </w:rPr>
        <w:t xml:space="preserve">des différentes </w:t>
      </w:r>
      <w:r w:rsidR="00F151C5" w:rsidRPr="006018CC">
        <w:rPr>
          <w:lang w:val="fr-FR"/>
        </w:rPr>
        <w:t>solutions</w:t>
      </w:r>
      <w:r w:rsidR="007C3BE3" w:rsidRPr="006018CC">
        <w:rPr>
          <w:lang w:val="fr-FR"/>
        </w:rPr>
        <w:t xml:space="preserve"> d’intervention. </w:t>
      </w:r>
      <w:r w:rsidR="00281A6D" w:rsidRPr="006018CC">
        <w:rPr>
          <w:lang w:val="fr-FR"/>
        </w:rPr>
        <w:t>Ils</w:t>
      </w:r>
      <w:r w:rsidR="0056630B" w:rsidRPr="006018CC">
        <w:rPr>
          <w:lang w:val="fr-FR"/>
        </w:rPr>
        <w:t xml:space="preserve"> seront atténués et </w:t>
      </w:r>
      <w:r w:rsidR="00F151C5" w:rsidRPr="006018CC">
        <w:rPr>
          <w:lang w:val="fr-FR"/>
        </w:rPr>
        <w:t>surveillés</w:t>
      </w:r>
      <w:r w:rsidR="0056630B" w:rsidRPr="006018CC">
        <w:rPr>
          <w:lang w:val="fr-FR"/>
        </w:rPr>
        <w:t xml:space="preserve"> tout au long de la phase de mise en œuvre</w:t>
      </w:r>
      <w:r w:rsidR="00A14C63" w:rsidRPr="006018CC">
        <w:rPr>
          <w:lang w:val="fr-FR"/>
        </w:rPr>
        <w:t>.</w:t>
      </w:r>
      <w:r w:rsidR="00E76995" w:rsidRPr="006018CC">
        <w:rPr>
          <w:lang w:val="fr-FR"/>
        </w:rPr>
        <w:t xml:space="preserve"> </w:t>
      </w:r>
    </w:p>
    <w:p w14:paraId="5159EE22" w14:textId="4DB222F6" w:rsidR="00A14C63" w:rsidRPr="006018CC" w:rsidRDefault="008F6D4F" w:rsidP="00F151C5">
      <w:pPr>
        <w:spacing w:after="360"/>
        <w:rPr>
          <w:color w:val="000000"/>
          <w:lang w:val="fr-FR"/>
        </w:rPr>
      </w:pPr>
      <w:r w:rsidRPr="006018CC">
        <w:rPr>
          <w:lang w:val="fr-FR"/>
        </w:rPr>
        <w:t xml:space="preserve">Les outils proposés </w:t>
      </w:r>
      <w:r w:rsidR="00F151C5" w:rsidRPr="006018CC">
        <w:rPr>
          <w:lang w:val="fr-FR"/>
        </w:rPr>
        <w:t xml:space="preserve">pour cette </w:t>
      </w:r>
      <w:r w:rsidRPr="006018CC">
        <w:rPr>
          <w:lang w:val="fr-FR"/>
        </w:rPr>
        <w:t>étape</w:t>
      </w:r>
      <w:r w:rsidR="00F151C5" w:rsidRPr="006018CC">
        <w:rPr>
          <w:lang w:val="fr-FR"/>
        </w:rPr>
        <w:t xml:space="preserve"> subsidiaire</w:t>
      </w:r>
      <w:r w:rsidRPr="006018CC">
        <w:rPr>
          <w:lang w:val="fr-FR"/>
        </w:rPr>
        <w:t xml:space="preserve"> comprennent notamment une feuille de route qui vous guidera dans le processus d’analyse des risques et qui peut également être utilisée dans la phase d’analyse de l’intervention. </w:t>
      </w:r>
      <w:r w:rsidR="00F151C5" w:rsidRPr="006018CC">
        <w:rPr>
          <w:lang w:val="fr-FR"/>
        </w:rPr>
        <w:t>Ils</w:t>
      </w:r>
      <w:r w:rsidRPr="006018CC">
        <w:rPr>
          <w:lang w:val="fr-FR"/>
        </w:rPr>
        <w:t xml:space="preserve"> incluent en outre une liste de contrôle</w:t>
      </w:r>
      <w:r w:rsidR="00245806" w:rsidRPr="006018CC">
        <w:rPr>
          <w:lang w:val="fr-FR"/>
        </w:rPr>
        <w:t xml:space="preserve"> pour la gestion des risques</w:t>
      </w:r>
      <w:r w:rsidRPr="006018CC">
        <w:rPr>
          <w:lang w:val="fr-FR"/>
        </w:rPr>
        <w:t xml:space="preserve"> vous permettant </w:t>
      </w:r>
      <w:r w:rsidR="00866743" w:rsidRPr="006018CC">
        <w:rPr>
          <w:lang w:val="fr-FR"/>
        </w:rPr>
        <w:t>de recenser</w:t>
      </w:r>
      <w:r w:rsidRPr="006018CC">
        <w:rPr>
          <w:lang w:val="fr-FR"/>
        </w:rPr>
        <w:t xml:space="preserve"> les points</w:t>
      </w:r>
      <w:r w:rsidR="00F151C5" w:rsidRPr="006018CC">
        <w:rPr>
          <w:lang w:val="fr-FR"/>
        </w:rPr>
        <w:t xml:space="preserve"> à examiner lorsque vous évaluez</w:t>
      </w:r>
      <w:r w:rsidRPr="006018CC">
        <w:rPr>
          <w:lang w:val="fr-FR"/>
        </w:rPr>
        <w:t xml:space="preserve"> la faisabilité des transferts monétaires. </w:t>
      </w:r>
    </w:p>
    <w:tbl>
      <w:tblPr>
        <w:tblStyle w:val="TableGray"/>
        <w:tblW w:w="0" w:type="auto"/>
        <w:tblLook w:val="04A0" w:firstRow="1" w:lastRow="0" w:firstColumn="1" w:lastColumn="0" w:noHBand="0" w:noVBand="1"/>
      </w:tblPr>
      <w:tblGrid>
        <w:gridCol w:w="9848"/>
      </w:tblGrid>
      <w:tr w:rsidR="00C40D97" w:rsidRPr="006018CC" w14:paraId="5ACCE316" w14:textId="77777777" w:rsidTr="00C40D97">
        <w:tc>
          <w:tcPr>
            <w:tcW w:w="9848" w:type="dxa"/>
          </w:tcPr>
          <w:p w14:paraId="305D5FC9" w14:textId="76E041C7" w:rsidR="00C40D97" w:rsidRPr="006018CC" w:rsidRDefault="00C40D97" w:rsidP="00C40D97">
            <w:pPr>
              <w:pStyle w:val="RefTitre"/>
              <w:rPr>
                <w:lang w:val="fr-FR"/>
              </w:rPr>
            </w:pPr>
            <w:r w:rsidRPr="006018CC">
              <w:rPr>
                <w:lang w:val="fr-FR"/>
              </w:rPr>
              <w:t>DOCUMENTS</w:t>
            </w:r>
            <w:r w:rsidR="00094C80" w:rsidRPr="006018CC">
              <w:rPr>
                <w:lang w:val="fr-FR"/>
              </w:rPr>
              <w:t xml:space="preserve"> DE RÉFÉRENCE</w:t>
            </w:r>
          </w:p>
          <w:p w14:paraId="093060BD" w14:textId="10DBCA8F" w:rsidR="00C40D97" w:rsidRPr="006018CC" w:rsidRDefault="008F6D4F" w:rsidP="008F6D4F">
            <w:pPr>
              <w:pStyle w:val="RefItem1"/>
              <w:rPr>
                <w:color w:val="0000FF"/>
                <w:u w:val="single"/>
                <w:lang w:val="fr-FR"/>
              </w:rPr>
            </w:pPr>
            <w:r w:rsidRPr="006018CC">
              <w:rPr>
                <w:lang w:val="fr-FR"/>
              </w:rPr>
              <w:t xml:space="preserve">Directives pour la mise en </w:t>
            </w:r>
            <w:r w:rsidR="004E4A6B" w:rsidRPr="006018CC">
              <w:rPr>
                <w:lang w:val="fr-FR"/>
              </w:rPr>
              <w:t>œuvre</w:t>
            </w:r>
            <w:r w:rsidRPr="006018CC">
              <w:rPr>
                <w:lang w:val="fr-FR"/>
              </w:rPr>
              <w:t xml:space="preserve"> de transferts électroniques en situations d’urgence, </w:t>
            </w:r>
            <w:r w:rsidR="00C40D97" w:rsidRPr="006018CC">
              <w:rPr>
                <w:lang w:val="fr-FR"/>
              </w:rPr>
              <w:t xml:space="preserve">CaLP (2013) </w:t>
            </w:r>
            <w:hyperlink r:id="rId10" w:history="1">
              <w:r w:rsidR="00B20606" w:rsidRPr="006018CC">
                <w:rPr>
                  <w:rStyle w:val="Hyperlink"/>
                  <w:rFonts w:eastAsia="Times New Roman" w:cs="Arial"/>
                  <w:szCs w:val="20"/>
                  <w:lang w:val="fr-FR"/>
                </w:rPr>
                <w:t>http://www.cashlearning.org/resources/library/390-e-transfers-in-emergencies-implementation-support-guideline</w:t>
              </w:r>
            </w:hyperlink>
          </w:p>
          <w:p w14:paraId="1FFBE769" w14:textId="2CA24745" w:rsidR="00C40D97" w:rsidRPr="006018CC" w:rsidRDefault="00776678" w:rsidP="00245806">
            <w:pPr>
              <w:pStyle w:val="RefItem1"/>
              <w:rPr>
                <w:color w:val="auto"/>
                <w:lang w:val="fr-FR"/>
              </w:rPr>
            </w:pPr>
            <w:r w:rsidRPr="006018CC">
              <w:rPr>
                <w:i/>
                <w:iCs/>
                <w:lang w:val="fr-FR"/>
              </w:rPr>
              <w:t>Sharing What Works – Working with payment service providers</w:t>
            </w:r>
            <w:r w:rsidRPr="006018CC">
              <w:rPr>
                <w:lang w:val="fr-FR"/>
              </w:rPr>
              <w:t>, Programme alimentaire mondial (2011)</w:t>
            </w:r>
            <w:r w:rsidRPr="006018CC">
              <w:rPr>
                <w:i/>
                <w:iCs/>
                <w:lang w:val="fr-FR"/>
              </w:rPr>
              <w:t xml:space="preserve"> </w:t>
            </w:r>
            <w:hyperlink r:id="rId11" w:history="1">
              <w:r w:rsidR="00B20606" w:rsidRPr="006018CC">
                <w:rPr>
                  <w:rStyle w:val="Hyperlink"/>
                  <w:lang w:val="fr-FR"/>
                </w:rPr>
                <w:t>http://www.cashlearning.org/downloads/resources/tools/share-what-works-psp.pdf</w:t>
              </w:r>
            </w:hyperlink>
            <w:r w:rsidRPr="006018CC">
              <w:rPr>
                <w:rStyle w:val="Hyperlink"/>
                <w:lang w:val="fr-FR"/>
              </w:rPr>
              <w:t xml:space="preserve"> </w:t>
            </w:r>
            <w:r w:rsidRPr="006018CC">
              <w:rPr>
                <w:rStyle w:val="Hyperlink"/>
                <w:color w:val="auto"/>
                <w:u w:val="none"/>
                <w:lang w:val="fr-FR"/>
              </w:rPr>
              <w:t>(en anglais)</w:t>
            </w:r>
          </w:p>
          <w:p w14:paraId="660B4E6F" w14:textId="6966F7F6" w:rsidR="00C40D97" w:rsidRPr="006018CC" w:rsidRDefault="00C40D97" w:rsidP="00C40D97">
            <w:pPr>
              <w:pStyle w:val="RefItem1"/>
              <w:rPr>
                <w:rFonts w:eastAsia="Times New Roman" w:cs="Arial"/>
                <w:color w:val="auto"/>
                <w:sz w:val="22"/>
                <w:szCs w:val="22"/>
                <w:lang w:val="fr-FR"/>
              </w:rPr>
            </w:pPr>
            <w:r w:rsidRPr="006018CC">
              <w:rPr>
                <w:i/>
                <w:iCs/>
                <w:lang w:val="fr-FR"/>
              </w:rPr>
              <w:t>E-payments toolkit</w:t>
            </w:r>
            <w:r w:rsidR="00776678" w:rsidRPr="006018CC">
              <w:rPr>
                <w:lang w:val="fr-FR"/>
              </w:rPr>
              <w:t xml:space="preserve">, NetHope </w:t>
            </w:r>
            <w:hyperlink r:id="rId12" w:history="1">
              <w:r w:rsidRPr="006018CC">
                <w:rPr>
                  <w:rStyle w:val="Hyperlink"/>
                  <w:lang w:val="fr-FR"/>
                </w:rPr>
                <w:t>http://solutionscenter.nethope.org/toolkit/view/c2e-toolkit</w:t>
              </w:r>
            </w:hyperlink>
            <w:r w:rsidR="002C5F21" w:rsidRPr="006018CC">
              <w:rPr>
                <w:rStyle w:val="Hyperlink"/>
                <w:color w:val="auto"/>
                <w:u w:val="none"/>
                <w:lang w:val="fr-FR"/>
              </w:rPr>
              <w:t xml:space="preserve"> (en anglais)</w:t>
            </w:r>
          </w:p>
        </w:tc>
      </w:tr>
      <w:bookmarkEnd w:id="0"/>
    </w:tbl>
    <w:p w14:paraId="2BD79C2B" w14:textId="77777777" w:rsidR="008C3CDA" w:rsidRPr="006018CC" w:rsidRDefault="008C3CDA" w:rsidP="00E76995">
      <w:pPr>
        <w:rPr>
          <w:rFonts w:eastAsia="Times New Roman"/>
          <w:sz w:val="22"/>
          <w:szCs w:val="22"/>
          <w:lang w:val="fr-FR"/>
        </w:rPr>
      </w:pPr>
    </w:p>
    <w:sectPr w:rsidR="008C3CDA" w:rsidRPr="006018CC" w:rsidSect="00C40D97">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0ACF2" w15:done="0"/>
  <w15:commentEx w15:paraId="532FAF7C" w15:done="0"/>
  <w15:commentEx w15:paraId="2B1D247C" w15:done="0"/>
  <w15:commentEx w15:paraId="408C9FB1" w15:done="0"/>
  <w15:commentEx w15:paraId="3564F032" w15:done="0"/>
  <w15:commentEx w15:paraId="244DCBEA" w15:done="0"/>
  <w15:commentEx w15:paraId="367F31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C224" w14:textId="77777777" w:rsidR="006F2ECC" w:rsidRDefault="006F2ECC">
      <w:r>
        <w:separator/>
      </w:r>
    </w:p>
  </w:endnote>
  <w:endnote w:type="continuationSeparator" w:id="0">
    <w:p w14:paraId="13D9B56C" w14:textId="77777777" w:rsidR="006F2ECC" w:rsidRDefault="006F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O¯øœ!Ÿ">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0747" w14:textId="77777777" w:rsidR="00E57B52" w:rsidRPr="00B45C74" w:rsidRDefault="00E57B5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018CC">
      <w:rPr>
        <w:b/>
        <w:noProof/>
        <w:color w:val="808080" w:themeColor="background1" w:themeShade="80"/>
        <w:sz w:val="18"/>
        <w:szCs w:val="18"/>
      </w:rPr>
      <w:t>3</w:t>
    </w:r>
    <w:r w:rsidRPr="00B45C74">
      <w:rPr>
        <w:b/>
        <w:color w:val="808080" w:themeColor="background1" w:themeShade="80"/>
        <w:sz w:val="18"/>
        <w:szCs w:val="18"/>
      </w:rPr>
      <w:fldChar w:fldCharType="end"/>
    </w:r>
  </w:p>
  <w:p w14:paraId="5EF30628" w14:textId="651124B2" w:rsidR="00E57B52" w:rsidRPr="00535BDE" w:rsidRDefault="00E57B52" w:rsidP="00357D69">
    <w:pPr>
      <w:pStyle w:val="Footer"/>
      <w:rPr>
        <w:lang w:val="fr-FR"/>
      </w:rPr>
    </w:pPr>
    <w:r w:rsidRPr="00C10574">
      <w:rPr>
        <w:b/>
        <w:lang w:val="fr-FR"/>
      </w:rPr>
      <w:t>Module 2.</w:t>
    </w:r>
    <w:r w:rsidRPr="00C10574">
      <w:rPr>
        <w:lang w:val="fr-FR"/>
      </w:rPr>
      <w:t xml:space="preserve"> </w:t>
    </w:r>
    <w:r w:rsidR="00535BDE" w:rsidRPr="00535BDE">
      <w:rPr>
        <w:lang w:val="fr-FR"/>
      </w:rPr>
      <w:t>Étape</w:t>
    </w:r>
    <w:r w:rsidRPr="00535BDE">
      <w:rPr>
        <w:lang w:val="fr-FR"/>
      </w:rPr>
      <w:t xml:space="preserve"> 4. </w:t>
    </w:r>
    <w:r w:rsidR="00535BDE" w:rsidRPr="00535BDE">
      <w:rPr>
        <w:lang w:val="fr-FR"/>
      </w:rPr>
      <w:t xml:space="preserve">Feuille de route pour </w:t>
    </w:r>
    <w:r w:rsidR="00357D69">
      <w:rPr>
        <w:lang w:val="fr-FR"/>
      </w:rPr>
      <w:t>l’évaluation</w:t>
    </w:r>
    <w:r w:rsidR="00535BDE" w:rsidRPr="00535BDE">
      <w:rPr>
        <w:lang w:val="fr-FR"/>
      </w:rPr>
      <w:t xml:space="preserve"> des capacités des prestataires de</w:t>
    </w:r>
    <w:r w:rsidR="00357D69">
      <w:rPr>
        <w:lang w:val="fr-FR"/>
      </w:rPr>
      <w:t xml:space="preserve"> services et de l’organisation </w:t>
    </w:r>
    <w:r w:rsidR="00535BDE" w:rsidRPr="00535BDE">
      <w:rPr>
        <w:lang w:val="fr-FR"/>
      </w:rPr>
      <w:t>et</w:t>
    </w:r>
    <w:r w:rsidR="00357D69">
      <w:rPr>
        <w:lang w:val="fr-FR"/>
      </w:rPr>
      <w:t xml:space="preserve"> l’analyse</w:t>
    </w:r>
    <w:r w:rsidR="00535BDE">
      <w:rPr>
        <w:lang w:val="fr-FR"/>
      </w:rPr>
      <w:t xml:space="preserve"> des risques</w:t>
    </w:r>
    <w:r w:rsidRPr="00535BDE">
      <w:rPr>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18BA" w14:textId="77777777" w:rsidR="00C40D97" w:rsidRPr="00B45C74" w:rsidRDefault="00C40D9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018CC">
      <w:rPr>
        <w:b/>
        <w:noProof/>
        <w:color w:val="808080" w:themeColor="background1" w:themeShade="80"/>
        <w:sz w:val="18"/>
        <w:szCs w:val="18"/>
      </w:rPr>
      <w:t>1</w:t>
    </w:r>
    <w:r w:rsidRPr="00B45C74">
      <w:rPr>
        <w:b/>
        <w:color w:val="808080" w:themeColor="background1" w:themeShade="80"/>
        <w:sz w:val="18"/>
        <w:szCs w:val="18"/>
      </w:rPr>
      <w:fldChar w:fldCharType="end"/>
    </w:r>
  </w:p>
  <w:p w14:paraId="04F96D11" w14:textId="269389C9" w:rsidR="00C40D97" w:rsidRPr="00935318" w:rsidRDefault="00C40D97" w:rsidP="00357D69">
    <w:pPr>
      <w:pStyle w:val="Footer"/>
      <w:rPr>
        <w:lang w:val="fr-FR"/>
      </w:rPr>
    </w:pPr>
    <w:r w:rsidRPr="00C10574">
      <w:rPr>
        <w:b/>
        <w:lang w:val="fr-FR"/>
      </w:rPr>
      <w:t>Module 2.</w:t>
    </w:r>
    <w:r w:rsidRPr="00C10574">
      <w:rPr>
        <w:lang w:val="fr-FR"/>
      </w:rPr>
      <w:t xml:space="preserve"> </w:t>
    </w:r>
    <w:r w:rsidR="00935318" w:rsidRPr="00935318">
      <w:rPr>
        <w:lang w:val="fr-FR"/>
      </w:rPr>
      <w:t>Étape</w:t>
    </w:r>
    <w:r w:rsidRPr="00935318">
      <w:rPr>
        <w:lang w:val="fr-FR"/>
      </w:rPr>
      <w:t xml:space="preserve"> 4. </w:t>
    </w:r>
    <w:r w:rsidR="00935318" w:rsidRPr="00935318">
      <w:rPr>
        <w:lang w:val="fr-FR"/>
      </w:rPr>
      <w:t xml:space="preserve">Feuille de route pour </w:t>
    </w:r>
    <w:r w:rsidR="00357D69">
      <w:rPr>
        <w:lang w:val="fr-FR"/>
      </w:rPr>
      <w:t>l’évaluation</w:t>
    </w:r>
    <w:r w:rsidR="00935318" w:rsidRPr="00935318">
      <w:rPr>
        <w:lang w:val="fr-FR"/>
      </w:rPr>
      <w:t xml:space="preserve"> </w:t>
    </w:r>
    <w:r w:rsidR="00535BDE">
      <w:rPr>
        <w:lang w:val="fr-FR"/>
      </w:rPr>
      <w:t>des capacités des prestataires de</w:t>
    </w:r>
    <w:r w:rsidR="00357D69">
      <w:rPr>
        <w:lang w:val="fr-FR"/>
      </w:rPr>
      <w:t xml:space="preserve"> services et de l’organisation </w:t>
    </w:r>
    <w:r w:rsidR="00535BDE">
      <w:rPr>
        <w:lang w:val="fr-FR"/>
      </w:rPr>
      <w:t xml:space="preserve">et </w:t>
    </w:r>
    <w:r w:rsidR="00357D69">
      <w:rPr>
        <w:lang w:val="fr-FR"/>
      </w:rPr>
      <w:t xml:space="preserve">l’analyse </w:t>
    </w:r>
    <w:r w:rsidR="00535BDE">
      <w:rPr>
        <w:lang w:val="fr-FR"/>
      </w:rPr>
      <w:t xml:space="preserve">des </w:t>
    </w:r>
    <w:r w:rsidR="00935318">
      <w:rPr>
        <w:lang w:val="fr-FR"/>
      </w:rPr>
      <w:t>risques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6CBD" w14:textId="77777777" w:rsidR="006F2ECC" w:rsidRDefault="006F2ECC">
      <w:r>
        <w:separator/>
      </w:r>
    </w:p>
  </w:footnote>
  <w:footnote w:type="continuationSeparator" w:id="0">
    <w:p w14:paraId="620EB7AC" w14:textId="77777777" w:rsidR="006F2ECC" w:rsidRDefault="006F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9824" w14:textId="00D7E2C6" w:rsidR="00C40D97" w:rsidRPr="00301791" w:rsidRDefault="00935318" w:rsidP="00935318">
    <w:pPr>
      <w:pStyle w:val="Header"/>
      <w:rPr>
        <w:sz w:val="14"/>
        <w:szCs w:val="14"/>
        <w:lang w:val="fr-FR"/>
      </w:rPr>
    </w:pPr>
    <w:r w:rsidRPr="00301791">
      <w:rPr>
        <w:rStyle w:val="Pantone485"/>
        <w:sz w:val="14"/>
        <w:szCs w:val="14"/>
        <w:lang w:val="fr-FR"/>
      </w:rPr>
      <w:t>Mouvement international de la Croix-Rouge et du Croissant-Rouge</w:t>
    </w:r>
    <w:r w:rsidR="00C40D97" w:rsidRPr="00301791">
      <w:rPr>
        <w:rFonts w:cs="Caecilia-Light"/>
        <w:color w:val="FF0000"/>
        <w:sz w:val="14"/>
        <w:szCs w:val="14"/>
        <w:lang w:val="fr-FR"/>
      </w:rPr>
      <w:t xml:space="preserve"> </w:t>
    </w:r>
    <w:r w:rsidR="00C40D97" w:rsidRPr="00301791">
      <w:rPr>
        <w:rStyle w:val="PageNumber"/>
        <w:bCs/>
        <w:sz w:val="14"/>
        <w:szCs w:val="14"/>
        <w:lang w:val="fr-FR"/>
      </w:rPr>
      <w:t>I</w:t>
    </w:r>
    <w:r w:rsidR="00C40D97" w:rsidRPr="00301791">
      <w:rPr>
        <w:rStyle w:val="PageNumber"/>
        <w:color w:val="FF0000"/>
        <w:sz w:val="14"/>
        <w:szCs w:val="14"/>
        <w:lang w:val="fr-FR"/>
      </w:rPr>
      <w:t xml:space="preserve"> </w:t>
    </w:r>
    <w:r w:rsidRPr="00301791">
      <w:rPr>
        <w:b/>
        <w:sz w:val="14"/>
        <w:szCs w:val="14"/>
        <w:lang w:val="fr-FR"/>
      </w:rPr>
      <w:t>Boîte à outils pour les transferts monétaires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ED31" w14:textId="77777777" w:rsidR="004465C5" w:rsidRDefault="004465C5" w:rsidP="004465C5">
    <w:pPr>
      <w:pStyle w:val="Header1"/>
    </w:pPr>
    <w:r>
      <w:rPr>
        <w:rFonts w:ascii="Arial Bold" w:hAnsi="Arial Bold"/>
        <w:noProof/>
        <w:color w:val="DC281E"/>
        <w:lang w:val="en-GB" w:eastAsia="en-GB"/>
      </w:rPr>
      <w:drawing>
        <wp:anchor distT="0" distB="0" distL="114300" distR="114300" simplePos="0" relativeHeight="251660288" behindDoc="0" locked="0" layoutInCell="1" allowOverlap="1" wp14:anchorId="75FCBB2F" wp14:editId="4E371803">
          <wp:simplePos x="0" y="0"/>
          <wp:positionH relativeFrom="margin">
            <wp:posOffset>316865</wp:posOffset>
          </wp:positionH>
          <wp:positionV relativeFrom="margin">
            <wp:posOffset>-1344295</wp:posOffset>
          </wp:positionV>
          <wp:extent cx="630555" cy="735330"/>
          <wp:effectExtent l="0" t="0" r="0" b="7620"/>
          <wp:wrapSquare wrapText="bothSides"/>
          <wp:docPr id="2" name="Picture 2" descr="T:\Language\2015\French\Z_Jonathan\Références\Cash in emergencies\CICR 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2015\French\Z_Jonathan\Références\Cash in emergencies\CICR 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65E92" w14:textId="3E2B1310" w:rsidR="004465C5" w:rsidRDefault="00CD182D" w:rsidP="004465C5">
    <w:pPr>
      <w:pStyle w:val="Header1"/>
    </w:pPr>
    <w:r>
      <w:rPr>
        <w:noProof/>
        <w:lang w:val="en-GB" w:eastAsia="en-GB"/>
      </w:rPr>
      <w:drawing>
        <wp:anchor distT="0" distB="0" distL="114300" distR="114300" simplePos="0" relativeHeight="251659264" behindDoc="0" locked="0" layoutInCell="1" allowOverlap="1" wp14:anchorId="26C7A6D7" wp14:editId="1587133F">
          <wp:simplePos x="0" y="0"/>
          <wp:positionH relativeFrom="margin">
            <wp:posOffset>2590165</wp:posOffset>
          </wp:positionH>
          <wp:positionV relativeFrom="margin">
            <wp:posOffset>-917575</wp:posOffset>
          </wp:positionV>
          <wp:extent cx="318706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French logo.jpg"/>
                  <pic:cNvPicPr/>
                </pic:nvPicPr>
                <pic:blipFill>
                  <a:blip r:embed="rId2">
                    <a:extLst>
                      <a:ext uri="{28A0092B-C50C-407E-A947-70E740481C1C}">
                        <a14:useLocalDpi xmlns:a14="http://schemas.microsoft.com/office/drawing/2010/main" val="0"/>
                      </a:ext>
                    </a:extLst>
                  </a:blip>
                  <a:stretch>
                    <a:fillRect/>
                  </a:stretch>
                </pic:blipFill>
                <pic:spPr>
                  <a:xfrm>
                    <a:off x="0" y="0"/>
                    <a:ext cx="3187065" cy="308610"/>
                  </a:xfrm>
                  <a:prstGeom prst="rect">
                    <a:avLst/>
                  </a:prstGeom>
                </pic:spPr>
              </pic:pic>
            </a:graphicData>
          </a:graphic>
          <wp14:sizeRelH relativeFrom="margin">
            <wp14:pctWidth>0</wp14:pctWidth>
          </wp14:sizeRelH>
          <wp14:sizeRelV relativeFrom="margin">
            <wp14:pctHeight>0</wp14:pctHeight>
          </wp14:sizeRelV>
        </wp:anchor>
      </w:drawing>
    </w:r>
  </w:p>
  <w:p w14:paraId="3106E4ED" w14:textId="5ED8CC86" w:rsidR="004465C5" w:rsidRDefault="004465C5" w:rsidP="004465C5">
    <w:pPr>
      <w:pStyle w:val="Header"/>
      <w:rPr>
        <w:color w:val="DC281E"/>
        <w:sz w:val="24"/>
        <w:szCs w:val="24"/>
      </w:rPr>
    </w:pPr>
  </w:p>
  <w:p w14:paraId="7089226D" w14:textId="77777777" w:rsidR="004465C5" w:rsidRDefault="004465C5" w:rsidP="004465C5">
    <w:pPr>
      <w:pStyle w:val="Header"/>
      <w:spacing w:line="240" w:lineRule="auto"/>
      <w:rPr>
        <w:b/>
        <w:color w:val="DC281E"/>
        <w:sz w:val="24"/>
        <w:szCs w:val="24"/>
      </w:rPr>
    </w:pPr>
  </w:p>
  <w:p w14:paraId="57FA90A1" w14:textId="77777777" w:rsidR="004465C5" w:rsidRDefault="004465C5" w:rsidP="004465C5">
    <w:pPr>
      <w:pStyle w:val="Header"/>
      <w:spacing w:line="240" w:lineRule="auto"/>
      <w:rPr>
        <w:b/>
        <w:color w:val="DC281E"/>
        <w:sz w:val="24"/>
        <w:szCs w:val="24"/>
      </w:rPr>
    </w:pPr>
  </w:p>
  <w:p w14:paraId="428B5305" w14:textId="5EE2D5D8" w:rsidR="004465C5" w:rsidRPr="002F1CAB" w:rsidRDefault="004465C5" w:rsidP="00772DF8">
    <w:pPr>
      <w:pStyle w:val="Header1"/>
      <w:rPr>
        <w:rFonts w:ascii="Arial Bold" w:hAnsi="Arial Bold"/>
        <w:color w:val="DC281E"/>
        <w:lang w:val="fr-FR"/>
      </w:rPr>
    </w:pPr>
    <w:r>
      <w:rPr>
        <w:rFonts w:ascii="Arial Bold" w:hAnsi="Arial Bold"/>
        <w:color w:val="DC281E"/>
        <w:lang w:val="fr-FR"/>
      </w:rPr>
      <w:t xml:space="preserve">Boite à outils pour </w:t>
    </w:r>
    <w:r w:rsidR="00772DF8">
      <w:rPr>
        <w:rFonts w:ascii="Arial Bold" w:hAnsi="Arial Bold"/>
        <w:color w:val="DC281E"/>
        <w:lang w:val="fr-FR"/>
      </w:rPr>
      <w:t>les transferts monétaires</w:t>
    </w:r>
    <w:r>
      <w:rPr>
        <w:rFonts w:ascii="Arial Bold" w:hAnsi="Arial Bold"/>
        <w:color w:val="DC281E"/>
        <w:lang w:val="fr-FR"/>
      </w:rPr>
      <w:t xml:space="preserve"> </w:t>
    </w:r>
    <w:r w:rsidRPr="002F1CAB">
      <w:rPr>
        <w:rFonts w:ascii="Arial Bold" w:hAnsi="Arial Bold"/>
        <w:color w:val="DC281E"/>
        <w:lang w:val="fr-FR"/>
      </w:rPr>
      <w:t>dans les situations d’urgence</w:t>
    </w:r>
  </w:p>
  <w:p w14:paraId="5F35CF91" w14:textId="46F32533" w:rsidR="00C40D97" w:rsidRPr="00532AAE" w:rsidRDefault="00C40D97" w:rsidP="004465C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0E1AA"/>
    <w:lvl w:ilvl="0">
      <w:start w:val="1"/>
      <w:numFmt w:val="decimal"/>
      <w:lvlText w:val="%1."/>
      <w:lvlJc w:val="left"/>
      <w:pPr>
        <w:tabs>
          <w:tab w:val="num" w:pos="1492"/>
        </w:tabs>
        <w:ind w:left="1492" w:hanging="360"/>
      </w:pPr>
    </w:lvl>
  </w:abstractNum>
  <w:abstractNum w:abstractNumId="1">
    <w:nsid w:val="FFFFFF7F"/>
    <w:multiLevelType w:val="singleLevel"/>
    <w:tmpl w:val="6E5E6DF6"/>
    <w:lvl w:ilvl="0">
      <w:start w:val="1"/>
      <w:numFmt w:val="decimal"/>
      <w:lvlText w:val="%1."/>
      <w:lvlJc w:val="left"/>
      <w:pPr>
        <w:tabs>
          <w:tab w:val="num" w:pos="643"/>
        </w:tabs>
        <w:ind w:left="643" w:hanging="360"/>
      </w:pPr>
    </w:lvl>
  </w:abstractNum>
  <w:abstractNum w:abstractNumId="2">
    <w:nsid w:val="00BC61D7"/>
    <w:multiLevelType w:val="hybridMultilevel"/>
    <w:tmpl w:val="7A78EDE6"/>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1751EC"/>
    <w:multiLevelType w:val="hybridMultilevel"/>
    <w:tmpl w:val="D4A2DDAC"/>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656F75"/>
    <w:multiLevelType w:val="hybridMultilevel"/>
    <w:tmpl w:val="5FEC3BEE"/>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553F03"/>
    <w:multiLevelType w:val="hybridMultilevel"/>
    <w:tmpl w:val="2B62B31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735E8"/>
    <w:multiLevelType w:val="hybridMultilevel"/>
    <w:tmpl w:val="A8A435C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952B4"/>
    <w:multiLevelType w:val="hybridMultilevel"/>
    <w:tmpl w:val="22E0685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B14FD"/>
    <w:multiLevelType w:val="hybridMultilevel"/>
    <w:tmpl w:val="A06CDB8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226C8E"/>
    <w:multiLevelType w:val="hybridMultilevel"/>
    <w:tmpl w:val="B6D8F0D4"/>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4C36C6"/>
    <w:multiLevelType w:val="hybridMultilevel"/>
    <w:tmpl w:val="8D5C82F2"/>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5EE48B2"/>
    <w:multiLevelType w:val="hybridMultilevel"/>
    <w:tmpl w:val="2E40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2A0A0B08"/>
    <w:multiLevelType w:val="hybridMultilevel"/>
    <w:tmpl w:val="CA3E531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285528"/>
    <w:multiLevelType w:val="hybridMultilevel"/>
    <w:tmpl w:val="2D8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6E76"/>
    <w:multiLevelType w:val="hybridMultilevel"/>
    <w:tmpl w:val="F796D27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2D1CE0"/>
    <w:multiLevelType w:val="hybridMultilevel"/>
    <w:tmpl w:val="CAD62C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B6393"/>
    <w:multiLevelType w:val="hybridMultilevel"/>
    <w:tmpl w:val="A8A435C2"/>
    <w:lvl w:ilvl="0" w:tplc="AF5CCA70">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A2DD8"/>
    <w:multiLevelType w:val="hybridMultilevel"/>
    <w:tmpl w:val="5FEC3BEE"/>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0F10D53"/>
    <w:multiLevelType w:val="hybridMultilevel"/>
    <w:tmpl w:val="A8A435C2"/>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8F4509"/>
    <w:multiLevelType w:val="hybridMultilevel"/>
    <w:tmpl w:val="C050411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B74F19"/>
    <w:multiLevelType w:val="hybridMultilevel"/>
    <w:tmpl w:val="8D5C82F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7442C"/>
    <w:multiLevelType w:val="hybridMultilevel"/>
    <w:tmpl w:val="3E18AA5C"/>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904900"/>
    <w:multiLevelType w:val="hybridMultilevel"/>
    <w:tmpl w:val="B6D8F0D4"/>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A02CD1"/>
    <w:multiLevelType w:val="hybridMultilevel"/>
    <w:tmpl w:val="CA3E531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5FD54C4F"/>
    <w:multiLevelType w:val="hybridMultilevel"/>
    <w:tmpl w:val="7D688CB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5A3B98"/>
    <w:multiLevelType w:val="hybridMultilevel"/>
    <w:tmpl w:val="D4A2DDAC"/>
    <w:lvl w:ilvl="0" w:tplc="E54290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4D1867"/>
    <w:multiLevelType w:val="hybridMultilevel"/>
    <w:tmpl w:val="C050411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831B4"/>
    <w:multiLevelType w:val="hybridMultilevel"/>
    <w:tmpl w:val="FDE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3A580E"/>
    <w:multiLevelType w:val="hybridMultilevel"/>
    <w:tmpl w:val="A06CDB8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917F87"/>
    <w:multiLevelType w:val="hybridMultilevel"/>
    <w:tmpl w:val="3E18AA5C"/>
    <w:lvl w:ilvl="0" w:tplc="AF5CCA70">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5CB4014"/>
    <w:multiLevelType w:val="hybridMultilevel"/>
    <w:tmpl w:val="F796D27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5F50707"/>
    <w:multiLevelType w:val="hybridMultilevel"/>
    <w:tmpl w:val="7A78EDE6"/>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35"/>
  </w:num>
  <w:num w:numId="4">
    <w:abstractNumId w:val="29"/>
  </w:num>
  <w:num w:numId="5">
    <w:abstractNumId w:val="41"/>
  </w:num>
  <w:num w:numId="6">
    <w:abstractNumId w:val="4"/>
  </w:num>
  <w:num w:numId="7">
    <w:abstractNumId w:val="30"/>
  </w:num>
  <w:num w:numId="8">
    <w:abstractNumId w:val="18"/>
  </w:num>
  <w:num w:numId="9">
    <w:abstractNumId w:val="8"/>
  </w:num>
  <w:num w:numId="10">
    <w:abstractNumId w:val="25"/>
  </w:num>
  <w:num w:numId="11">
    <w:abstractNumId w:val="28"/>
  </w:num>
  <w:num w:numId="12">
    <w:abstractNumId w:val="6"/>
  </w:num>
  <w:num w:numId="13">
    <w:abstractNumId w:val="27"/>
  </w:num>
  <w:num w:numId="14">
    <w:abstractNumId w:val="2"/>
  </w:num>
  <w:num w:numId="15">
    <w:abstractNumId w:val="49"/>
  </w:num>
  <w:num w:numId="16">
    <w:abstractNumId w:val="34"/>
  </w:num>
  <w:num w:numId="17">
    <w:abstractNumId w:val="47"/>
  </w:num>
  <w:num w:numId="18">
    <w:abstractNumId w:val="21"/>
  </w:num>
  <w:num w:numId="19">
    <w:abstractNumId w:val="36"/>
  </w:num>
  <w:num w:numId="20">
    <w:abstractNumId w:val="15"/>
  </w:num>
  <w:num w:numId="21">
    <w:abstractNumId w:val="48"/>
  </w:num>
  <w:num w:numId="22">
    <w:abstractNumId w:val="23"/>
  </w:num>
  <w:num w:numId="23">
    <w:abstractNumId w:val="46"/>
  </w:num>
  <w:num w:numId="24">
    <w:abstractNumId w:val="16"/>
  </w:num>
  <w:num w:numId="25">
    <w:abstractNumId w:val="39"/>
  </w:num>
  <w:num w:numId="26">
    <w:abstractNumId w:val="14"/>
  </w:num>
  <w:num w:numId="27">
    <w:abstractNumId w:val="7"/>
  </w:num>
  <w:num w:numId="28">
    <w:abstractNumId w:val="13"/>
  </w:num>
  <w:num w:numId="29">
    <w:abstractNumId w:val="9"/>
  </w:num>
  <w:num w:numId="30">
    <w:abstractNumId w:val="10"/>
  </w:num>
  <w:num w:numId="31">
    <w:abstractNumId w:val="24"/>
  </w:num>
  <w:num w:numId="32">
    <w:abstractNumId w:val="3"/>
  </w:num>
  <w:num w:numId="33">
    <w:abstractNumId w:val="32"/>
  </w:num>
  <w:num w:numId="34">
    <w:abstractNumId w:val="11"/>
  </w:num>
  <w:num w:numId="35">
    <w:abstractNumId w:val="20"/>
  </w:num>
  <w:num w:numId="36">
    <w:abstractNumId w:val="44"/>
  </w:num>
  <w:num w:numId="37">
    <w:abstractNumId w:val="26"/>
  </w:num>
  <w:num w:numId="38">
    <w:abstractNumId w:val="22"/>
  </w:num>
  <w:num w:numId="39">
    <w:abstractNumId w:val="19"/>
  </w:num>
  <w:num w:numId="40">
    <w:abstractNumId w:val="45"/>
  </w:num>
  <w:num w:numId="41">
    <w:abstractNumId w:val="40"/>
  </w:num>
  <w:num w:numId="42">
    <w:abstractNumId w:val="33"/>
  </w:num>
  <w:num w:numId="43">
    <w:abstractNumId w:val="1"/>
  </w:num>
  <w:num w:numId="44">
    <w:abstractNumId w:val="0"/>
  </w:num>
  <w:num w:numId="45">
    <w:abstractNumId w:val="5"/>
  </w:num>
  <w:num w:numId="46">
    <w:abstractNumId w:val="31"/>
  </w:num>
  <w:num w:numId="47">
    <w:abstractNumId w:val="12"/>
  </w:num>
  <w:num w:numId="48">
    <w:abstractNumId w:val="37"/>
  </w:num>
  <w:num w:numId="49">
    <w:abstractNumId w:val="42"/>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F"/>
    <w:rsid w:val="0001565B"/>
    <w:rsid w:val="000178A6"/>
    <w:rsid w:val="00020970"/>
    <w:rsid w:val="00063601"/>
    <w:rsid w:val="00063CB5"/>
    <w:rsid w:val="000649E7"/>
    <w:rsid w:val="000776EC"/>
    <w:rsid w:val="00090479"/>
    <w:rsid w:val="0009206B"/>
    <w:rsid w:val="000925AC"/>
    <w:rsid w:val="0009277A"/>
    <w:rsid w:val="00094C80"/>
    <w:rsid w:val="000961E9"/>
    <w:rsid w:val="000B0222"/>
    <w:rsid w:val="000E224B"/>
    <w:rsid w:val="000E7426"/>
    <w:rsid w:val="000F4B6F"/>
    <w:rsid w:val="001004F9"/>
    <w:rsid w:val="00100687"/>
    <w:rsid w:val="00120D2C"/>
    <w:rsid w:val="00136C29"/>
    <w:rsid w:val="00153A50"/>
    <w:rsid w:val="001579D0"/>
    <w:rsid w:val="00167D73"/>
    <w:rsid w:val="001747FC"/>
    <w:rsid w:val="00175739"/>
    <w:rsid w:val="0018406F"/>
    <w:rsid w:val="001B386A"/>
    <w:rsid w:val="001C4DF9"/>
    <w:rsid w:val="001D4E36"/>
    <w:rsid w:val="001F4A45"/>
    <w:rsid w:val="00233F6F"/>
    <w:rsid w:val="00234CB3"/>
    <w:rsid w:val="002412A3"/>
    <w:rsid w:val="00245806"/>
    <w:rsid w:val="00246601"/>
    <w:rsid w:val="00256F41"/>
    <w:rsid w:val="0025752B"/>
    <w:rsid w:val="00264CAB"/>
    <w:rsid w:val="00273676"/>
    <w:rsid w:val="00281A6D"/>
    <w:rsid w:val="00295D6C"/>
    <w:rsid w:val="002A76ED"/>
    <w:rsid w:val="002A7A1F"/>
    <w:rsid w:val="002B1145"/>
    <w:rsid w:val="002B6139"/>
    <w:rsid w:val="002C223B"/>
    <w:rsid w:val="002C3404"/>
    <w:rsid w:val="002C3865"/>
    <w:rsid w:val="002C5C58"/>
    <w:rsid w:val="002C5F21"/>
    <w:rsid w:val="002D5EAA"/>
    <w:rsid w:val="00301791"/>
    <w:rsid w:val="00310F7F"/>
    <w:rsid w:val="00351033"/>
    <w:rsid w:val="00357D69"/>
    <w:rsid w:val="00360643"/>
    <w:rsid w:val="003731B5"/>
    <w:rsid w:val="00385663"/>
    <w:rsid w:val="00387C2A"/>
    <w:rsid w:val="003A0055"/>
    <w:rsid w:val="003B20A8"/>
    <w:rsid w:val="003B2DBC"/>
    <w:rsid w:val="003D262A"/>
    <w:rsid w:val="003D3214"/>
    <w:rsid w:val="003D3486"/>
    <w:rsid w:val="003D6541"/>
    <w:rsid w:val="00401830"/>
    <w:rsid w:val="004041C4"/>
    <w:rsid w:val="00415457"/>
    <w:rsid w:val="0042174B"/>
    <w:rsid w:val="00442EA7"/>
    <w:rsid w:val="00445920"/>
    <w:rsid w:val="004465C5"/>
    <w:rsid w:val="00453841"/>
    <w:rsid w:val="00454DAB"/>
    <w:rsid w:val="0049199F"/>
    <w:rsid w:val="004A0CA4"/>
    <w:rsid w:val="004B6E87"/>
    <w:rsid w:val="004D55A0"/>
    <w:rsid w:val="004E4A6B"/>
    <w:rsid w:val="004E61DC"/>
    <w:rsid w:val="004E6CD9"/>
    <w:rsid w:val="004F2AC8"/>
    <w:rsid w:val="00521DEF"/>
    <w:rsid w:val="00532AAE"/>
    <w:rsid w:val="00533028"/>
    <w:rsid w:val="00535BDE"/>
    <w:rsid w:val="00551FBB"/>
    <w:rsid w:val="0056272B"/>
    <w:rsid w:val="0056630B"/>
    <w:rsid w:val="00570D79"/>
    <w:rsid w:val="0057127B"/>
    <w:rsid w:val="0059769B"/>
    <w:rsid w:val="005C26EE"/>
    <w:rsid w:val="005D29B1"/>
    <w:rsid w:val="005D631B"/>
    <w:rsid w:val="005F0988"/>
    <w:rsid w:val="006018CC"/>
    <w:rsid w:val="00615FA5"/>
    <w:rsid w:val="006167CF"/>
    <w:rsid w:val="00617205"/>
    <w:rsid w:val="00624427"/>
    <w:rsid w:val="006327BB"/>
    <w:rsid w:val="006607B1"/>
    <w:rsid w:val="00681C45"/>
    <w:rsid w:val="00683F8E"/>
    <w:rsid w:val="006875AB"/>
    <w:rsid w:val="006C4773"/>
    <w:rsid w:val="006E099E"/>
    <w:rsid w:val="006F2ECC"/>
    <w:rsid w:val="006F569A"/>
    <w:rsid w:val="0070438F"/>
    <w:rsid w:val="007165E1"/>
    <w:rsid w:val="00722B54"/>
    <w:rsid w:val="0073663D"/>
    <w:rsid w:val="00736C49"/>
    <w:rsid w:val="00740A95"/>
    <w:rsid w:val="00750F33"/>
    <w:rsid w:val="00754777"/>
    <w:rsid w:val="00764F22"/>
    <w:rsid w:val="00770BCD"/>
    <w:rsid w:val="00772DF8"/>
    <w:rsid w:val="007749E8"/>
    <w:rsid w:val="00776678"/>
    <w:rsid w:val="00790926"/>
    <w:rsid w:val="007C3BE3"/>
    <w:rsid w:val="007C4CF4"/>
    <w:rsid w:val="007D2180"/>
    <w:rsid w:val="007E0454"/>
    <w:rsid w:val="007E5355"/>
    <w:rsid w:val="007F4A2E"/>
    <w:rsid w:val="008217CD"/>
    <w:rsid w:val="00841937"/>
    <w:rsid w:val="00864ED9"/>
    <w:rsid w:val="00865F32"/>
    <w:rsid w:val="00866743"/>
    <w:rsid w:val="00867845"/>
    <w:rsid w:val="0087216E"/>
    <w:rsid w:val="00895696"/>
    <w:rsid w:val="008B2C14"/>
    <w:rsid w:val="008C3CDA"/>
    <w:rsid w:val="008D1CE2"/>
    <w:rsid w:val="008D23A6"/>
    <w:rsid w:val="008E6B0E"/>
    <w:rsid w:val="008F6D4F"/>
    <w:rsid w:val="008F6D6C"/>
    <w:rsid w:val="00901BDF"/>
    <w:rsid w:val="00903F5D"/>
    <w:rsid w:val="00915159"/>
    <w:rsid w:val="009165EF"/>
    <w:rsid w:val="00935318"/>
    <w:rsid w:val="00936FC9"/>
    <w:rsid w:val="009510D2"/>
    <w:rsid w:val="00952D24"/>
    <w:rsid w:val="009573A8"/>
    <w:rsid w:val="00973CD7"/>
    <w:rsid w:val="009A2228"/>
    <w:rsid w:val="009A55D8"/>
    <w:rsid w:val="009E1DB2"/>
    <w:rsid w:val="009E4609"/>
    <w:rsid w:val="009F0131"/>
    <w:rsid w:val="009F4B51"/>
    <w:rsid w:val="00A14C63"/>
    <w:rsid w:val="00A22FB8"/>
    <w:rsid w:val="00A25A0C"/>
    <w:rsid w:val="00A52A7E"/>
    <w:rsid w:val="00A60398"/>
    <w:rsid w:val="00A639D2"/>
    <w:rsid w:val="00A65DC3"/>
    <w:rsid w:val="00A80D09"/>
    <w:rsid w:val="00A942B0"/>
    <w:rsid w:val="00AE0D18"/>
    <w:rsid w:val="00B05088"/>
    <w:rsid w:val="00B06399"/>
    <w:rsid w:val="00B20606"/>
    <w:rsid w:val="00B23B74"/>
    <w:rsid w:val="00B30398"/>
    <w:rsid w:val="00B3685C"/>
    <w:rsid w:val="00B37586"/>
    <w:rsid w:val="00B43B9E"/>
    <w:rsid w:val="00B44DA6"/>
    <w:rsid w:val="00B56FC1"/>
    <w:rsid w:val="00B6785E"/>
    <w:rsid w:val="00B82209"/>
    <w:rsid w:val="00B95393"/>
    <w:rsid w:val="00B96C5E"/>
    <w:rsid w:val="00BB3322"/>
    <w:rsid w:val="00BB3842"/>
    <w:rsid w:val="00BE5227"/>
    <w:rsid w:val="00BF245D"/>
    <w:rsid w:val="00C10574"/>
    <w:rsid w:val="00C3147A"/>
    <w:rsid w:val="00C36277"/>
    <w:rsid w:val="00C40D97"/>
    <w:rsid w:val="00C53138"/>
    <w:rsid w:val="00C54D86"/>
    <w:rsid w:val="00C57695"/>
    <w:rsid w:val="00C6084E"/>
    <w:rsid w:val="00C66C49"/>
    <w:rsid w:val="00C83F9A"/>
    <w:rsid w:val="00C9101C"/>
    <w:rsid w:val="00C93266"/>
    <w:rsid w:val="00C93AEE"/>
    <w:rsid w:val="00C93C39"/>
    <w:rsid w:val="00CA350C"/>
    <w:rsid w:val="00CB2033"/>
    <w:rsid w:val="00CB2748"/>
    <w:rsid w:val="00CC1B3B"/>
    <w:rsid w:val="00CC7D8C"/>
    <w:rsid w:val="00CD182D"/>
    <w:rsid w:val="00CD33FB"/>
    <w:rsid w:val="00CE1C9B"/>
    <w:rsid w:val="00D06CD4"/>
    <w:rsid w:val="00D10FA8"/>
    <w:rsid w:val="00D13FF3"/>
    <w:rsid w:val="00D1687C"/>
    <w:rsid w:val="00D17094"/>
    <w:rsid w:val="00D263B5"/>
    <w:rsid w:val="00D32454"/>
    <w:rsid w:val="00D44268"/>
    <w:rsid w:val="00D47965"/>
    <w:rsid w:val="00D87B4B"/>
    <w:rsid w:val="00D90668"/>
    <w:rsid w:val="00D92E57"/>
    <w:rsid w:val="00D9309B"/>
    <w:rsid w:val="00DA3863"/>
    <w:rsid w:val="00DC511E"/>
    <w:rsid w:val="00DD1832"/>
    <w:rsid w:val="00DE183D"/>
    <w:rsid w:val="00DF5B20"/>
    <w:rsid w:val="00E003E2"/>
    <w:rsid w:val="00E00EB7"/>
    <w:rsid w:val="00E06727"/>
    <w:rsid w:val="00E14DDB"/>
    <w:rsid w:val="00E216FE"/>
    <w:rsid w:val="00E43BC1"/>
    <w:rsid w:val="00E57B52"/>
    <w:rsid w:val="00E60078"/>
    <w:rsid w:val="00E62DCC"/>
    <w:rsid w:val="00E66677"/>
    <w:rsid w:val="00E66A9A"/>
    <w:rsid w:val="00E70A86"/>
    <w:rsid w:val="00E7267D"/>
    <w:rsid w:val="00E76995"/>
    <w:rsid w:val="00EB2A2D"/>
    <w:rsid w:val="00EC4E9C"/>
    <w:rsid w:val="00ED056D"/>
    <w:rsid w:val="00F00D42"/>
    <w:rsid w:val="00F054A5"/>
    <w:rsid w:val="00F151C5"/>
    <w:rsid w:val="00F22587"/>
    <w:rsid w:val="00F46E8B"/>
    <w:rsid w:val="00F66194"/>
    <w:rsid w:val="00F717A9"/>
    <w:rsid w:val="00F75A6E"/>
    <w:rsid w:val="00FA31E5"/>
    <w:rsid w:val="00FA70C2"/>
    <w:rsid w:val="00FB4EA0"/>
    <w:rsid w:val="00FD3778"/>
    <w:rsid w:val="00FF0383"/>
    <w:rsid w:val="00FF4D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08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47"/>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8"/>
      </w:numPr>
      <w:tabs>
        <w:tab w:val="left" w:pos="7230"/>
      </w:tabs>
      <w:spacing w:before="240"/>
    </w:pPr>
    <w:rPr>
      <w:rFonts w:cs="Arial"/>
    </w:rPr>
  </w:style>
  <w:style w:type="paragraph" w:customStyle="1" w:styleId="ListNumber1">
    <w:name w:val="List Number 1"/>
    <w:basedOn w:val="Normal"/>
    <w:rsid w:val="0087216E"/>
    <w:pPr>
      <w:numPr>
        <w:ilvl w:val="1"/>
        <w:numId w:val="45"/>
      </w:numPr>
      <w:contextualSpacing/>
    </w:pPr>
    <w:rPr>
      <w:rFonts w:eastAsiaTheme="minorHAnsi" w:cstheme="minorHAnsi"/>
      <w:szCs w:val="22"/>
    </w:rPr>
  </w:style>
  <w:style w:type="paragraph" w:customStyle="1" w:styleId="NormalNo">
    <w:name w:val="Normal + No"/>
    <w:basedOn w:val="Normal"/>
    <w:qFormat/>
    <w:rsid w:val="0087216E"/>
    <w:pPr>
      <w:numPr>
        <w:numId w:val="46"/>
      </w:numPr>
    </w:pPr>
    <w:rPr>
      <w:rFonts w:eastAsia="MS Mincho"/>
      <w:b/>
      <w:sz w:val="22"/>
    </w:rPr>
  </w:style>
  <w:style w:type="paragraph" w:customStyle="1" w:styleId="Bullet3">
    <w:name w:val="Bullet 3"/>
    <w:basedOn w:val="ListParagraph"/>
    <w:qFormat/>
    <w:rsid w:val="0087216E"/>
    <w:pPr>
      <w:numPr>
        <w:numId w:val="49"/>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5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47"/>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8"/>
      </w:numPr>
      <w:tabs>
        <w:tab w:val="left" w:pos="7230"/>
      </w:tabs>
      <w:spacing w:before="240"/>
    </w:pPr>
    <w:rPr>
      <w:rFonts w:cs="Arial"/>
    </w:rPr>
  </w:style>
  <w:style w:type="paragraph" w:customStyle="1" w:styleId="ListNumber1">
    <w:name w:val="List Number 1"/>
    <w:basedOn w:val="Normal"/>
    <w:rsid w:val="0087216E"/>
    <w:pPr>
      <w:numPr>
        <w:ilvl w:val="1"/>
        <w:numId w:val="45"/>
      </w:numPr>
      <w:contextualSpacing/>
    </w:pPr>
    <w:rPr>
      <w:rFonts w:eastAsiaTheme="minorHAnsi" w:cstheme="minorHAnsi"/>
      <w:szCs w:val="22"/>
    </w:rPr>
  </w:style>
  <w:style w:type="paragraph" w:customStyle="1" w:styleId="NormalNo">
    <w:name w:val="Normal + No"/>
    <w:basedOn w:val="Normal"/>
    <w:qFormat/>
    <w:rsid w:val="0087216E"/>
    <w:pPr>
      <w:numPr>
        <w:numId w:val="46"/>
      </w:numPr>
    </w:pPr>
    <w:rPr>
      <w:rFonts w:eastAsia="MS Mincho"/>
      <w:b/>
      <w:sz w:val="22"/>
    </w:rPr>
  </w:style>
  <w:style w:type="paragraph" w:customStyle="1" w:styleId="Bullet3">
    <w:name w:val="Bullet 3"/>
    <w:basedOn w:val="ListParagraph"/>
    <w:qFormat/>
    <w:rsid w:val="0087216E"/>
    <w:pPr>
      <w:numPr>
        <w:numId w:val="49"/>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5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214">
      <w:bodyDiv w:val="1"/>
      <w:marLeft w:val="0"/>
      <w:marRight w:val="0"/>
      <w:marTop w:val="0"/>
      <w:marBottom w:val="0"/>
      <w:divBdr>
        <w:top w:val="none" w:sz="0" w:space="0" w:color="auto"/>
        <w:left w:val="none" w:sz="0" w:space="0" w:color="auto"/>
        <w:bottom w:val="none" w:sz="0" w:space="0" w:color="auto"/>
        <w:right w:val="none" w:sz="0" w:space="0" w:color="auto"/>
      </w:divBdr>
    </w:div>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276834300">
      <w:bodyDiv w:val="1"/>
      <w:marLeft w:val="0"/>
      <w:marRight w:val="0"/>
      <w:marTop w:val="0"/>
      <w:marBottom w:val="0"/>
      <w:divBdr>
        <w:top w:val="none" w:sz="0" w:space="0" w:color="auto"/>
        <w:left w:val="none" w:sz="0" w:space="0" w:color="auto"/>
        <w:bottom w:val="none" w:sz="0" w:space="0" w:color="auto"/>
        <w:right w:val="none" w:sz="0" w:space="0" w:color="auto"/>
      </w:divBdr>
    </w:div>
    <w:div w:id="285550936">
      <w:bodyDiv w:val="1"/>
      <w:marLeft w:val="0"/>
      <w:marRight w:val="0"/>
      <w:marTop w:val="0"/>
      <w:marBottom w:val="0"/>
      <w:divBdr>
        <w:top w:val="none" w:sz="0" w:space="0" w:color="auto"/>
        <w:left w:val="none" w:sz="0" w:space="0" w:color="auto"/>
        <w:bottom w:val="none" w:sz="0" w:space="0" w:color="auto"/>
        <w:right w:val="none" w:sz="0" w:space="0" w:color="auto"/>
      </w:divBdr>
    </w:div>
    <w:div w:id="295331237">
      <w:bodyDiv w:val="1"/>
      <w:marLeft w:val="0"/>
      <w:marRight w:val="0"/>
      <w:marTop w:val="0"/>
      <w:marBottom w:val="0"/>
      <w:divBdr>
        <w:top w:val="none" w:sz="0" w:space="0" w:color="auto"/>
        <w:left w:val="none" w:sz="0" w:space="0" w:color="auto"/>
        <w:bottom w:val="none" w:sz="0" w:space="0" w:color="auto"/>
        <w:right w:val="none" w:sz="0" w:space="0" w:color="auto"/>
      </w:divBdr>
    </w:div>
    <w:div w:id="338043645">
      <w:bodyDiv w:val="1"/>
      <w:marLeft w:val="0"/>
      <w:marRight w:val="0"/>
      <w:marTop w:val="0"/>
      <w:marBottom w:val="0"/>
      <w:divBdr>
        <w:top w:val="none" w:sz="0" w:space="0" w:color="auto"/>
        <w:left w:val="none" w:sz="0" w:space="0" w:color="auto"/>
        <w:bottom w:val="none" w:sz="0" w:space="0" w:color="auto"/>
        <w:right w:val="none" w:sz="0" w:space="0" w:color="auto"/>
      </w:divBdr>
    </w:div>
    <w:div w:id="490029766">
      <w:bodyDiv w:val="1"/>
      <w:marLeft w:val="0"/>
      <w:marRight w:val="0"/>
      <w:marTop w:val="0"/>
      <w:marBottom w:val="0"/>
      <w:divBdr>
        <w:top w:val="none" w:sz="0" w:space="0" w:color="auto"/>
        <w:left w:val="none" w:sz="0" w:space="0" w:color="auto"/>
        <w:bottom w:val="none" w:sz="0" w:space="0" w:color="auto"/>
        <w:right w:val="none" w:sz="0" w:space="0" w:color="auto"/>
      </w:divBdr>
    </w:div>
    <w:div w:id="499928356">
      <w:bodyDiv w:val="1"/>
      <w:marLeft w:val="0"/>
      <w:marRight w:val="0"/>
      <w:marTop w:val="0"/>
      <w:marBottom w:val="0"/>
      <w:divBdr>
        <w:top w:val="none" w:sz="0" w:space="0" w:color="auto"/>
        <w:left w:val="none" w:sz="0" w:space="0" w:color="auto"/>
        <w:bottom w:val="none" w:sz="0" w:space="0" w:color="auto"/>
        <w:right w:val="none" w:sz="0" w:space="0" w:color="auto"/>
      </w:divBdr>
    </w:div>
    <w:div w:id="580221344">
      <w:bodyDiv w:val="1"/>
      <w:marLeft w:val="0"/>
      <w:marRight w:val="0"/>
      <w:marTop w:val="0"/>
      <w:marBottom w:val="0"/>
      <w:divBdr>
        <w:top w:val="none" w:sz="0" w:space="0" w:color="auto"/>
        <w:left w:val="none" w:sz="0" w:space="0" w:color="auto"/>
        <w:bottom w:val="none" w:sz="0" w:space="0" w:color="auto"/>
        <w:right w:val="none" w:sz="0" w:space="0" w:color="auto"/>
      </w:divBdr>
    </w:div>
    <w:div w:id="891355919">
      <w:bodyDiv w:val="1"/>
      <w:marLeft w:val="0"/>
      <w:marRight w:val="0"/>
      <w:marTop w:val="0"/>
      <w:marBottom w:val="0"/>
      <w:divBdr>
        <w:top w:val="none" w:sz="0" w:space="0" w:color="auto"/>
        <w:left w:val="none" w:sz="0" w:space="0" w:color="auto"/>
        <w:bottom w:val="none" w:sz="0" w:space="0" w:color="auto"/>
        <w:right w:val="none" w:sz="0" w:space="0" w:color="auto"/>
      </w:divBdr>
    </w:div>
    <w:div w:id="1127746590">
      <w:bodyDiv w:val="1"/>
      <w:marLeft w:val="0"/>
      <w:marRight w:val="0"/>
      <w:marTop w:val="0"/>
      <w:marBottom w:val="0"/>
      <w:divBdr>
        <w:top w:val="none" w:sz="0" w:space="0" w:color="auto"/>
        <w:left w:val="none" w:sz="0" w:space="0" w:color="auto"/>
        <w:bottom w:val="none" w:sz="0" w:space="0" w:color="auto"/>
        <w:right w:val="none" w:sz="0" w:space="0" w:color="auto"/>
      </w:divBdr>
    </w:div>
    <w:div w:id="1206484708">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388341502">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495223548">
      <w:bodyDiv w:val="1"/>
      <w:marLeft w:val="0"/>
      <w:marRight w:val="0"/>
      <w:marTop w:val="0"/>
      <w:marBottom w:val="0"/>
      <w:divBdr>
        <w:top w:val="none" w:sz="0" w:space="0" w:color="auto"/>
        <w:left w:val="none" w:sz="0" w:space="0" w:color="auto"/>
        <w:bottom w:val="none" w:sz="0" w:space="0" w:color="auto"/>
        <w:right w:val="none" w:sz="0" w:space="0" w:color="auto"/>
      </w:divBdr>
    </w:div>
    <w:div w:id="1501117080">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 w:id="1678071715">
      <w:bodyDiv w:val="1"/>
      <w:marLeft w:val="0"/>
      <w:marRight w:val="0"/>
      <w:marTop w:val="0"/>
      <w:marBottom w:val="0"/>
      <w:divBdr>
        <w:top w:val="none" w:sz="0" w:space="0" w:color="auto"/>
        <w:left w:val="none" w:sz="0" w:space="0" w:color="auto"/>
        <w:bottom w:val="none" w:sz="0" w:space="0" w:color="auto"/>
        <w:right w:val="none" w:sz="0" w:space="0" w:color="auto"/>
      </w:divBdr>
    </w:div>
    <w:div w:id="1739356059">
      <w:bodyDiv w:val="1"/>
      <w:marLeft w:val="0"/>
      <w:marRight w:val="0"/>
      <w:marTop w:val="0"/>
      <w:marBottom w:val="0"/>
      <w:divBdr>
        <w:top w:val="none" w:sz="0" w:space="0" w:color="auto"/>
        <w:left w:val="none" w:sz="0" w:space="0" w:color="auto"/>
        <w:bottom w:val="none" w:sz="0" w:space="0" w:color="auto"/>
        <w:right w:val="none" w:sz="0" w:space="0" w:color="auto"/>
      </w:divBdr>
    </w:div>
    <w:div w:id="194996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olutionscenter.nethope.org/toolkit/view/c2e-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hlearning.org/downloads/resources/tools/share-what-works-psp.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hlearning.org/resources/library/390-e-transfers-in-emergencies-implementation-support-guide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0323-3295-4D07-8F07-7592F8F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474</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Florence MAROT</cp:lastModifiedBy>
  <cp:revision>90</cp:revision>
  <cp:lastPrinted>2015-09-25T15:11:00Z</cp:lastPrinted>
  <dcterms:created xsi:type="dcterms:W3CDTF">2015-06-03T12:13:00Z</dcterms:created>
  <dcterms:modified xsi:type="dcterms:W3CDTF">2016-04-05T08:22:00Z</dcterms:modified>
</cp:coreProperties>
</file>