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FBFEA" w14:textId="3D91D344" w:rsidR="00310F7F" w:rsidRPr="00181599" w:rsidRDefault="00F67323" w:rsidP="00C40D97">
      <w:pPr>
        <w:pStyle w:val="H1"/>
        <w:rPr>
          <w:lang w:val="es-ES"/>
        </w:rPr>
      </w:pPr>
      <w:r>
        <w:rPr>
          <w:lang w:val="es-ES"/>
        </w:rPr>
        <w:t>Hoja de ruta sobre</w:t>
      </w:r>
      <w:r w:rsidR="00181599" w:rsidRPr="00181599">
        <w:rPr>
          <w:lang w:val="es-ES"/>
        </w:rPr>
        <w:t xml:space="preserve"> proveedores de </w:t>
      </w:r>
      <w:r w:rsidR="00FB56B0" w:rsidRPr="00181599">
        <w:rPr>
          <w:lang w:val="es-ES"/>
        </w:rPr>
        <w:t>servicios,</w:t>
      </w:r>
      <w:r w:rsidR="00181599" w:rsidRPr="00181599">
        <w:rPr>
          <w:lang w:val="es-ES"/>
        </w:rPr>
        <w:t xml:space="preserve"> capacidad organizativa y análisis de </w:t>
      </w:r>
      <w:r w:rsidR="00181599">
        <w:rPr>
          <w:lang w:val="es-ES"/>
        </w:rPr>
        <w:t xml:space="preserve">los </w:t>
      </w:r>
      <w:r w:rsidR="00181599" w:rsidRPr="00181599">
        <w:rPr>
          <w:lang w:val="es-ES"/>
        </w:rPr>
        <w:t>riesgos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AB191C" w:rsidRPr="00AB191C" w14:paraId="3454793D" w14:textId="77777777" w:rsidTr="001B48B3"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2085" w14:textId="77777777" w:rsidR="00AB191C" w:rsidRPr="00AB191C" w:rsidRDefault="00AB191C" w:rsidP="00AB191C">
            <w:pPr>
              <w:keepNext/>
              <w:spacing w:before="144" w:after="48"/>
              <w:ind w:left="720"/>
              <w:contextualSpacing/>
              <w:jc w:val="center"/>
              <w:outlineLvl w:val="1"/>
              <w:rPr>
                <w:rFonts w:cs="Arial"/>
                <w:b/>
                <w:caps/>
                <w:sz w:val="24"/>
                <w:szCs w:val="26"/>
                <w:shd w:val="clear" w:color="auto" w:fill="FFFFFF"/>
              </w:rPr>
            </w:pPr>
            <w:r w:rsidRPr="00AB191C">
              <w:rPr>
                <w:rFonts w:cs="Arial"/>
                <w:b/>
                <w:caps/>
                <w:sz w:val="24"/>
                <w:szCs w:val="26"/>
                <w:shd w:val="clear" w:color="auto" w:fill="FFFFFF"/>
              </w:rPr>
              <w:t xml:space="preserve">EVALUACIÓN de necesidades </w:t>
            </w:r>
          </w:p>
        </w:tc>
      </w:tr>
      <w:tr w:rsidR="00AB191C" w:rsidRPr="00AB191C" w14:paraId="3A4158C8" w14:textId="77777777" w:rsidTr="001B48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FAB8" w14:textId="77777777" w:rsidR="00AB191C" w:rsidRPr="00AB191C" w:rsidRDefault="00AB191C" w:rsidP="00AB191C">
            <w:pPr>
              <w:keepNext/>
              <w:numPr>
                <w:ilvl w:val="0"/>
                <w:numId w:val="13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</w:rPr>
            </w:pPr>
            <w:r w:rsidRPr="00AB191C">
              <w:rPr>
                <w:rFonts w:cs="Arial"/>
                <w:b/>
                <w:caps/>
                <w:sz w:val="16"/>
                <w:szCs w:val="16"/>
                <w:shd w:val="clear" w:color="auto" w:fill="FFFFFF"/>
              </w:rPr>
              <w:t xml:space="preserve">planificación y preparación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2B59" w14:textId="77777777" w:rsidR="00AB191C" w:rsidRPr="00AB191C" w:rsidRDefault="00AB191C" w:rsidP="00AB191C">
            <w:pPr>
              <w:keepNext/>
              <w:numPr>
                <w:ilvl w:val="0"/>
                <w:numId w:val="13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</w:pPr>
            <w:r w:rsidRPr="00AB191C"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  <w:t xml:space="preserve">evaluación a nivel de comunidad teniendo en cuenta aspectos relativos a PTE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F29C" w14:textId="77777777" w:rsidR="00AB191C" w:rsidRPr="00AB191C" w:rsidRDefault="00AB191C" w:rsidP="00AB191C">
            <w:pPr>
              <w:keepNext/>
              <w:numPr>
                <w:ilvl w:val="0"/>
                <w:numId w:val="13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</w:pPr>
            <w:r w:rsidRPr="00AB191C"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  <w:t xml:space="preserve">Evaluación rápida del mercado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F7D" w14:textId="77777777" w:rsidR="00AB191C" w:rsidRPr="00AB191C" w:rsidRDefault="00AB191C" w:rsidP="00AB191C">
            <w:pPr>
              <w:keepNext/>
              <w:numPr>
                <w:ilvl w:val="0"/>
                <w:numId w:val="13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</w:pPr>
            <w:r w:rsidRPr="00AB191C"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  <w:t xml:space="preserve">Proveedores de servicios, capacidad de la organización y análisis de riesgos </w:t>
            </w:r>
          </w:p>
        </w:tc>
      </w:tr>
      <w:tr w:rsidR="00AB191C" w:rsidRPr="00AB191C" w14:paraId="37DF5A69" w14:textId="77777777" w:rsidTr="001B48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73C" w14:textId="77777777" w:rsidR="00AB191C" w:rsidRPr="00AB191C" w:rsidRDefault="00AB191C" w:rsidP="00AB191C">
            <w:pPr>
              <w:spacing w:before="144" w:after="48"/>
              <w:ind w:left="720"/>
              <w:contextualSpacing/>
              <w:rPr>
                <w:lang w:val="es-ES"/>
              </w:rPr>
            </w:pPr>
            <w:r w:rsidRPr="00AB191C">
              <w:rPr>
                <w:lang w:val="es-ES"/>
              </w:rPr>
              <w:t xml:space="preserve">  </w:t>
            </w:r>
          </w:p>
          <w:p w14:paraId="753D7D0B" w14:textId="77777777" w:rsidR="00AB191C" w:rsidRPr="00AB191C" w:rsidRDefault="00AB191C" w:rsidP="00AB191C">
            <w:pPr>
              <w:numPr>
                <w:ilvl w:val="0"/>
                <w:numId w:val="14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 xml:space="preserve">Decisión inicial sobre el uso de PTE </w:t>
            </w:r>
          </w:p>
          <w:p w14:paraId="52F2FFC3" w14:textId="77777777" w:rsidR="00AB191C" w:rsidRPr="00AB191C" w:rsidRDefault="00AB191C" w:rsidP="00AB191C">
            <w:pPr>
              <w:numPr>
                <w:ilvl w:val="0"/>
                <w:numId w:val="14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>Selección de las herramientas para la evaluación</w:t>
            </w:r>
          </w:p>
          <w:p w14:paraId="4F4AC3EA" w14:textId="77777777" w:rsidR="00AB191C" w:rsidRPr="00AB191C" w:rsidRDefault="00AB191C" w:rsidP="00AB191C">
            <w:pPr>
              <w:numPr>
                <w:ilvl w:val="0"/>
                <w:numId w:val="14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>Encontrar información secundaria relevante</w:t>
            </w:r>
          </w:p>
          <w:p w14:paraId="024ACD51" w14:textId="77777777" w:rsidR="00AB191C" w:rsidRPr="00AB191C" w:rsidRDefault="00AB191C" w:rsidP="00AB191C">
            <w:pPr>
              <w:numPr>
                <w:ilvl w:val="0"/>
                <w:numId w:val="14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 xml:space="preserve">Mapeo de los actores/grupos interesados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FB8" w14:textId="77777777" w:rsidR="00AB191C" w:rsidRPr="00AB191C" w:rsidRDefault="00AB191C" w:rsidP="00AB191C">
            <w:pPr>
              <w:spacing w:before="144" w:after="48"/>
              <w:ind w:left="720"/>
              <w:contextualSpacing/>
              <w:rPr>
                <w:lang w:val="es-ES"/>
              </w:rPr>
            </w:pPr>
          </w:p>
          <w:p w14:paraId="19A03E87" w14:textId="77777777" w:rsidR="00AB191C" w:rsidRPr="00AB191C" w:rsidRDefault="00AB191C" w:rsidP="00AB191C">
            <w:pPr>
              <w:numPr>
                <w:ilvl w:val="0"/>
                <w:numId w:val="15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 xml:space="preserve">Obtener información específica sobre entrega de efectivo en la comunidad </w:t>
            </w:r>
          </w:p>
          <w:p w14:paraId="338B92DB" w14:textId="77777777" w:rsidR="00AB191C" w:rsidRPr="00AB191C" w:rsidRDefault="00AB191C" w:rsidP="00AB191C">
            <w:pPr>
              <w:numPr>
                <w:ilvl w:val="0"/>
                <w:numId w:val="15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 xml:space="preserve">Entender el acceso a los mercados y a los servicios financieros </w:t>
            </w:r>
          </w:p>
          <w:p w14:paraId="0C8DB3A4" w14:textId="77777777" w:rsidR="00AB191C" w:rsidRPr="00AB191C" w:rsidRDefault="00AB191C" w:rsidP="00AB191C">
            <w:pPr>
              <w:numPr>
                <w:ilvl w:val="0"/>
                <w:numId w:val="15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 xml:space="preserve">Identificar y cuantificar las necesidades prioritarias </w:t>
            </w:r>
          </w:p>
          <w:p w14:paraId="33314EC4" w14:textId="77777777" w:rsidR="00AB191C" w:rsidRPr="00AB191C" w:rsidRDefault="00AB191C" w:rsidP="00AB191C">
            <w:pPr>
              <w:numPr>
                <w:ilvl w:val="0"/>
                <w:numId w:val="15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 xml:space="preserve">Consolidar los resultados de la información recogida a nivel de comunidad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8F88" w14:textId="77777777" w:rsidR="00AB191C" w:rsidRPr="00AB191C" w:rsidRDefault="00AB191C" w:rsidP="00AB191C">
            <w:pPr>
              <w:keepNext/>
              <w:numPr>
                <w:ilvl w:val="0"/>
                <w:numId w:val="16"/>
              </w:numPr>
              <w:spacing w:before="144" w:after="48"/>
              <w:contextualSpacing/>
              <w:jc w:val="left"/>
              <w:outlineLvl w:val="1"/>
              <w:rPr>
                <w:rFonts w:eastAsiaTheme="minorHAnsi" w:cstheme="minorBidi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 xml:space="preserve">Identificar los productos y los mercados principales </w:t>
            </w:r>
          </w:p>
          <w:p w14:paraId="083A19D5" w14:textId="77777777" w:rsidR="00AB191C" w:rsidRPr="00AB191C" w:rsidRDefault="00AB191C" w:rsidP="00AB191C">
            <w:pPr>
              <w:numPr>
                <w:ilvl w:val="0"/>
                <w:numId w:val="16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>Recabar información sobre mercados</w:t>
            </w:r>
          </w:p>
          <w:p w14:paraId="37FDABCD" w14:textId="77777777" w:rsidR="00AB191C" w:rsidRPr="00AB191C" w:rsidRDefault="00AB191C" w:rsidP="00AB191C">
            <w:pPr>
              <w:numPr>
                <w:ilvl w:val="0"/>
                <w:numId w:val="16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>Consolidar los hallazgos sobre los mercados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A823" w14:textId="77777777" w:rsidR="00AB191C" w:rsidRPr="00AB191C" w:rsidRDefault="00AB191C" w:rsidP="00AB191C">
            <w:pPr>
              <w:keepNext/>
              <w:numPr>
                <w:ilvl w:val="0"/>
                <w:numId w:val="17"/>
              </w:numPr>
              <w:spacing w:before="144" w:after="48"/>
              <w:contextualSpacing/>
              <w:jc w:val="left"/>
              <w:outlineLvl w:val="1"/>
              <w:rPr>
                <w:rFonts w:eastAsiaTheme="minorHAnsi" w:cstheme="minorBidi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 xml:space="preserve">Evaluar los servicios financieros </w:t>
            </w:r>
          </w:p>
          <w:p w14:paraId="42A2FB9D" w14:textId="31966A0C" w:rsidR="00AB191C" w:rsidRPr="00AB191C" w:rsidRDefault="00AB191C" w:rsidP="00AB191C">
            <w:pPr>
              <w:numPr>
                <w:ilvl w:val="0"/>
                <w:numId w:val="17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>Evaluar la capacidad organizativa</w:t>
            </w:r>
          </w:p>
          <w:p w14:paraId="494A0645" w14:textId="77777777" w:rsidR="00AB191C" w:rsidRPr="00AB191C" w:rsidRDefault="00AB191C" w:rsidP="00AB191C">
            <w:pPr>
              <w:numPr>
                <w:ilvl w:val="0"/>
                <w:numId w:val="17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AB191C">
              <w:rPr>
                <w:rFonts w:eastAsiaTheme="minorHAnsi" w:cstheme="minorBidi"/>
                <w:szCs w:val="22"/>
                <w:lang w:val="es-ES"/>
              </w:rPr>
              <w:t xml:space="preserve">Analizar los riesgos </w:t>
            </w:r>
          </w:p>
        </w:tc>
        <w:bookmarkStart w:id="0" w:name="_GoBack"/>
        <w:bookmarkEnd w:id="0"/>
      </w:tr>
    </w:tbl>
    <w:p w14:paraId="0D3251E5" w14:textId="5E592889" w:rsidR="00E66A9A" w:rsidRDefault="00E66A9A" w:rsidP="00C40D97">
      <w:pPr>
        <w:ind w:left="-170"/>
        <w:rPr>
          <w:sz w:val="22"/>
        </w:rPr>
      </w:pPr>
    </w:p>
    <w:p w14:paraId="49B0E027" w14:textId="573EE2BC" w:rsidR="00C83F9A" w:rsidRPr="00181599" w:rsidRDefault="00E66A9A" w:rsidP="00FB56B0">
      <w:pPr>
        <w:pStyle w:val="Heading2"/>
        <w:pBdr>
          <w:top w:val="none" w:sz="0" w:space="0" w:color="auto"/>
        </w:pBdr>
        <w:spacing w:before="480"/>
        <w:rPr>
          <w:lang w:val="es-ES"/>
        </w:rPr>
      </w:pPr>
      <w:r w:rsidRPr="00181599">
        <w:rPr>
          <w:lang w:val="es-ES"/>
        </w:rPr>
        <w:t>INTRODUC</w:t>
      </w:r>
      <w:r w:rsidR="00181599" w:rsidRPr="00181599">
        <w:rPr>
          <w:lang w:val="es-ES"/>
        </w:rPr>
        <w:t>CIÓ</w:t>
      </w:r>
      <w:r w:rsidRPr="00181599">
        <w:rPr>
          <w:lang w:val="es-ES"/>
        </w:rPr>
        <w:t>N</w:t>
      </w:r>
    </w:p>
    <w:p w14:paraId="11256342" w14:textId="3BE6E993" w:rsidR="00181599" w:rsidRPr="00181599" w:rsidRDefault="00181599" w:rsidP="00FB56B0">
      <w:pPr>
        <w:pStyle w:val="Heading2"/>
        <w:pBdr>
          <w:top w:val="none" w:sz="0" w:space="0" w:color="auto"/>
        </w:pBdr>
        <w:rPr>
          <w:b w:val="0"/>
          <w:caps w:val="0"/>
          <w:sz w:val="20"/>
          <w:szCs w:val="20"/>
          <w:shd w:val="clear" w:color="auto" w:fill="auto"/>
          <w:lang w:val="es-ES"/>
        </w:rPr>
      </w:pP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Al llevar a cabo una evalua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>ción, es importante entender la capacidad existente para implementar programas con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transferencia</w:t>
      </w:r>
      <w:r w:rsidR="00F67323">
        <w:rPr>
          <w:b w:val="0"/>
          <w:caps w:val="0"/>
          <w:sz w:val="20"/>
          <w:szCs w:val="20"/>
          <w:shd w:val="clear" w:color="auto" w:fill="auto"/>
          <w:lang w:val="es-ES"/>
        </w:rPr>
        <w:t>s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de efectivo y los riesgos asociados a este tipo de respuesta. Esto implica la ampliación de la evaluación para incluir estos temas y, cuando sea necesario, la realización de evaluaciones </w:t>
      </w:r>
      <w:r w:rsidR="00CE2D2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sobre </w:t>
      </w:r>
      <w:r w:rsidR="00CE2D27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capacidades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</w:t>
      </w:r>
      <w:r w:rsidR="00CE2D27">
        <w:rPr>
          <w:b w:val="0"/>
          <w:caps w:val="0"/>
          <w:sz w:val="20"/>
          <w:szCs w:val="20"/>
          <w:shd w:val="clear" w:color="auto" w:fill="auto"/>
          <w:lang w:val="es-ES"/>
        </w:rPr>
        <w:t>por separado. En esta etapa, la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s </w:t>
      </w:r>
      <w:r w:rsidR="00CE2D27">
        <w:rPr>
          <w:b w:val="0"/>
          <w:caps w:val="0"/>
          <w:sz w:val="20"/>
          <w:szCs w:val="20"/>
          <w:shd w:val="clear" w:color="auto" w:fill="auto"/>
          <w:lang w:val="es-ES"/>
        </w:rPr>
        <w:t>informaciones recogida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s durante la fase de preparación puede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>n resultar de utilidad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, pero debe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>n</w:t>
      </w:r>
      <w:r w:rsidR="00CE2D2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ser actualizada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>s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y context</w:t>
      </w:r>
      <w:r w:rsidR="00CE2D27">
        <w:rPr>
          <w:b w:val="0"/>
          <w:caps w:val="0"/>
          <w:sz w:val="20"/>
          <w:szCs w:val="20"/>
          <w:shd w:val="clear" w:color="auto" w:fill="auto"/>
          <w:lang w:val="es-ES"/>
        </w:rPr>
        <w:t>ualizada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>s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.</w:t>
      </w:r>
    </w:p>
    <w:p w14:paraId="625D9B1D" w14:textId="217EDFE7" w:rsidR="00181599" w:rsidRPr="00181599" w:rsidRDefault="00CE2D27" w:rsidP="00FB56B0">
      <w:pPr>
        <w:pStyle w:val="Heading2"/>
        <w:pBdr>
          <w:top w:val="none" w:sz="0" w:space="0" w:color="auto"/>
        </w:pBdr>
        <w:rPr>
          <w:b w:val="0"/>
          <w:caps w:val="0"/>
          <w:sz w:val="20"/>
          <w:szCs w:val="20"/>
          <w:shd w:val="clear" w:color="auto" w:fill="auto"/>
          <w:lang w:val="es-ES"/>
        </w:rPr>
      </w:pPr>
      <w:r>
        <w:rPr>
          <w:b w:val="0"/>
          <w:caps w:val="0"/>
          <w:sz w:val="20"/>
          <w:szCs w:val="20"/>
          <w:shd w:val="clear" w:color="auto" w:fill="auto"/>
          <w:lang w:val="es-ES"/>
        </w:rPr>
        <w:t>La evaluación de la capacidad y de los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riesgo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>s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proporcionará 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una 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información crucial 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a lo largo de distintas fases como son: el 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análisis de la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>s posibles intervenciones,</w:t>
      </w:r>
      <w:r w:rsidR="00F67323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el diseño y la implementación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de un programa. </w:t>
      </w:r>
      <w:r w:rsidR="00FB56B0">
        <w:rPr>
          <w:b w:val="0"/>
          <w:caps w:val="0"/>
          <w:sz w:val="20"/>
          <w:szCs w:val="20"/>
          <w:shd w:val="clear" w:color="auto" w:fill="auto"/>
          <w:lang w:val="es-ES"/>
        </w:rPr>
        <w:t>Por lo tanto, siempre se debe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llevar a cabo 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un análisis 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de 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la 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capacidad y 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de los 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riesgos, </w:t>
      </w:r>
      <w:r w:rsidR="00FB56B0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aunque </w:t>
      </w:r>
      <w:r w:rsidR="00FB56B0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su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profundidad puede variar en función de la información y </w:t>
      </w:r>
      <w:r w:rsidR="00F67323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de 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los recursos disponibles, </w:t>
      </w:r>
      <w:r w:rsidR="00F67323">
        <w:rPr>
          <w:b w:val="0"/>
          <w:caps w:val="0"/>
          <w:sz w:val="20"/>
          <w:szCs w:val="20"/>
          <w:shd w:val="clear" w:color="auto" w:fill="auto"/>
          <w:lang w:val="es-ES"/>
        </w:rPr>
        <w:t>d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el contexto y</w:t>
      </w:r>
      <w:r w:rsidR="00F67323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de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la escala de la 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posible intervención. La presente 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hoja de ruta establece un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>o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s </w:t>
      </w:r>
      <w:r>
        <w:rPr>
          <w:b w:val="0"/>
          <w:caps w:val="0"/>
          <w:sz w:val="20"/>
          <w:szCs w:val="20"/>
          <w:shd w:val="clear" w:color="auto" w:fill="auto"/>
          <w:lang w:val="es-ES"/>
        </w:rPr>
        <w:t>estándares mínimo</w:t>
      </w:r>
      <w:r w:rsidR="00181599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s para este propósito.</w:t>
      </w:r>
    </w:p>
    <w:p w14:paraId="59B38545" w14:textId="7C6F3AA5" w:rsidR="00FB56B0" w:rsidRDefault="00181599" w:rsidP="00FB56B0">
      <w:pPr>
        <w:pStyle w:val="Heading2"/>
        <w:pBdr>
          <w:top w:val="none" w:sz="0" w:space="0" w:color="auto"/>
        </w:pBdr>
        <w:rPr>
          <w:b w:val="0"/>
          <w:caps w:val="0"/>
          <w:sz w:val="20"/>
          <w:szCs w:val="20"/>
          <w:shd w:val="clear" w:color="auto" w:fill="auto"/>
          <w:lang w:val="es-ES"/>
        </w:rPr>
      </w:pP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Los diferentes componentes de la </w:t>
      </w:r>
      <w:r w:rsidR="008828F7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evaluación 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de la capacidad y 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de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l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>os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riesgo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>s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se han agrupado en tres sub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>-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etapas. 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Existen 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una serie de herramientas para cada sub-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>etapa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. La primera sub-etapa se centra en</w:t>
      </w:r>
      <w:r w:rsidR="00F67323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investigar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si los proveedores de servicios tienen la capacidad 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suficiente para 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apoyar 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en caso de una 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lastRenderedPageBreak/>
        <w:t>intervención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basada en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la entrega de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dinero en efectivo. La segunda sub-etapa se centra en la evaluaci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ón de la capacidad de la organización </w:t>
      </w:r>
      <w:r w:rsidR="008828F7"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y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sus 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socios p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>ara implementar una respuesta con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efectivo en el momento oportuno y en </w:t>
      </w:r>
      <w:r w:rsidR="00FB56B0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la 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escala</w:t>
      </w:r>
      <w:r w:rsidR="00FB56B0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adecuada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. La tercera sub-etapa se centra en la exploración de los 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posibles riesgos 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asociados con una </w:t>
      </w:r>
      <w:r w:rsidR="008828F7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intervención </w:t>
      </w:r>
      <w:r w:rsidRPr="00181599">
        <w:rPr>
          <w:b w:val="0"/>
          <w:caps w:val="0"/>
          <w:sz w:val="20"/>
          <w:szCs w:val="20"/>
          <w:shd w:val="clear" w:color="auto" w:fill="auto"/>
          <w:lang w:val="es-ES"/>
        </w:rPr>
        <w:t>en efectivo.</w:t>
      </w:r>
    </w:p>
    <w:p w14:paraId="35B878C3" w14:textId="226C2643" w:rsidR="00FB56B0" w:rsidRDefault="00FB56B0" w:rsidP="00F67323">
      <w:pPr>
        <w:pStyle w:val="Heading2"/>
        <w:pBdr>
          <w:top w:val="none" w:sz="0" w:space="0" w:color="auto"/>
        </w:pBdr>
        <w:rPr>
          <w:b w:val="0"/>
          <w:caps w:val="0"/>
          <w:sz w:val="20"/>
          <w:szCs w:val="20"/>
          <w:shd w:val="clear" w:color="auto" w:fill="auto"/>
          <w:lang w:val="es-ES"/>
        </w:rPr>
      </w:pPr>
      <w:r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>En caso de que se necesite un</w:t>
      </w:r>
      <w:r w:rsidR="00181599"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a orientación más detallada sobre la evaluación de la capacidad y </w:t>
      </w:r>
      <w:r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de los </w:t>
      </w:r>
      <w:r w:rsidR="00181599"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>riesgo</w:t>
      </w:r>
      <w:r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>s</w:t>
      </w:r>
      <w:r w:rsidR="00181599"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, </w:t>
      </w:r>
      <w:r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>se pueden consultar</w:t>
      </w:r>
      <w:r w:rsidR="00181599"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 xml:space="preserve"> los d</w:t>
      </w:r>
      <w:r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>ocumentos de referencia sugerido</w:t>
      </w:r>
      <w:r w:rsidR="00181599"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>s al final de est</w:t>
      </w:r>
      <w:r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>e documento</w:t>
      </w:r>
      <w:r w:rsidR="00F67323" w:rsidRPr="00F67323">
        <w:rPr>
          <w:b w:val="0"/>
          <w:caps w:val="0"/>
          <w:sz w:val="20"/>
          <w:szCs w:val="20"/>
          <w:shd w:val="clear" w:color="auto" w:fill="auto"/>
          <w:lang w:val="es-ES"/>
        </w:rPr>
        <w:t>.</w:t>
      </w:r>
    </w:p>
    <w:p w14:paraId="4E297FEC" w14:textId="08485F86" w:rsidR="00E66A9A" w:rsidRPr="00F67323" w:rsidRDefault="00FB56B0" w:rsidP="00F67323">
      <w:pPr>
        <w:pStyle w:val="Heading2"/>
        <w:rPr>
          <w:lang w:val="es-ES"/>
        </w:rPr>
      </w:pPr>
      <w:r>
        <w:rPr>
          <w:lang w:val="es-ES"/>
        </w:rPr>
        <w:t>ESTÁ</w:t>
      </w:r>
      <w:r w:rsidRPr="00181599">
        <w:rPr>
          <w:lang w:val="es-ES"/>
        </w:rPr>
        <w:t>NDAR</w:t>
      </w:r>
      <w:r>
        <w:rPr>
          <w:lang w:val="es-ES"/>
        </w:rPr>
        <w:t>e</w:t>
      </w:r>
      <w:r w:rsidRPr="00181599">
        <w:rPr>
          <w:lang w:val="es-ES"/>
        </w:rPr>
        <w:t xml:space="preserve">S </w:t>
      </w:r>
      <w:r>
        <w:rPr>
          <w:lang w:val="es-ES"/>
        </w:rPr>
        <w:t>MÍ</w:t>
      </w:r>
      <w:r w:rsidR="00E66A9A" w:rsidRPr="00181599">
        <w:rPr>
          <w:lang w:val="es-ES"/>
        </w:rPr>
        <w:t>NIM</w:t>
      </w:r>
      <w:r>
        <w:rPr>
          <w:lang w:val="es-ES"/>
        </w:rPr>
        <w:t>os</w:t>
      </w:r>
      <w:r w:rsidR="00E66A9A" w:rsidRPr="00181599">
        <w:rPr>
          <w:lang w:val="es-ES"/>
        </w:rPr>
        <w:t xml:space="preserve"> </w:t>
      </w:r>
    </w:p>
    <w:p w14:paraId="4FFDF6D4" w14:textId="6DAA5C9D" w:rsidR="00D22C89" w:rsidRPr="00D22C89" w:rsidRDefault="00D22C89" w:rsidP="0088012F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Style w:val="hps"/>
          <w:rFonts w:cs="Arial"/>
          <w:szCs w:val="20"/>
          <w:lang w:val="es-ES"/>
        </w:rPr>
      </w:pPr>
      <w:r>
        <w:rPr>
          <w:rStyle w:val="hps"/>
          <w:rFonts w:cs="Arial"/>
          <w:color w:val="222222"/>
          <w:lang w:val="es-ES"/>
        </w:rPr>
        <w:t>Realizar una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evaluación de</w:t>
      </w:r>
      <w:r>
        <w:rPr>
          <w:rFonts w:cs="Arial"/>
          <w:color w:val="222222"/>
          <w:lang w:val="es-ES"/>
        </w:rPr>
        <w:t xml:space="preserve"> la </w:t>
      </w:r>
      <w:r>
        <w:rPr>
          <w:rStyle w:val="hps"/>
          <w:rFonts w:cs="Arial"/>
          <w:color w:val="222222"/>
          <w:lang w:val="es-ES"/>
        </w:rPr>
        <w:t xml:space="preserve">capacidad y de los riesgos (aunque que no sea en </w:t>
      </w:r>
      <w:r w:rsidR="00730CF3">
        <w:rPr>
          <w:rStyle w:val="hps"/>
          <w:rFonts w:cs="Arial"/>
          <w:color w:val="222222"/>
          <w:lang w:val="es-ES"/>
        </w:rPr>
        <w:t>profundidad)</w:t>
      </w:r>
      <w:r>
        <w:rPr>
          <w:rStyle w:val="hps"/>
          <w:rFonts w:cs="Arial"/>
          <w:color w:val="222222"/>
          <w:lang w:val="es-ES"/>
        </w:rPr>
        <w:t>,</w:t>
      </w:r>
      <w:r>
        <w:rPr>
          <w:rFonts w:cs="Arial"/>
          <w:color w:val="222222"/>
          <w:lang w:val="es-ES"/>
        </w:rPr>
        <w:t xml:space="preserve"> con </w:t>
      </w:r>
      <w:r>
        <w:rPr>
          <w:rStyle w:val="hps"/>
          <w:rFonts w:cs="Arial"/>
          <w:color w:val="222222"/>
          <w:lang w:val="es-ES"/>
        </w:rPr>
        <w:t>la participación de los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diferentes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departamentos (</w:t>
      </w:r>
      <w:r>
        <w:rPr>
          <w:rFonts w:cs="Arial"/>
          <w:color w:val="222222"/>
          <w:lang w:val="es-ES"/>
        </w:rPr>
        <w:t xml:space="preserve">especialmente el </w:t>
      </w:r>
      <w:r>
        <w:rPr>
          <w:rStyle w:val="hps"/>
          <w:rFonts w:cs="Arial"/>
          <w:color w:val="222222"/>
          <w:lang w:val="es-ES"/>
        </w:rPr>
        <w:t>de logística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y finanzas</w:t>
      </w:r>
      <w:r>
        <w:rPr>
          <w:rFonts w:cs="Arial"/>
          <w:color w:val="222222"/>
          <w:lang w:val="es-ES"/>
        </w:rPr>
        <w:t xml:space="preserve">), </w:t>
      </w:r>
      <w:r>
        <w:rPr>
          <w:rStyle w:val="hps"/>
          <w:rFonts w:cs="Arial"/>
          <w:color w:val="222222"/>
          <w:lang w:val="es-ES"/>
        </w:rPr>
        <w:t>antes de pasar al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análisis de las posibles intervenciones</w:t>
      </w:r>
    </w:p>
    <w:p w14:paraId="14F25189" w14:textId="260D97B7" w:rsidR="00D22C89" w:rsidRPr="00D22C89" w:rsidRDefault="00D22C89" w:rsidP="0088012F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Style w:val="hps"/>
          <w:rFonts w:cs="Arial"/>
          <w:szCs w:val="20"/>
          <w:lang w:val="es-ES"/>
        </w:rPr>
      </w:pPr>
      <w:r>
        <w:rPr>
          <w:rStyle w:val="hps"/>
          <w:rFonts w:cs="Arial"/>
          <w:color w:val="222222"/>
          <w:lang w:val="es-ES"/>
        </w:rPr>
        <w:t>La información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obtenida de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los proveedores de servicios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debe ser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triangulada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con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datos secundarios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y con la información recogida</w:t>
      </w:r>
      <w:r>
        <w:rPr>
          <w:rFonts w:cs="Arial"/>
          <w:color w:val="222222"/>
          <w:lang w:val="es-ES"/>
        </w:rPr>
        <w:t xml:space="preserve"> a nivel de la </w:t>
      </w:r>
      <w:r>
        <w:rPr>
          <w:rStyle w:val="hps"/>
          <w:rFonts w:cs="Arial"/>
          <w:color w:val="222222"/>
          <w:lang w:val="es-ES"/>
        </w:rPr>
        <w:t>comunidad</w:t>
      </w:r>
    </w:p>
    <w:p w14:paraId="24EC62B8" w14:textId="77777777" w:rsidR="00D22C89" w:rsidRPr="00D22C89" w:rsidRDefault="00D22C89" w:rsidP="0088012F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Style w:val="hps"/>
          <w:rFonts w:cs="Arial"/>
          <w:szCs w:val="20"/>
          <w:lang w:val="es-ES"/>
        </w:rPr>
      </w:pPr>
      <w:r>
        <w:rPr>
          <w:rStyle w:val="hps"/>
          <w:rFonts w:cs="Arial"/>
          <w:color w:val="222222"/>
          <w:lang w:val="es-ES"/>
        </w:rPr>
        <w:t>Al evaluar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los servicios financieros</w:t>
      </w:r>
      <w:r>
        <w:rPr>
          <w:rFonts w:cs="Arial"/>
          <w:color w:val="222222"/>
          <w:lang w:val="es-ES"/>
        </w:rPr>
        <w:t xml:space="preserve">, </w:t>
      </w:r>
      <w:r>
        <w:rPr>
          <w:rStyle w:val="hps"/>
          <w:rFonts w:cs="Arial"/>
          <w:color w:val="222222"/>
          <w:lang w:val="es-ES"/>
        </w:rPr>
        <w:t>considerar tanto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los servicios formales</w:t>
      </w:r>
      <w:r>
        <w:rPr>
          <w:rFonts w:cs="Arial"/>
          <w:color w:val="222222"/>
          <w:lang w:val="es-ES"/>
        </w:rPr>
        <w:t xml:space="preserve"> como </w:t>
      </w:r>
      <w:r>
        <w:rPr>
          <w:rStyle w:val="hps"/>
          <w:rFonts w:cs="Arial"/>
          <w:color w:val="222222"/>
          <w:lang w:val="es-ES"/>
        </w:rPr>
        <w:t>informales</w:t>
      </w:r>
      <w:r>
        <w:rPr>
          <w:rFonts w:cs="Arial"/>
          <w:color w:val="222222"/>
          <w:lang w:val="es-ES"/>
        </w:rPr>
        <w:t xml:space="preserve"> a los que ac</w:t>
      </w:r>
      <w:r>
        <w:rPr>
          <w:rStyle w:val="hps"/>
          <w:rFonts w:cs="Arial"/>
          <w:color w:val="222222"/>
          <w:lang w:val="es-ES"/>
        </w:rPr>
        <w:t>cede</w:t>
      </w:r>
      <w:r>
        <w:rPr>
          <w:rFonts w:cs="Arial"/>
          <w:color w:val="222222"/>
          <w:lang w:val="es-ES"/>
        </w:rPr>
        <w:t xml:space="preserve"> la</w:t>
      </w:r>
      <w:r>
        <w:rPr>
          <w:rStyle w:val="hps"/>
          <w:rFonts w:cs="Arial"/>
          <w:color w:val="222222"/>
          <w:lang w:val="es-ES"/>
        </w:rPr>
        <w:t xml:space="preserve"> población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afectada por el choque</w:t>
      </w:r>
    </w:p>
    <w:p w14:paraId="256C2E50" w14:textId="77777777" w:rsidR="00730CF3" w:rsidRPr="00730CF3" w:rsidRDefault="00D22C89" w:rsidP="0088012F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Style w:val="hps"/>
          <w:rFonts w:cs="Arial"/>
          <w:szCs w:val="20"/>
          <w:lang w:val="es-ES"/>
        </w:rPr>
      </w:pPr>
      <w:r>
        <w:rPr>
          <w:rStyle w:val="hps"/>
          <w:rFonts w:cs="Arial"/>
          <w:color w:val="222222"/>
          <w:lang w:val="es-ES"/>
        </w:rPr>
        <w:t>Al evaluar la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capacidad de los proveedores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de servicios</w:t>
      </w:r>
      <w:r>
        <w:rPr>
          <w:rFonts w:cs="Arial"/>
          <w:color w:val="222222"/>
          <w:lang w:val="es-ES"/>
        </w:rPr>
        <w:t xml:space="preserve">, hay que asegurarse que </w:t>
      </w:r>
      <w:r>
        <w:rPr>
          <w:rStyle w:val="hps"/>
          <w:rFonts w:cs="Arial"/>
          <w:color w:val="222222"/>
          <w:lang w:val="es-ES"/>
        </w:rPr>
        <w:t xml:space="preserve">las cuestiones </w:t>
      </w:r>
      <w:r w:rsidR="00730CF3">
        <w:rPr>
          <w:rStyle w:val="hps"/>
          <w:rFonts w:cs="Arial"/>
          <w:color w:val="222222"/>
          <w:lang w:val="es-ES"/>
        </w:rPr>
        <w:t xml:space="preserve">legales y </w:t>
      </w:r>
      <w:r>
        <w:rPr>
          <w:rStyle w:val="hps"/>
          <w:rFonts w:cs="Arial"/>
          <w:color w:val="222222"/>
          <w:lang w:val="es-ES"/>
        </w:rPr>
        <w:t>de protección</w:t>
      </w:r>
      <w:r w:rsidR="00730CF3">
        <w:rPr>
          <w:rStyle w:val="hps"/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de datos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se tienen en cuenta</w:t>
      </w:r>
    </w:p>
    <w:p w14:paraId="5E5C688F" w14:textId="77777777" w:rsidR="00730CF3" w:rsidRPr="00730CF3" w:rsidRDefault="00730CF3" w:rsidP="0088012F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Arial"/>
          <w:szCs w:val="20"/>
          <w:lang w:val="es-ES"/>
        </w:rPr>
      </w:pPr>
      <w:r>
        <w:rPr>
          <w:rStyle w:val="hps"/>
          <w:rFonts w:cs="Arial"/>
          <w:color w:val="222222"/>
          <w:lang w:val="es-ES"/>
        </w:rPr>
        <w:t xml:space="preserve">En las </w:t>
      </w:r>
      <w:r w:rsidR="00D22C89">
        <w:rPr>
          <w:rStyle w:val="hps"/>
          <w:rFonts w:cs="Arial"/>
          <w:color w:val="222222"/>
          <w:lang w:val="es-ES"/>
        </w:rPr>
        <w:t>discusiones</w:t>
      </w:r>
      <w:r w:rsidR="00D22C89">
        <w:rPr>
          <w:rFonts w:cs="Arial"/>
          <w:color w:val="222222"/>
          <w:lang w:val="es-ES"/>
        </w:rPr>
        <w:t xml:space="preserve"> </w:t>
      </w:r>
      <w:r>
        <w:rPr>
          <w:rFonts w:cs="Arial"/>
          <w:color w:val="222222"/>
          <w:lang w:val="es-ES"/>
        </w:rPr>
        <w:t xml:space="preserve">sobre </w:t>
      </w:r>
      <w:r w:rsidR="00D22C89">
        <w:rPr>
          <w:rStyle w:val="hps"/>
          <w:rFonts w:cs="Arial"/>
          <w:color w:val="222222"/>
          <w:lang w:val="es-ES"/>
        </w:rPr>
        <w:t xml:space="preserve">la capacidad de </w:t>
      </w:r>
      <w:r>
        <w:rPr>
          <w:rStyle w:val="hps"/>
          <w:rFonts w:cs="Arial"/>
          <w:color w:val="222222"/>
          <w:lang w:val="es-ES"/>
        </w:rPr>
        <w:t xml:space="preserve">la </w:t>
      </w:r>
      <w:r w:rsidR="00D22C89">
        <w:rPr>
          <w:rStyle w:val="hps"/>
          <w:rFonts w:cs="Arial"/>
          <w:color w:val="222222"/>
          <w:lang w:val="es-ES"/>
        </w:rPr>
        <w:t>organización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y</w:t>
      </w:r>
      <w:r>
        <w:rPr>
          <w:rStyle w:val="hps"/>
          <w:rFonts w:cs="Arial"/>
          <w:color w:val="222222"/>
          <w:lang w:val="es-ES"/>
        </w:rPr>
        <w:t xml:space="preserve"> de los </w:t>
      </w:r>
      <w:r w:rsidR="00D22C89">
        <w:rPr>
          <w:rStyle w:val="hps"/>
          <w:rFonts w:cs="Arial"/>
          <w:color w:val="222222"/>
          <w:lang w:val="es-ES"/>
        </w:rPr>
        <w:t>socios</w:t>
      </w:r>
      <w:r w:rsidR="00D22C89">
        <w:rPr>
          <w:rFonts w:cs="Arial"/>
          <w:color w:val="222222"/>
          <w:lang w:val="es-ES"/>
        </w:rPr>
        <w:t xml:space="preserve"> debe</w:t>
      </w:r>
      <w:r>
        <w:rPr>
          <w:rFonts w:cs="Arial"/>
          <w:color w:val="222222"/>
          <w:lang w:val="es-ES"/>
        </w:rPr>
        <w:t xml:space="preserve"> participar </w:t>
      </w:r>
      <w:r w:rsidR="00D22C89">
        <w:rPr>
          <w:rStyle w:val="hps"/>
          <w:rFonts w:cs="Arial"/>
          <w:color w:val="222222"/>
          <w:lang w:val="es-ES"/>
        </w:rPr>
        <w:t xml:space="preserve">la </w:t>
      </w:r>
      <w:r>
        <w:rPr>
          <w:rStyle w:val="hps"/>
          <w:rFonts w:cs="Arial"/>
          <w:color w:val="222222"/>
          <w:lang w:val="es-ES"/>
        </w:rPr>
        <w:t>D</w:t>
      </w:r>
      <w:r w:rsidR="00D22C89">
        <w:rPr>
          <w:rStyle w:val="hps"/>
          <w:rFonts w:cs="Arial"/>
          <w:color w:val="222222"/>
          <w:lang w:val="es-ES"/>
        </w:rPr>
        <w:t>irección</w:t>
      </w:r>
      <w:r w:rsidR="00D22C89">
        <w:rPr>
          <w:rFonts w:cs="Arial"/>
          <w:color w:val="222222"/>
          <w:lang w:val="es-ES"/>
        </w:rPr>
        <w:t xml:space="preserve"> </w:t>
      </w:r>
      <w:r>
        <w:rPr>
          <w:rFonts w:cs="Arial"/>
          <w:color w:val="222222"/>
          <w:lang w:val="es-ES"/>
        </w:rPr>
        <w:t>con el fin de</w:t>
      </w:r>
      <w:r w:rsidR="00D22C89">
        <w:rPr>
          <w:rStyle w:val="hps"/>
          <w:rFonts w:cs="Arial"/>
          <w:color w:val="222222"/>
          <w:lang w:val="es-ES"/>
        </w:rPr>
        <w:t xml:space="preserve"> garantizar el examen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exhaustivo de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las oportunidades</w:t>
      </w:r>
      <w:r w:rsidR="00D22C89">
        <w:rPr>
          <w:rFonts w:cs="Arial"/>
          <w:color w:val="222222"/>
          <w:lang w:val="es-ES"/>
        </w:rPr>
        <w:t>,</w:t>
      </w:r>
      <w:r>
        <w:rPr>
          <w:rFonts w:cs="Arial"/>
          <w:color w:val="222222"/>
          <w:lang w:val="es-ES"/>
        </w:rPr>
        <w:t xml:space="preserve"> los</w:t>
      </w:r>
      <w:r w:rsidR="00D22C89">
        <w:rPr>
          <w:rFonts w:cs="Arial"/>
          <w:color w:val="222222"/>
          <w:lang w:val="es-ES"/>
        </w:rPr>
        <w:t xml:space="preserve"> riesgos y </w:t>
      </w:r>
      <w:r>
        <w:rPr>
          <w:rFonts w:cs="Arial"/>
          <w:color w:val="222222"/>
          <w:lang w:val="es-ES"/>
        </w:rPr>
        <w:t xml:space="preserve">las </w:t>
      </w:r>
      <w:r w:rsidR="00D22C89">
        <w:rPr>
          <w:rStyle w:val="hps"/>
          <w:rFonts w:cs="Arial"/>
          <w:color w:val="222222"/>
          <w:lang w:val="es-ES"/>
        </w:rPr>
        <w:t>orientaci</w:t>
      </w:r>
      <w:r>
        <w:rPr>
          <w:rStyle w:val="hps"/>
          <w:rFonts w:cs="Arial"/>
          <w:color w:val="222222"/>
          <w:lang w:val="es-ES"/>
        </w:rPr>
        <w:t>ones</w:t>
      </w:r>
      <w:r w:rsidR="00D22C89">
        <w:rPr>
          <w:rStyle w:val="hps"/>
          <w:rFonts w:cs="Arial"/>
          <w:color w:val="222222"/>
          <w:lang w:val="es-ES"/>
        </w:rPr>
        <w:t xml:space="preserve"> estratégica</w:t>
      </w:r>
      <w:r>
        <w:rPr>
          <w:rStyle w:val="hps"/>
          <w:rFonts w:cs="Arial"/>
          <w:color w:val="222222"/>
          <w:lang w:val="es-ES"/>
        </w:rPr>
        <w:t>s</w:t>
      </w:r>
      <w:r>
        <w:rPr>
          <w:rFonts w:cs="Arial"/>
          <w:color w:val="222222"/>
          <w:lang w:val="es-ES"/>
        </w:rPr>
        <w:t>.</w:t>
      </w:r>
    </w:p>
    <w:p w14:paraId="6C736B90" w14:textId="30120D6A" w:rsidR="00E66677" w:rsidRPr="00D22C89" w:rsidRDefault="00730CF3" w:rsidP="0088012F">
      <w:pPr>
        <w:pStyle w:val="ListParagraph"/>
        <w:keepNext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Arial"/>
          <w:szCs w:val="20"/>
          <w:lang w:val="es-ES"/>
        </w:rPr>
      </w:pPr>
      <w:r>
        <w:rPr>
          <w:rFonts w:cs="Arial"/>
          <w:color w:val="222222"/>
          <w:lang w:val="es-ES"/>
        </w:rPr>
        <w:t xml:space="preserve">El </w:t>
      </w:r>
      <w:r w:rsidR="00D22C89">
        <w:rPr>
          <w:rStyle w:val="hps"/>
          <w:rFonts w:cs="Arial"/>
          <w:color w:val="222222"/>
          <w:lang w:val="es-ES"/>
        </w:rPr>
        <w:t xml:space="preserve">análisis de </w:t>
      </w:r>
      <w:r>
        <w:rPr>
          <w:rStyle w:val="hps"/>
          <w:rFonts w:cs="Arial"/>
          <w:color w:val="222222"/>
          <w:lang w:val="es-ES"/>
        </w:rPr>
        <w:t xml:space="preserve">los </w:t>
      </w:r>
      <w:r w:rsidR="00D22C89">
        <w:rPr>
          <w:rStyle w:val="hps"/>
          <w:rFonts w:cs="Arial"/>
          <w:color w:val="222222"/>
          <w:lang w:val="es-ES"/>
        </w:rPr>
        <w:t>riesgos debe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comenzar con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la identificación de los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riesgos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a nivel macro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e inclu</w:t>
      </w:r>
      <w:r>
        <w:rPr>
          <w:rStyle w:val="hps"/>
          <w:rFonts w:cs="Arial"/>
          <w:color w:val="222222"/>
          <w:lang w:val="es-ES"/>
        </w:rPr>
        <w:t>ir los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riesgos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asociados directamente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 xml:space="preserve">con las </w:t>
      </w:r>
      <w:r>
        <w:rPr>
          <w:rStyle w:val="hps"/>
          <w:rFonts w:cs="Arial"/>
          <w:color w:val="222222"/>
          <w:lang w:val="es-ES"/>
        </w:rPr>
        <w:t xml:space="preserve">intervenciones con entrega </w:t>
      </w:r>
      <w:r w:rsidR="00D22C89">
        <w:rPr>
          <w:rStyle w:val="hps"/>
          <w:rFonts w:cs="Arial"/>
          <w:color w:val="222222"/>
          <w:lang w:val="es-ES"/>
        </w:rPr>
        <w:t>de efectivo en el</w:t>
      </w:r>
      <w:r w:rsidR="00D22C89">
        <w:rPr>
          <w:rFonts w:cs="Arial"/>
          <w:color w:val="222222"/>
          <w:lang w:val="es-ES"/>
        </w:rPr>
        <w:t xml:space="preserve"> </w:t>
      </w:r>
      <w:r w:rsidR="00D22C89">
        <w:rPr>
          <w:rStyle w:val="hps"/>
          <w:rFonts w:cs="Arial"/>
          <w:color w:val="222222"/>
          <w:lang w:val="es-ES"/>
        </w:rPr>
        <w:t>contexto dado</w:t>
      </w:r>
    </w:p>
    <w:p w14:paraId="36BC10D5" w14:textId="3F476A2E" w:rsidR="00A22FB8" w:rsidRPr="0026217C" w:rsidRDefault="00A22FB8" w:rsidP="00C40D97">
      <w:pPr>
        <w:pStyle w:val="Heading2"/>
        <w:rPr>
          <w:lang w:val="es-ES"/>
        </w:rPr>
      </w:pPr>
      <w:r w:rsidRPr="0026217C">
        <w:rPr>
          <w:lang w:val="es-ES"/>
        </w:rPr>
        <w:t>SUB-</w:t>
      </w:r>
      <w:r w:rsidR="00730CF3" w:rsidRPr="0026217C">
        <w:rPr>
          <w:lang w:val="es-ES"/>
        </w:rPr>
        <w:t>ETAPAS Y HERRAMIENTAS</w:t>
      </w:r>
    </w:p>
    <w:p w14:paraId="18087B11" w14:textId="77777777" w:rsidR="0026217C" w:rsidRPr="0026217C" w:rsidRDefault="00730CF3" w:rsidP="00730CF3">
      <w:pPr>
        <w:jc w:val="left"/>
        <w:rPr>
          <w:b/>
          <w:sz w:val="22"/>
          <w:szCs w:val="24"/>
          <w:lang w:val="es-ES"/>
        </w:rPr>
      </w:pPr>
      <w:r w:rsidRPr="0026217C">
        <w:rPr>
          <w:b/>
          <w:sz w:val="22"/>
          <w:szCs w:val="24"/>
          <w:lang w:val="es-ES"/>
        </w:rPr>
        <w:t>Evaluar los servicios financieros</w:t>
      </w:r>
    </w:p>
    <w:p w14:paraId="56649033" w14:textId="77777777" w:rsidR="0026217C" w:rsidRDefault="00730CF3" w:rsidP="00730CF3">
      <w:pPr>
        <w:jc w:val="left"/>
        <w:rPr>
          <w:rFonts w:cs="Arial"/>
          <w:color w:val="222222"/>
          <w:lang w:val="es-ES"/>
        </w:rPr>
      </w:pPr>
      <w:r>
        <w:rPr>
          <w:rFonts w:cs="Arial"/>
          <w:color w:val="222222"/>
          <w:lang w:val="es-ES"/>
        </w:rPr>
        <w:br/>
        <w:t xml:space="preserve">Una evaluación inicial de los proveedores de servicios financieros, incluidos los operadores de telefonía móvil, debe permitir </w:t>
      </w:r>
      <w:r w:rsidR="0026217C">
        <w:rPr>
          <w:rFonts w:cs="Arial"/>
          <w:color w:val="222222"/>
          <w:lang w:val="es-ES"/>
        </w:rPr>
        <w:t>ent</w:t>
      </w:r>
      <w:r>
        <w:rPr>
          <w:rFonts w:cs="Arial"/>
          <w:color w:val="222222"/>
          <w:lang w:val="es-ES"/>
        </w:rPr>
        <w:t>ende</w:t>
      </w:r>
      <w:r w:rsidR="0026217C">
        <w:rPr>
          <w:rFonts w:cs="Arial"/>
          <w:color w:val="222222"/>
          <w:lang w:val="es-ES"/>
        </w:rPr>
        <w:t xml:space="preserve">r el </w:t>
      </w:r>
      <w:r>
        <w:rPr>
          <w:rFonts w:cs="Arial"/>
          <w:color w:val="222222"/>
          <w:lang w:val="es-ES"/>
        </w:rPr>
        <w:t>contexto operacional, de</w:t>
      </w:r>
      <w:r w:rsidR="0026217C">
        <w:rPr>
          <w:rFonts w:cs="Arial"/>
          <w:color w:val="222222"/>
          <w:lang w:val="es-ES"/>
        </w:rPr>
        <w:t>sde los servicios que ofrecen, hasta</w:t>
      </w:r>
      <w:r>
        <w:rPr>
          <w:rFonts w:cs="Arial"/>
          <w:color w:val="222222"/>
          <w:lang w:val="es-ES"/>
        </w:rPr>
        <w:t xml:space="preserve"> la cobertura, accesibilidad, costos, aspectos legales y de protección de datos. Debido a su experiencia, los departamentos de apoyo (finanzas y logística) juegan un papel importante y, a veces </w:t>
      </w:r>
      <w:r w:rsidR="0026217C">
        <w:rPr>
          <w:rFonts w:cs="Arial"/>
          <w:color w:val="222222"/>
          <w:lang w:val="es-ES"/>
        </w:rPr>
        <w:t xml:space="preserve">pueden </w:t>
      </w:r>
      <w:r>
        <w:rPr>
          <w:rFonts w:cs="Arial"/>
          <w:color w:val="222222"/>
          <w:lang w:val="es-ES"/>
        </w:rPr>
        <w:t>tomar la iniciativa en la evaluación de la capacidad de los proveedores de servicios financieros.</w:t>
      </w:r>
      <w:r w:rsidR="0026217C">
        <w:rPr>
          <w:rFonts w:cs="Arial"/>
          <w:color w:val="222222"/>
          <w:lang w:val="es-ES"/>
        </w:rPr>
        <w:t xml:space="preserve"> Los r</w:t>
      </w:r>
      <w:r>
        <w:rPr>
          <w:rFonts w:cs="Arial"/>
          <w:color w:val="222222"/>
          <w:lang w:val="es-ES"/>
        </w:rPr>
        <w:t xml:space="preserve">oles y </w:t>
      </w:r>
      <w:r w:rsidR="0026217C">
        <w:rPr>
          <w:rFonts w:cs="Arial"/>
          <w:color w:val="222222"/>
          <w:lang w:val="es-ES"/>
        </w:rPr>
        <w:t xml:space="preserve">las </w:t>
      </w:r>
      <w:r>
        <w:rPr>
          <w:rFonts w:cs="Arial"/>
          <w:color w:val="222222"/>
          <w:lang w:val="es-ES"/>
        </w:rPr>
        <w:t xml:space="preserve">responsabilidades serán definidas en los procedimientos operativos estándar </w:t>
      </w:r>
      <w:r w:rsidR="0026217C">
        <w:rPr>
          <w:rFonts w:cs="Arial"/>
          <w:color w:val="222222"/>
          <w:lang w:val="es-ES"/>
        </w:rPr>
        <w:t xml:space="preserve">para PTE </w:t>
      </w:r>
      <w:r>
        <w:rPr>
          <w:rFonts w:cs="Arial"/>
          <w:color w:val="222222"/>
          <w:lang w:val="es-ES"/>
        </w:rPr>
        <w:t>y la buena coordinación es esencial.</w:t>
      </w:r>
    </w:p>
    <w:p w14:paraId="388759C1" w14:textId="0C22E028" w:rsidR="0026217C" w:rsidRDefault="00730CF3" w:rsidP="00730CF3">
      <w:pPr>
        <w:jc w:val="left"/>
        <w:rPr>
          <w:rFonts w:cs="Arial"/>
          <w:color w:val="222222"/>
          <w:lang w:val="es-ES"/>
        </w:rPr>
      </w:pPr>
      <w:r>
        <w:rPr>
          <w:rFonts w:cs="Arial"/>
          <w:color w:val="222222"/>
          <w:lang w:val="es-ES"/>
        </w:rPr>
        <w:br/>
      </w:r>
      <w:r w:rsidR="005578F3">
        <w:rPr>
          <w:rFonts w:cs="Arial"/>
          <w:color w:val="222222"/>
          <w:lang w:val="es-ES"/>
        </w:rPr>
        <w:t>Al final, se debe ser</w:t>
      </w:r>
      <w:r>
        <w:rPr>
          <w:rFonts w:cs="Arial"/>
          <w:color w:val="222222"/>
          <w:lang w:val="es-ES"/>
        </w:rPr>
        <w:t xml:space="preserve"> capaz de identificar </w:t>
      </w:r>
      <w:r w:rsidR="005578F3">
        <w:rPr>
          <w:rFonts w:cs="Arial"/>
          <w:color w:val="222222"/>
          <w:lang w:val="es-ES"/>
        </w:rPr>
        <w:t xml:space="preserve">a </w:t>
      </w:r>
      <w:r>
        <w:rPr>
          <w:rFonts w:cs="Arial"/>
          <w:color w:val="222222"/>
          <w:lang w:val="es-ES"/>
        </w:rPr>
        <w:t xml:space="preserve">los proveedores de servicios y sus </w:t>
      </w:r>
      <w:r w:rsidR="005578F3">
        <w:rPr>
          <w:rFonts w:cs="Arial"/>
          <w:color w:val="222222"/>
          <w:lang w:val="es-ES"/>
        </w:rPr>
        <w:t xml:space="preserve">posibles </w:t>
      </w:r>
      <w:r>
        <w:rPr>
          <w:rFonts w:cs="Arial"/>
          <w:color w:val="222222"/>
          <w:lang w:val="es-ES"/>
        </w:rPr>
        <w:t>capacidades de respuesta. Esto alimentará las discusiones que se celebrará</w:t>
      </w:r>
      <w:r w:rsidR="005578F3">
        <w:rPr>
          <w:rFonts w:cs="Arial"/>
          <w:color w:val="222222"/>
          <w:lang w:val="es-ES"/>
        </w:rPr>
        <w:t>n</w:t>
      </w:r>
      <w:r>
        <w:rPr>
          <w:rFonts w:cs="Arial"/>
          <w:color w:val="222222"/>
          <w:lang w:val="es-ES"/>
        </w:rPr>
        <w:t xml:space="preserve"> y las decisiones </w:t>
      </w:r>
      <w:r w:rsidR="005578F3">
        <w:rPr>
          <w:rFonts w:cs="Arial"/>
          <w:color w:val="222222"/>
          <w:lang w:val="es-ES"/>
        </w:rPr>
        <w:t>a tomar durante el análisis de las posibles intervenciones</w:t>
      </w:r>
      <w:r>
        <w:rPr>
          <w:rFonts w:cs="Arial"/>
          <w:color w:val="222222"/>
          <w:lang w:val="es-ES"/>
        </w:rPr>
        <w:t xml:space="preserve"> (Módulo 3), así como en la selección final de los proveedores de servicios financieros durante la preparación y ejecución (Módulo 4). Asegúrese de involucrar al departamento de Finanzas en este proceso</w:t>
      </w:r>
    </w:p>
    <w:p w14:paraId="26243C51" w14:textId="3618630D" w:rsidR="005578F3" w:rsidRPr="005578F3" w:rsidRDefault="00730CF3" w:rsidP="005578F3">
      <w:pPr>
        <w:jc w:val="left"/>
        <w:rPr>
          <w:lang w:val="es-ES"/>
        </w:rPr>
      </w:pPr>
      <w:r>
        <w:rPr>
          <w:rFonts w:cs="Arial"/>
          <w:color w:val="222222"/>
          <w:lang w:val="es-ES"/>
        </w:rPr>
        <w:br/>
      </w:r>
      <w:r w:rsidR="005578F3" w:rsidRPr="005578F3">
        <w:rPr>
          <w:lang w:val="es-ES"/>
        </w:rPr>
        <w:t xml:space="preserve">Entre las herramientas de </w:t>
      </w:r>
      <w:r w:rsidR="005578F3">
        <w:rPr>
          <w:lang w:val="es-ES"/>
        </w:rPr>
        <w:t xml:space="preserve">las </w:t>
      </w:r>
      <w:r w:rsidR="005578F3" w:rsidRPr="005578F3">
        <w:rPr>
          <w:lang w:val="es-ES"/>
        </w:rPr>
        <w:t>sub-</w:t>
      </w:r>
      <w:r w:rsidR="005578F3">
        <w:rPr>
          <w:lang w:val="es-ES"/>
        </w:rPr>
        <w:t>etapas</w:t>
      </w:r>
      <w:r w:rsidR="005578F3" w:rsidRPr="005578F3">
        <w:rPr>
          <w:lang w:val="es-ES"/>
        </w:rPr>
        <w:t xml:space="preserve">, </w:t>
      </w:r>
      <w:r w:rsidR="005578F3">
        <w:rPr>
          <w:lang w:val="es-ES"/>
        </w:rPr>
        <w:t>se</w:t>
      </w:r>
      <w:r w:rsidR="005578F3" w:rsidRPr="005578F3">
        <w:rPr>
          <w:lang w:val="es-ES"/>
        </w:rPr>
        <w:t xml:space="preserve"> enc</w:t>
      </w:r>
      <w:r w:rsidR="005578F3">
        <w:rPr>
          <w:lang w:val="es-ES"/>
        </w:rPr>
        <w:t xml:space="preserve">uentra </w:t>
      </w:r>
      <w:r w:rsidR="005578F3" w:rsidRPr="005578F3">
        <w:rPr>
          <w:lang w:val="es-ES"/>
        </w:rPr>
        <w:t>una matriz con los temas principales que deben evaluarse</w:t>
      </w:r>
      <w:r w:rsidR="005578F3">
        <w:rPr>
          <w:lang w:val="es-ES"/>
        </w:rPr>
        <w:t>,</w:t>
      </w:r>
      <w:r w:rsidR="005578F3" w:rsidRPr="005578F3">
        <w:rPr>
          <w:lang w:val="es-ES"/>
        </w:rPr>
        <w:t xml:space="preserve"> las posibles fuentes de información y una indicación de si la investigación sobre cada tema debe ser </w:t>
      </w:r>
      <w:r w:rsidR="005578F3">
        <w:rPr>
          <w:lang w:val="es-ES"/>
        </w:rPr>
        <w:t xml:space="preserve">basada en lecturas </w:t>
      </w:r>
      <w:r w:rsidR="005578F3" w:rsidRPr="005578F3">
        <w:rPr>
          <w:lang w:val="es-ES"/>
        </w:rPr>
        <w:t>o</w:t>
      </w:r>
      <w:r w:rsidR="005578F3">
        <w:rPr>
          <w:lang w:val="es-ES"/>
        </w:rPr>
        <w:t xml:space="preserve"> en</w:t>
      </w:r>
      <w:r w:rsidR="005578F3" w:rsidRPr="005578F3">
        <w:rPr>
          <w:lang w:val="es-ES"/>
        </w:rPr>
        <w:t xml:space="preserve"> entrevista</w:t>
      </w:r>
      <w:r w:rsidR="005578F3">
        <w:rPr>
          <w:lang w:val="es-ES"/>
        </w:rPr>
        <w:t xml:space="preserve">s. </w:t>
      </w:r>
      <w:r w:rsidR="005578F3" w:rsidRPr="005578F3">
        <w:rPr>
          <w:lang w:val="es-ES"/>
        </w:rPr>
        <w:t xml:space="preserve">Además, encontrará un cuestionario que se </w:t>
      </w:r>
      <w:r w:rsidR="005578F3">
        <w:rPr>
          <w:lang w:val="es-ES"/>
        </w:rPr>
        <w:t xml:space="preserve">puede </w:t>
      </w:r>
      <w:r w:rsidR="005578F3" w:rsidRPr="005578F3">
        <w:rPr>
          <w:lang w:val="es-ES"/>
        </w:rPr>
        <w:t>utilizar en las entrevistas con los representantes de los proveedores de servicios que operan en la zona afectada. Esta información primaria debe consolidarse con datos secundarios y la información obtenida de la comunidad sobre su acceso y us</w:t>
      </w:r>
      <w:r w:rsidR="005578F3">
        <w:rPr>
          <w:lang w:val="es-ES"/>
        </w:rPr>
        <w:t>o de servicios financieros (Etapa</w:t>
      </w:r>
      <w:r w:rsidR="005578F3" w:rsidRPr="005578F3">
        <w:rPr>
          <w:lang w:val="es-ES"/>
        </w:rPr>
        <w:t xml:space="preserve"> 2 herramientas). Para ello, puede ut</w:t>
      </w:r>
      <w:r w:rsidR="005578F3">
        <w:rPr>
          <w:lang w:val="es-ES"/>
        </w:rPr>
        <w:t xml:space="preserve">ilizar la hoja de cálculo </w:t>
      </w:r>
      <w:r w:rsidR="005578F3" w:rsidRPr="005578F3">
        <w:rPr>
          <w:lang w:val="es-ES"/>
        </w:rPr>
        <w:t xml:space="preserve">disponible en las herramientas de </w:t>
      </w:r>
      <w:r w:rsidR="00D9089B">
        <w:rPr>
          <w:lang w:val="es-ES"/>
        </w:rPr>
        <w:t xml:space="preserve">la </w:t>
      </w:r>
      <w:r w:rsidR="005578F3" w:rsidRPr="005578F3">
        <w:rPr>
          <w:lang w:val="es-ES"/>
        </w:rPr>
        <w:t>sub-</w:t>
      </w:r>
      <w:r w:rsidR="00D9089B">
        <w:rPr>
          <w:lang w:val="es-ES"/>
        </w:rPr>
        <w:t>etapa.</w:t>
      </w:r>
      <w:r w:rsidR="005578F3" w:rsidRPr="005578F3">
        <w:rPr>
          <w:lang w:val="es-ES"/>
        </w:rPr>
        <w:t xml:space="preserve"> Esto debe darle una idea de dónde se encuentran </w:t>
      </w:r>
      <w:r w:rsidR="00D9089B">
        <w:rPr>
          <w:lang w:val="es-ES"/>
        </w:rPr>
        <w:t xml:space="preserve">situados los servicios y su capacidad para </w:t>
      </w:r>
      <w:r w:rsidR="005578F3" w:rsidRPr="005578F3">
        <w:rPr>
          <w:lang w:val="es-ES"/>
        </w:rPr>
        <w:t>llegar a la población afectada.</w:t>
      </w:r>
    </w:p>
    <w:p w14:paraId="40EDD16B" w14:textId="684D8892" w:rsidR="005578F3" w:rsidRPr="00D9089B" w:rsidRDefault="005578F3" w:rsidP="005578F3">
      <w:pPr>
        <w:jc w:val="left"/>
        <w:rPr>
          <w:lang w:val="es-ES"/>
        </w:rPr>
      </w:pPr>
      <w:r w:rsidRPr="005578F3">
        <w:rPr>
          <w:lang w:val="es-ES"/>
        </w:rPr>
        <w:t xml:space="preserve">Dependiendo de la complejidad del sector </w:t>
      </w:r>
      <w:r w:rsidR="00D9089B">
        <w:rPr>
          <w:lang w:val="es-ES"/>
        </w:rPr>
        <w:t xml:space="preserve">de los </w:t>
      </w:r>
      <w:r w:rsidRPr="005578F3">
        <w:rPr>
          <w:lang w:val="es-ES"/>
        </w:rPr>
        <w:t>proveedor</w:t>
      </w:r>
      <w:r w:rsidR="00D9089B">
        <w:rPr>
          <w:lang w:val="es-ES"/>
        </w:rPr>
        <w:t>es de servicios, puede</w:t>
      </w:r>
      <w:r w:rsidRPr="005578F3">
        <w:rPr>
          <w:lang w:val="es-ES"/>
        </w:rPr>
        <w:t xml:space="preserve"> ser oportuno aprovechar la experiencia disponible durante la fase de evaluación. Esta e</w:t>
      </w:r>
      <w:r w:rsidR="00D9089B">
        <w:rPr>
          <w:lang w:val="es-ES"/>
        </w:rPr>
        <w:t xml:space="preserve">xperiencia puede mejorar el </w:t>
      </w:r>
      <w:r w:rsidRPr="005578F3">
        <w:rPr>
          <w:lang w:val="es-ES"/>
        </w:rPr>
        <w:t>proceso de identificación y selección de los proveedores de servicios</w:t>
      </w:r>
      <w:r w:rsidR="00D9089B">
        <w:rPr>
          <w:lang w:val="es-ES"/>
        </w:rPr>
        <w:t xml:space="preserve">. </w:t>
      </w:r>
      <w:r w:rsidRPr="005578F3">
        <w:rPr>
          <w:lang w:val="es-ES"/>
        </w:rPr>
        <w:t xml:space="preserve">Esto requerirá más información detallada sobre </w:t>
      </w:r>
      <w:r w:rsidRPr="005578F3">
        <w:rPr>
          <w:lang w:val="es-ES"/>
        </w:rPr>
        <w:lastRenderedPageBreak/>
        <w:t xml:space="preserve">los proveedores de servicios y puede requerir la colaboración de los departamentos de finanzas y logística. </w:t>
      </w:r>
      <w:r w:rsidR="00D9089B">
        <w:rPr>
          <w:lang w:val="es-ES"/>
        </w:rPr>
        <w:t>L</w:t>
      </w:r>
      <w:r w:rsidRPr="00D9089B">
        <w:rPr>
          <w:lang w:val="es-ES"/>
        </w:rPr>
        <w:t>as herramientas p</w:t>
      </w:r>
      <w:r w:rsidR="00D9089B">
        <w:rPr>
          <w:lang w:val="es-ES"/>
        </w:rPr>
        <w:t>ertinentes se encuentran en el Módulo 4, etapa</w:t>
      </w:r>
      <w:r w:rsidRPr="00D9089B">
        <w:rPr>
          <w:lang w:val="es-ES"/>
        </w:rPr>
        <w:t>3.</w:t>
      </w:r>
    </w:p>
    <w:p w14:paraId="65B25ADB" w14:textId="77777777" w:rsidR="00D9089B" w:rsidRPr="00BA6BFE" w:rsidRDefault="00D9089B" w:rsidP="00D9089B">
      <w:pPr>
        <w:pStyle w:val="Heading3"/>
        <w:rPr>
          <w:lang w:val="es-ES"/>
        </w:rPr>
      </w:pPr>
      <w:r w:rsidRPr="00BA6BFE">
        <w:rPr>
          <w:lang w:val="es-ES"/>
        </w:rPr>
        <w:t>Evaluar la capacidad organizativa</w:t>
      </w:r>
    </w:p>
    <w:p w14:paraId="08FFBB58" w14:textId="439F3D59" w:rsidR="00BA6BFE" w:rsidRDefault="00D9089B" w:rsidP="00D9089B">
      <w:pPr>
        <w:rPr>
          <w:lang w:val="es-ES"/>
        </w:rPr>
      </w:pPr>
      <w:r w:rsidRPr="00D9089B">
        <w:rPr>
          <w:lang w:val="es-ES"/>
        </w:rPr>
        <w:t xml:space="preserve">La evaluación de las capacidades organizativas y técnicas de la agencia y asociados en la ejecución es un paso fundamental para garantizar la calidad (incluidas las cuestiones de protección de datos), la puntualidad y </w:t>
      </w:r>
      <w:r w:rsidR="00BA6BFE">
        <w:rPr>
          <w:lang w:val="es-ES"/>
        </w:rPr>
        <w:t xml:space="preserve">el incremento de la escala </w:t>
      </w:r>
      <w:r w:rsidRPr="00D9089B">
        <w:rPr>
          <w:lang w:val="es-ES"/>
        </w:rPr>
        <w:t xml:space="preserve">de </w:t>
      </w:r>
      <w:r w:rsidR="00BA6BFE">
        <w:rPr>
          <w:lang w:val="es-ES"/>
        </w:rPr>
        <w:t xml:space="preserve">los programas de </w:t>
      </w:r>
      <w:r w:rsidRPr="00D9089B">
        <w:rPr>
          <w:lang w:val="es-ES"/>
        </w:rPr>
        <w:t>transferencia de dinero en efectivo. El proceso debe incluir a todos los departamentos (gerencial, técnico y de apoyo) que participan en la ejecución de</w:t>
      </w:r>
      <w:r w:rsidR="00BA6BFE">
        <w:rPr>
          <w:lang w:val="es-ES"/>
        </w:rPr>
        <w:t xml:space="preserve"> PTE</w:t>
      </w:r>
      <w:r w:rsidRPr="00D9089B">
        <w:rPr>
          <w:lang w:val="es-ES"/>
        </w:rPr>
        <w:t xml:space="preserve">. En el módulo de preparación, </w:t>
      </w:r>
      <w:r w:rsidR="00BA6BFE">
        <w:rPr>
          <w:lang w:val="es-ES"/>
        </w:rPr>
        <w:t xml:space="preserve">se encuentra </w:t>
      </w:r>
      <w:r w:rsidRPr="00D9089B">
        <w:rPr>
          <w:lang w:val="es-ES"/>
        </w:rPr>
        <w:t xml:space="preserve">una lista de </w:t>
      </w:r>
      <w:r w:rsidR="00BA6BFE">
        <w:rPr>
          <w:lang w:val="es-ES"/>
        </w:rPr>
        <w:t xml:space="preserve">verificación </w:t>
      </w:r>
      <w:r w:rsidRPr="00D9089B">
        <w:rPr>
          <w:lang w:val="es-ES"/>
        </w:rPr>
        <w:t>para las Sociedades Nacionales para identificar su disponibilidad operaci</w:t>
      </w:r>
      <w:r w:rsidR="00BA6BFE">
        <w:rPr>
          <w:lang w:val="es-ES"/>
        </w:rPr>
        <w:t>onal, la capacidad y las deficiencias</w:t>
      </w:r>
      <w:r w:rsidRPr="00D9089B">
        <w:rPr>
          <w:lang w:val="es-ES"/>
        </w:rPr>
        <w:t xml:space="preserve"> en la implementación de respuestas </w:t>
      </w:r>
    </w:p>
    <w:p w14:paraId="7C6F2880" w14:textId="77777777" w:rsidR="00BA6BFE" w:rsidRDefault="00BA6BFE" w:rsidP="00D9089B">
      <w:pPr>
        <w:rPr>
          <w:lang w:val="es-ES"/>
        </w:rPr>
      </w:pPr>
    </w:p>
    <w:p w14:paraId="60F7DAC0" w14:textId="41477347" w:rsidR="00BA6BFE" w:rsidRPr="00BA6BFE" w:rsidRDefault="00BA6BFE" w:rsidP="00BA6BFE">
      <w:pPr>
        <w:pStyle w:val="Heading3"/>
        <w:rPr>
          <w:lang w:val="es-ES"/>
        </w:rPr>
      </w:pPr>
      <w:r w:rsidRPr="00BA6BFE">
        <w:rPr>
          <w:lang w:val="es-ES"/>
        </w:rPr>
        <w:t>Anali</w:t>
      </w:r>
      <w:r w:rsidR="00AB191C">
        <w:rPr>
          <w:lang w:val="es-ES"/>
        </w:rPr>
        <w:t>zar</w:t>
      </w:r>
      <w:r w:rsidRPr="00BA6BFE">
        <w:rPr>
          <w:lang w:val="es-ES"/>
        </w:rPr>
        <w:t xml:space="preserve"> los riesgos </w:t>
      </w:r>
    </w:p>
    <w:p w14:paraId="643A20D9" w14:textId="35D11AAC" w:rsidR="00BA6BFE" w:rsidRPr="00BA6BFE" w:rsidRDefault="00BA6BFE" w:rsidP="00BA6BFE">
      <w:pPr>
        <w:rPr>
          <w:lang w:val="es-ES"/>
        </w:rPr>
      </w:pPr>
      <w:r>
        <w:rPr>
          <w:lang w:val="es-ES"/>
        </w:rPr>
        <w:t>El a</w:t>
      </w:r>
      <w:r w:rsidRPr="00BA6BFE">
        <w:rPr>
          <w:lang w:val="es-ES"/>
        </w:rPr>
        <w:t xml:space="preserve">nálisis </w:t>
      </w:r>
      <w:r>
        <w:rPr>
          <w:lang w:val="es-ES"/>
        </w:rPr>
        <w:t xml:space="preserve">de los riesgos en PTE </w:t>
      </w:r>
      <w:r w:rsidRPr="00BA6BFE">
        <w:rPr>
          <w:lang w:val="es-ES"/>
        </w:rPr>
        <w:t xml:space="preserve">es el proceso de identificación de </w:t>
      </w:r>
      <w:r w:rsidR="00FB7165">
        <w:rPr>
          <w:lang w:val="es-ES"/>
        </w:rPr>
        <w:t xml:space="preserve">los </w:t>
      </w:r>
      <w:r w:rsidRPr="00BA6BFE">
        <w:rPr>
          <w:lang w:val="es-ES"/>
        </w:rPr>
        <w:t xml:space="preserve">riesgos, la evaluación de su probabilidad e impacto, y </w:t>
      </w:r>
      <w:r w:rsidR="00FB7165">
        <w:rPr>
          <w:lang w:val="es-ES"/>
        </w:rPr>
        <w:t xml:space="preserve">la decisión sobre </w:t>
      </w:r>
      <w:r w:rsidRPr="00BA6BFE">
        <w:rPr>
          <w:lang w:val="es-ES"/>
        </w:rPr>
        <w:t xml:space="preserve">cómo manejarlos. Los riesgos deben ser considerados en todo el ciclo del proyecto, </w:t>
      </w:r>
      <w:r w:rsidR="00FB7165">
        <w:rPr>
          <w:lang w:val="es-ES"/>
        </w:rPr>
        <w:t xml:space="preserve">desde la evaluación, que es </w:t>
      </w:r>
      <w:r w:rsidRPr="00BA6BFE">
        <w:rPr>
          <w:lang w:val="es-ES"/>
        </w:rPr>
        <w:t xml:space="preserve">cuando los riesgos, </w:t>
      </w:r>
      <w:r w:rsidR="00FB7165">
        <w:rPr>
          <w:lang w:val="es-ES"/>
        </w:rPr>
        <w:t xml:space="preserve">y </w:t>
      </w:r>
      <w:r w:rsidRPr="00BA6BFE">
        <w:rPr>
          <w:lang w:val="es-ES"/>
        </w:rPr>
        <w:t>en particular los riesgos a nivel macro, se deben</w:t>
      </w:r>
      <w:r w:rsidR="00FB7165">
        <w:rPr>
          <w:lang w:val="es-ES"/>
        </w:rPr>
        <w:t xml:space="preserve">. </w:t>
      </w:r>
      <w:r w:rsidRPr="00BA6BFE">
        <w:rPr>
          <w:lang w:val="es-ES"/>
        </w:rPr>
        <w:t>Los riesgos identificados se investigar</w:t>
      </w:r>
      <w:r w:rsidR="00FB7165">
        <w:rPr>
          <w:lang w:val="es-ES"/>
        </w:rPr>
        <w:t>án</w:t>
      </w:r>
      <w:r w:rsidRPr="00BA6BFE">
        <w:rPr>
          <w:lang w:val="es-ES"/>
        </w:rPr>
        <w:t xml:space="preserve"> más en el análisis de </w:t>
      </w:r>
      <w:r w:rsidR="00FB7165">
        <w:rPr>
          <w:lang w:val="es-ES"/>
        </w:rPr>
        <w:t xml:space="preserve">las posibles intervenciones </w:t>
      </w:r>
      <w:r w:rsidRPr="00BA6BFE">
        <w:rPr>
          <w:lang w:val="es-ES"/>
        </w:rPr>
        <w:t>para determinar la viabilidad de l</w:t>
      </w:r>
      <w:r w:rsidR="00FB7165">
        <w:rPr>
          <w:lang w:val="es-ES"/>
        </w:rPr>
        <w:t xml:space="preserve">os PTE </w:t>
      </w:r>
      <w:r w:rsidRPr="00BA6BFE">
        <w:rPr>
          <w:lang w:val="es-ES"/>
        </w:rPr>
        <w:t xml:space="preserve">y la idoneidad de las diferentes opciones de respuesta. A lo largo de la fase de implementación, los riesgos </w:t>
      </w:r>
      <w:r w:rsidR="00FB7165">
        <w:rPr>
          <w:lang w:val="es-ES"/>
        </w:rPr>
        <w:t xml:space="preserve">deben ser </w:t>
      </w:r>
      <w:r w:rsidRPr="00BA6BFE">
        <w:rPr>
          <w:lang w:val="es-ES"/>
        </w:rPr>
        <w:t>mitigados y controlados.</w:t>
      </w:r>
    </w:p>
    <w:p w14:paraId="250B0EB5" w14:textId="27EEB8BE" w:rsidR="00BA6BFE" w:rsidRPr="00BA6BFE" w:rsidRDefault="00BA6BFE" w:rsidP="00BA6BFE">
      <w:pPr>
        <w:rPr>
          <w:lang w:val="es-ES"/>
        </w:rPr>
      </w:pPr>
      <w:r w:rsidRPr="00BA6BFE">
        <w:rPr>
          <w:lang w:val="es-ES"/>
        </w:rPr>
        <w:t xml:space="preserve">Las herramientas que se sugieren en esta sub-etapa incluyen una hoja de ruta </w:t>
      </w:r>
      <w:r w:rsidR="00FB7165">
        <w:rPr>
          <w:lang w:val="es-ES"/>
        </w:rPr>
        <w:t xml:space="preserve">para guiar </w:t>
      </w:r>
      <w:r w:rsidRPr="00BA6BFE">
        <w:rPr>
          <w:lang w:val="es-ES"/>
        </w:rPr>
        <w:t xml:space="preserve">a través del proceso de análisis de </w:t>
      </w:r>
      <w:r w:rsidR="00FB7165">
        <w:rPr>
          <w:lang w:val="es-ES"/>
        </w:rPr>
        <w:t xml:space="preserve">los </w:t>
      </w:r>
      <w:r w:rsidRPr="00BA6BFE">
        <w:rPr>
          <w:lang w:val="es-ES"/>
        </w:rPr>
        <w:t>riesgos y se puede utilizar también en la fase de análisis de la</w:t>
      </w:r>
      <w:r w:rsidR="00FB7165">
        <w:rPr>
          <w:lang w:val="es-ES"/>
        </w:rPr>
        <w:t>s posibles intervenciones.</w:t>
      </w:r>
      <w:r w:rsidRPr="00BA6BFE">
        <w:rPr>
          <w:lang w:val="es-ES"/>
        </w:rPr>
        <w:t xml:space="preserve"> Las herramientas de </w:t>
      </w:r>
      <w:r w:rsidR="00FB7165">
        <w:rPr>
          <w:lang w:val="es-ES"/>
        </w:rPr>
        <w:t xml:space="preserve">las </w:t>
      </w:r>
      <w:r w:rsidRPr="00BA6BFE">
        <w:rPr>
          <w:lang w:val="es-ES"/>
        </w:rPr>
        <w:t>sub-</w:t>
      </w:r>
      <w:r w:rsidR="00FB7165">
        <w:rPr>
          <w:lang w:val="es-ES"/>
        </w:rPr>
        <w:t xml:space="preserve">etapas </w:t>
      </w:r>
      <w:r w:rsidRPr="00BA6BFE">
        <w:rPr>
          <w:lang w:val="es-ES"/>
        </w:rPr>
        <w:t xml:space="preserve">también incluyen una lista de </w:t>
      </w:r>
      <w:r w:rsidR="0044194B">
        <w:rPr>
          <w:lang w:val="es-ES"/>
        </w:rPr>
        <w:t xml:space="preserve">verificación </w:t>
      </w:r>
      <w:r w:rsidRPr="00BA6BFE">
        <w:rPr>
          <w:lang w:val="es-ES"/>
        </w:rPr>
        <w:t xml:space="preserve">de gestión de </w:t>
      </w:r>
      <w:r w:rsidR="0044194B">
        <w:rPr>
          <w:lang w:val="es-ES"/>
        </w:rPr>
        <w:t xml:space="preserve">los </w:t>
      </w:r>
      <w:r w:rsidRPr="00BA6BFE">
        <w:rPr>
          <w:lang w:val="es-ES"/>
        </w:rPr>
        <w:t xml:space="preserve">riesgos para ayudar a identificar las cuestiones que deben abordarse al determinar la viabilidad de </w:t>
      </w:r>
      <w:r w:rsidR="0044194B">
        <w:rPr>
          <w:lang w:val="es-ES"/>
        </w:rPr>
        <w:t xml:space="preserve">la entrega de </w:t>
      </w:r>
      <w:r w:rsidRPr="00BA6BFE">
        <w:rPr>
          <w:lang w:val="es-ES"/>
        </w:rPr>
        <w:t>efectivo.</w:t>
      </w:r>
    </w:p>
    <w:p w14:paraId="3440027B" w14:textId="77777777" w:rsidR="00BA6BFE" w:rsidRPr="00BA6BFE" w:rsidRDefault="00BA6BFE" w:rsidP="00BA6BFE">
      <w:pPr>
        <w:rPr>
          <w:lang w:val="es-ES"/>
        </w:rPr>
      </w:pP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40D97" w:rsidRPr="00C40D97" w14:paraId="5ACCE316" w14:textId="77777777" w:rsidTr="0044194B">
        <w:tc>
          <w:tcPr>
            <w:tcW w:w="9632" w:type="dxa"/>
          </w:tcPr>
          <w:p w14:paraId="305D5FC9" w14:textId="60938195" w:rsidR="00C40D97" w:rsidRPr="00C40D97" w:rsidRDefault="0044194B" w:rsidP="00C40D97">
            <w:pPr>
              <w:pStyle w:val="RefTitre"/>
            </w:pPr>
            <w:r w:rsidRPr="00C40D97">
              <w:t>DOCUMENT</w:t>
            </w:r>
            <w:r>
              <w:t>O</w:t>
            </w:r>
            <w:r w:rsidRPr="00C40D97">
              <w:t xml:space="preserve">S </w:t>
            </w:r>
            <w:r>
              <w:t xml:space="preserve">DE </w:t>
            </w:r>
            <w:r w:rsidR="00C40D97" w:rsidRPr="00C40D97">
              <w:t>REFERENC</w:t>
            </w:r>
            <w:r>
              <w:t>IA</w:t>
            </w:r>
            <w:r w:rsidR="00C40D97" w:rsidRPr="00C40D97">
              <w:t xml:space="preserve"> </w:t>
            </w:r>
          </w:p>
          <w:p w14:paraId="093060BD" w14:textId="51B3626F" w:rsidR="00C40D97" w:rsidRPr="00C40D97" w:rsidRDefault="00C40D97" w:rsidP="00C40D97">
            <w:pPr>
              <w:pStyle w:val="RefItem1"/>
              <w:rPr>
                <w:color w:val="0000FF"/>
                <w:u w:val="single"/>
              </w:rPr>
            </w:pPr>
            <w:proofErr w:type="spellStart"/>
            <w:r w:rsidRPr="00C40D97">
              <w:t>CaLP</w:t>
            </w:r>
            <w:proofErr w:type="spellEnd"/>
            <w:r w:rsidRPr="00C40D97">
              <w:t xml:space="preserve"> (2013) E-transfers in emergencies: Implementation support guidelines </w:t>
            </w:r>
            <w:hyperlink r:id="rId8" w:history="1">
              <w:r w:rsidR="00B20606">
                <w:rPr>
                  <w:rStyle w:val="Hyperlink"/>
                  <w:rFonts w:eastAsia="Times New Roman" w:cs="Arial"/>
                  <w:szCs w:val="20"/>
                </w:rPr>
                <w:t>http://www.cashlearning.org/resources/library/390-e-transfers-in-emergencies-implementation-support-guideline</w:t>
              </w:r>
            </w:hyperlink>
          </w:p>
          <w:p w14:paraId="1FFBE769" w14:textId="0D351E09" w:rsidR="00C40D97" w:rsidRPr="00C40D97" w:rsidRDefault="00C40D97" w:rsidP="00C40D97">
            <w:pPr>
              <w:pStyle w:val="RefItem1"/>
            </w:pPr>
            <w:r w:rsidRPr="00C40D97">
              <w:t xml:space="preserve">WFP Sharing What Works – Working with payment service providers </w:t>
            </w:r>
            <w:hyperlink r:id="rId9" w:history="1">
              <w:r w:rsidR="00B20606" w:rsidRPr="00B20606">
                <w:rPr>
                  <w:rStyle w:val="Hyperlink"/>
                </w:rPr>
                <w:t>http://www.cashlearning.org/downloads/resources/tools/share-what-works-psp.pdf</w:t>
              </w:r>
            </w:hyperlink>
          </w:p>
          <w:p w14:paraId="660B4E6F" w14:textId="1451CBC4" w:rsidR="00C40D97" w:rsidRPr="00C40D97" w:rsidRDefault="00C40D97" w:rsidP="00C40D97">
            <w:pPr>
              <w:pStyle w:val="RefItem1"/>
              <w:rPr>
                <w:rFonts w:eastAsia="Times New Roman" w:cs="Arial"/>
                <w:sz w:val="22"/>
                <w:szCs w:val="22"/>
              </w:rPr>
            </w:pPr>
            <w:proofErr w:type="spellStart"/>
            <w:r w:rsidRPr="00C40D97">
              <w:t>NetHope</w:t>
            </w:r>
            <w:proofErr w:type="spellEnd"/>
            <w:r w:rsidRPr="00C40D97">
              <w:t xml:space="preserve"> – E-payments toolkit </w:t>
            </w:r>
            <w:hyperlink r:id="rId10" w:history="1">
              <w:r w:rsidRPr="00B20606">
                <w:rPr>
                  <w:rStyle w:val="Hyperlink"/>
                </w:rPr>
                <w:t>http://solutionscenter.nethope.org/toolkit/view/c2e-toolkit</w:t>
              </w:r>
            </w:hyperlink>
          </w:p>
        </w:tc>
      </w:tr>
    </w:tbl>
    <w:p w14:paraId="2BD79C2B" w14:textId="77777777" w:rsidR="008C3CDA" w:rsidRDefault="008C3CDA" w:rsidP="00E76995">
      <w:pPr>
        <w:rPr>
          <w:rFonts w:eastAsia="Times New Roman"/>
          <w:sz w:val="22"/>
          <w:szCs w:val="22"/>
        </w:rPr>
      </w:pPr>
    </w:p>
    <w:sectPr w:rsidR="008C3CDA" w:rsidSect="00C40D9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546E" w14:textId="77777777" w:rsidR="00ED67EA" w:rsidRDefault="00ED67EA">
      <w:r>
        <w:separator/>
      </w:r>
    </w:p>
  </w:endnote>
  <w:endnote w:type="continuationSeparator" w:id="0">
    <w:p w14:paraId="0157B61D" w14:textId="77777777" w:rsidR="00ED67EA" w:rsidRDefault="00ED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B0747" w14:textId="0EF5BC09" w:rsidR="00E57B52" w:rsidRPr="00B45C74" w:rsidRDefault="00E57B5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F67323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5EF30628" w14:textId="6010887D" w:rsidR="00E57B52" w:rsidRPr="0026217C" w:rsidRDefault="0026217C" w:rsidP="00ED1B2B">
    <w:pPr>
      <w:pStyle w:val="Footer"/>
      <w:rPr>
        <w:lang w:val="es-ES"/>
      </w:rPr>
    </w:pPr>
    <w:proofErr w:type="spellStart"/>
    <w:r>
      <w:rPr>
        <w:b/>
      </w:rPr>
      <w:t>Módulo</w:t>
    </w:r>
    <w:proofErr w:type="spellEnd"/>
    <w:r w:rsidR="00E57B52" w:rsidRPr="00107E15">
      <w:rPr>
        <w:b/>
      </w:rPr>
      <w:t xml:space="preserve"> </w:t>
    </w:r>
    <w:r w:rsidR="00E57B52">
      <w:rPr>
        <w:b/>
      </w:rPr>
      <w:t>2</w:t>
    </w:r>
    <w:r w:rsidR="00E57B52" w:rsidRPr="00107E15">
      <w:rPr>
        <w:b/>
      </w:rPr>
      <w:t>.</w:t>
    </w:r>
    <w:r w:rsidR="00E57B52" w:rsidRPr="00107E15">
      <w:t xml:space="preserve"> </w:t>
    </w:r>
    <w:proofErr w:type="spellStart"/>
    <w:r>
      <w:t>Etapa</w:t>
    </w:r>
    <w:proofErr w:type="spellEnd"/>
    <w:r w:rsidR="00E57B52" w:rsidRPr="00107E15">
      <w:t xml:space="preserve"> </w:t>
    </w:r>
    <w:r w:rsidR="00E57B52">
      <w:t>4</w:t>
    </w:r>
    <w:r w:rsidR="00E57B52" w:rsidRPr="00107E15">
      <w:t>.</w:t>
    </w:r>
    <w:r w:rsidR="00E57B52">
      <w:t xml:space="preserve"> </w:t>
    </w:r>
    <w:r w:rsidRPr="0026217C">
      <w:rPr>
        <w:lang w:val="es-ES"/>
      </w:rPr>
      <w:t>Hoja de ruta para proveedores de servicios, capacidad organizativa y análisis de los riesgos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18BA" w14:textId="5313902E" w:rsidR="00C40D97" w:rsidRPr="00B45C74" w:rsidRDefault="00C40D97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F67323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4F96D11" w14:textId="64914B7C" w:rsidR="00C40D97" w:rsidRPr="003A3500" w:rsidRDefault="00F67323" w:rsidP="00ED1B2B">
    <w:pPr>
      <w:pStyle w:val="Footer"/>
    </w:pPr>
    <w:proofErr w:type="spellStart"/>
    <w:r>
      <w:rPr>
        <w:b/>
      </w:rPr>
      <w:t>Módulo</w:t>
    </w:r>
    <w:proofErr w:type="spellEnd"/>
    <w:r w:rsidR="00C40D97" w:rsidRPr="00107E15">
      <w:rPr>
        <w:b/>
      </w:rPr>
      <w:t xml:space="preserve"> </w:t>
    </w:r>
    <w:r w:rsidR="00C40D97">
      <w:rPr>
        <w:b/>
      </w:rPr>
      <w:t>2</w:t>
    </w:r>
    <w:r w:rsidR="00C40D97" w:rsidRPr="00107E15">
      <w:rPr>
        <w:b/>
      </w:rPr>
      <w:t>.</w:t>
    </w:r>
    <w:r>
      <w:t xml:space="preserve"> </w:t>
    </w:r>
    <w:r w:rsidR="00C40D97" w:rsidRPr="00107E15">
      <w:t xml:space="preserve"> </w:t>
    </w:r>
    <w:proofErr w:type="spellStart"/>
    <w:r>
      <w:t>Etapa</w:t>
    </w:r>
    <w:proofErr w:type="spellEnd"/>
    <w:r>
      <w:t xml:space="preserve"> </w:t>
    </w:r>
    <w:r w:rsidR="00C40D97">
      <w:t>4</w:t>
    </w:r>
    <w:r w:rsidR="00C40D97" w:rsidRPr="00107E15">
      <w:t>.</w:t>
    </w:r>
    <w:r w:rsidR="00C40D97">
      <w:t xml:space="preserve"> </w:t>
    </w:r>
    <w:proofErr w:type="spellStart"/>
    <w:r w:rsidRPr="00F67323">
      <w:t>Hoja</w:t>
    </w:r>
    <w:proofErr w:type="spellEnd"/>
    <w:r w:rsidRPr="00F67323">
      <w:t xml:space="preserve"> de </w:t>
    </w:r>
    <w:proofErr w:type="spellStart"/>
    <w:r w:rsidRPr="00F67323">
      <w:t>ruta</w:t>
    </w:r>
    <w:proofErr w:type="spellEnd"/>
    <w:r w:rsidRPr="00F67323">
      <w:t xml:space="preserve"> para </w:t>
    </w:r>
    <w:proofErr w:type="spellStart"/>
    <w:r w:rsidRPr="00F67323">
      <w:t>proveedores</w:t>
    </w:r>
    <w:proofErr w:type="spellEnd"/>
    <w:r w:rsidRPr="00F67323">
      <w:t xml:space="preserve"> de </w:t>
    </w:r>
    <w:proofErr w:type="spellStart"/>
    <w:r w:rsidRPr="00F67323">
      <w:t>servicios</w:t>
    </w:r>
    <w:proofErr w:type="spellEnd"/>
    <w:r w:rsidRPr="00F67323">
      <w:t xml:space="preserve">, </w:t>
    </w:r>
    <w:proofErr w:type="spellStart"/>
    <w:r w:rsidRPr="00F67323">
      <w:t>capacidad</w:t>
    </w:r>
    <w:proofErr w:type="spellEnd"/>
    <w:r w:rsidRPr="00F67323">
      <w:t xml:space="preserve"> </w:t>
    </w:r>
    <w:proofErr w:type="spellStart"/>
    <w:r w:rsidRPr="00F67323">
      <w:t>organizativa</w:t>
    </w:r>
    <w:proofErr w:type="spellEnd"/>
    <w:r w:rsidRPr="00F67323">
      <w:t xml:space="preserve"> y </w:t>
    </w:r>
    <w:proofErr w:type="spellStart"/>
    <w:r w:rsidRPr="00F67323">
      <w:t>análisis</w:t>
    </w:r>
    <w:proofErr w:type="spellEnd"/>
    <w:r w:rsidRPr="00F67323">
      <w:t xml:space="preserve"> de </w:t>
    </w:r>
    <w:proofErr w:type="spellStart"/>
    <w:r w:rsidRPr="00F67323">
      <w:t>los</w:t>
    </w:r>
    <w:proofErr w:type="spellEnd"/>
    <w:r w:rsidRPr="00F67323">
      <w:t xml:space="preserve"> </w:t>
    </w:r>
    <w:proofErr w:type="spellStart"/>
    <w:r w:rsidRPr="00F67323">
      <w:t>riesgos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C94D9" w14:textId="77777777" w:rsidR="00ED67EA" w:rsidRDefault="00ED67EA">
      <w:r>
        <w:separator/>
      </w:r>
    </w:p>
  </w:footnote>
  <w:footnote w:type="continuationSeparator" w:id="0">
    <w:p w14:paraId="7A71167A" w14:textId="77777777" w:rsidR="00ED67EA" w:rsidRDefault="00ED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CC91" w14:textId="77777777" w:rsidR="00113BD8" w:rsidRDefault="00113BD8" w:rsidP="00113BD8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lang w:val="es-ES"/>
      </w:rPr>
      <w:t>I</w:t>
    </w:r>
    <w:r>
      <w:rPr>
        <w:rStyle w:val="PageNumber"/>
        <w:color w:val="FF0000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061F" w14:textId="0FA3D073" w:rsidR="00C40D97" w:rsidRDefault="00F67323" w:rsidP="00050617">
    <w:pPr>
      <w:pStyle w:val="Header1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EC1D902" wp14:editId="32AA167F">
          <wp:simplePos x="0" y="0"/>
          <wp:positionH relativeFrom="column">
            <wp:posOffset>356235</wp:posOffset>
          </wp:positionH>
          <wp:positionV relativeFrom="paragraph">
            <wp:posOffset>-68580</wp:posOffset>
          </wp:positionV>
          <wp:extent cx="548640" cy="640080"/>
          <wp:effectExtent l="0" t="0" r="3810" b="7620"/>
          <wp:wrapTight wrapText="bothSides">
            <wp:wrapPolygon edited="0">
              <wp:start x="6000" y="0"/>
              <wp:lineTo x="2250" y="3214"/>
              <wp:lineTo x="2250" y="5786"/>
              <wp:lineTo x="3750" y="10286"/>
              <wp:lineTo x="0" y="16071"/>
              <wp:lineTo x="0" y="21214"/>
              <wp:lineTo x="21000" y="21214"/>
              <wp:lineTo x="21000" y="15429"/>
              <wp:lineTo x="17250" y="10286"/>
              <wp:lineTo x="19500" y="7714"/>
              <wp:lineTo x="18000" y="3214"/>
              <wp:lineTo x="15000" y="0"/>
              <wp:lineTo x="60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CCAB2" w14:textId="64411592" w:rsidR="00C40D97" w:rsidRDefault="00F67323" w:rsidP="00050617">
    <w:pPr>
      <w:pStyle w:val="Header1"/>
    </w:pPr>
    <w:r>
      <w:rPr>
        <w:noProof/>
        <w:color w:val="DC281E"/>
        <w:lang w:val="es-ES_tradnl" w:eastAsia="es-ES_tradnl"/>
      </w:rPr>
      <w:drawing>
        <wp:anchor distT="0" distB="0" distL="114300" distR="114300" simplePos="0" relativeHeight="251662336" behindDoc="1" locked="0" layoutInCell="1" allowOverlap="1" wp14:anchorId="5AADA686" wp14:editId="5E8A20DA">
          <wp:simplePos x="0" y="0"/>
          <wp:positionH relativeFrom="column">
            <wp:posOffset>2642235</wp:posOffset>
          </wp:positionH>
          <wp:positionV relativeFrom="paragraph">
            <wp:posOffset>92710</wp:posOffset>
          </wp:positionV>
          <wp:extent cx="3072765" cy="298450"/>
          <wp:effectExtent l="0" t="0" r="0" b="6350"/>
          <wp:wrapTight wrapText="bothSides">
            <wp:wrapPolygon edited="0">
              <wp:start x="0" y="0"/>
              <wp:lineTo x="0" y="20681"/>
              <wp:lineTo x="21426" y="20681"/>
              <wp:lineTo x="2142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38FD09" w14:textId="6C8277F6" w:rsidR="00C40D97" w:rsidRDefault="00C40D97" w:rsidP="00CB38F7">
    <w:pPr>
      <w:pStyle w:val="Header"/>
      <w:rPr>
        <w:color w:val="DC281E"/>
        <w:sz w:val="24"/>
        <w:szCs w:val="24"/>
      </w:rPr>
    </w:pPr>
  </w:p>
  <w:p w14:paraId="23500B2D" w14:textId="77777777" w:rsidR="00C40D97" w:rsidRDefault="00C40D97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14:paraId="2629B1A6" w14:textId="77777777" w:rsidR="00F67323" w:rsidRDefault="00F67323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14:paraId="50C98D12" w14:textId="43BF8A4E" w:rsidR="00C40D97" w:rsidRDefault="00F67323" w:rsidP="00C16D71">
    <w:pPr>
      <w:pStyle w:val="Header"/>
      <w:spacing w:line="240" w:lineRule="auto"/>
      <w:rPr>
        <w:b/>
        <w:color w:val="DC281E"/>
        <w:sz w:val="24"/>
        <w:szCs w:val="24"/>
      </w:rPr>
    </w:pPr>
    <w:proofErr w:type="spellStart"/>
    <w:r w:rsidRPr="00F67323">
      <w:rPr>
        <w:b/>
        <w:color w:val="DC281E"/>
        <w:sz w:val="24"/>
        <w:szCs w:val="24"/>
      </w:rPr>
      <w:t>Caja</w:t>
    </w:r>
    <w:proofErr w:type="spellEnd"/>
    <w:r w:rsidRPr="00F67323">
      <w:rPr>
        <w:b/>
        <w:color w:val="DC281E"/>
        <w:sz w:val="24"/>
        <w:szCs w:val="24"/>
      </w:rPr>
      <w:t xml:space="preserve"> de </w:t>
    </w:r>
    <w:proofErr w:type="spellStart"/>
    <w:r w:rsidRPr="00F67323">
      <w:rPr>
        <w:b/>
        <w:color w:val="DC281E"/>
        <w:sz w:val="24"/>
        <w:szCs w:val="24"/>
      </w:rPr>
      <w:t>herramientas</w:t>
    </w:r>
    <w:proofErr w:type="spellEnd"/>
    <w:r w:rsidRPr="00F67323">
      <w:rPr>
        <w:b/>
        <w:color w:val="DC281E"/>
        <w:sz w:val="24"/>
        <w:szCs w:val="24"/>
      </w:rPr>
      <w:t xml:space="preserve"> para PTE </w:t>
    </w:r>
    <w:proofErr w:type="spellStart"/>
    <w:r w:rsidRPr="00F67323">
      <w:rPr>
        <w:b/>
        <w:color w:val="DC281E"/>
        <w:sz w:val="24"/>
        <w:szCs w:val="24"/>
      </w:rPr>
      <w:t>en</w:t>
    </w:r>
    <w:proofErr w:type="spellEnd"/>
    <w:r w:rsidRPr="00F67323">
      <w:rPr>
        <w:b/>
        <w:color w:val="DC281E"/>
        <w:sz w:val="24"/>
        <w:szCs w:val="24"/>
      </w:rPr>
      <w:t xml:space="preserve"> </w:t>
    </w:r>
    <w:proofErr w:type="spellStart"/>
    <w:r w:rsidRPr="00F67323">
      <w:rPr>
        <w:b/>
        <w:color w:val="DC281E"/>
        <w:sz w:val="24"/>
        <w:szCs w:val="24"/>
      </w:rPr>
      <w:t>emergencias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A2B"/>
    <w:multiLevelType w:val="hybridMultilevel"/>
    <w:tmpl w:val="0938F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0D4"/>
    <w:multiLevelType w:val="hybridMultilevel"/>
    <w:tmpl w:val="802A56E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065"/>
    <w:multiLevelType w:val="hybridMultilevel"/>
    <w:tmpl w:val="250CB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2FE1"/>
    <w:multiLevelType w:val="hybridMultilevel"/>
    <w:tmpl w:val="714AB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242CA"/>
    <w:multiLevelType w:val="hybridMultilevel"/>
    <w:tmpl w:val="7E2A8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7F"/>
    <w:rsid w:val="000178A6"/>
    <w:rsid w:val="00020970"/>
    <w:rsid w:val="00063601"/>
    <w:rsid w:val="00063CB5"/>
    <w:rsid w:val="000649E7"/>
    <w:rsid w:val="000961E9"/>
    <w:rsid w:val="000B0222"/>
    <w:rsid w:val="000E224B"/>
    <w:rsid w:val="000E7426"/>
    <w:rsid w:val="000F4B6F"/>
    <w:rsid w:val="00113BD8"/>
    <w:rsid w:val="00120D2C"/>
    <w:rsid w:val="00136C29"/>
    <w:rsid w:val="00153A50"/>
    <w:rsid w:val="001579D0"/>
    <w:rsid w:val="001747FC"/>
    <w:rsid w:val="00181599"/>
    <w:rsid w:val="0018406F"/>
    <w:rsid w:val="001B386A"/>
    <w:rsid w:val="001C4DF9"/>
    <w:rsid w:val="001D4E36"/>
    <w:rsid w:val="001F4A45"/>
    <w:rsid w:val="00233F6F"/>
    <w:rsid w:val="00234CB3"/>
    <w:rsid w:val="002412A3"/>
    <w:rsid w:val="00246601"/>
    <w:rsid w:val="00256F41"/>
    <w:rsid w:val="0025752B"/>
    <w:rsid w:val="0026217C"/>
    <w:rsid w:val="00273676"/>
    <w:rsid w:val="002A76ED"/>
    <w:rsid w:val="002A7A1F"/>
    <w:rsid w:val="002B1145"/>
    <w:rsid w:val="002B6139"/>
    <w:rsid w:val="002C223B"/>
    <w:rsid w:val="002C3404"/>
    <w:rsid w:val="002C3865"/>
    <w:rsid w:val="00310F7F"/>
    <w:rsid w:val="00351033"/>
    <w:rsid w:val="00360643"/>
    <w:rsid w:val="003731B5"/>
    <w:rsid w:val="00387C2A"/>
    <w:rsid w:val="003A0055"/>
    <w:rsid w:val="003B2DBC"/>
    <w:rsid w:val="003D262A"/>
    <w:rsid w:val="003D3486"/>
    <w:rsid w:val="003D6541"/>
    <w:rsid w:val="004041C4"/>
    <w:rsid w:val="00415457"/>
    <w:rsid w:val="0044194B"/>
    <w:rsid w:val="00442EA7"/>
    <w:rsid w:val="00454DAB"/>
    <w:rsid w:val="0049199F"/>
    <w:rsid w:val="004A0CA4"/>
    <w:rsid w:val="004B6E87"/>
    <w:rsid w:val="004D55A0"/>
    <w:rsid w:val="004E61DC"/>
    <w:rsid w:val="004E6CD9"/>
    <w:rsid w:val="004F2AC8"/>
    <w:rsid w:val="00521DEF"/>
    <w:rsid w:val="00551FBB"/>
    <w:rsid w:val="005578F3"/>
    <w:rsid w:val="0059769B"/>
    <w:rsid w:val="005C26EE"/>
    <w:rsid w:val="005D29B1"/>
    <w:rsid w:val="005D631B"/>
    <w:rsid w:val="00615FA5"/>
    <w:rsid w:val="006167CF"/>
    <w:rsid w:val="00617205"/>
    <w:rsid w:val="00624427"/>
    <w:rsid w:val="006327BB"/>
    <w:rsid w:val="006607B1"/>
    <w:rsid w:val="006717C9"/>
    <w:rsid w:val="00681C45"/>
    <w:rsid w:val="006875AB"/>
    <w:rsid w:val="006C4773"/>
    <w:rsid w:val="006E099E"/>
    <w:rsid w:val="006F2ECC"/>
    <w:rsid w:val="006F569A"/>
    <w:rsid w:val="007165E1"/>
    <w:rsid w:val="00722B54"/>
    <w:rsid w:val="00730CF3"/>
    <w:rsid w:val="00740A95"/>
    <w:rsid w:val="00750F33"/>
    <w:rsid w:val="00754777"/>
    <w:rsid w:val="00764F22"/>
    <w:rsid w:val="00770BCD"/>
    <w:rsid w:val="007D2180"/>
    <w:rsid w:val="007E0454"/>
    <w:rsid w:val="008217CD"/>
    <w:rsid w:val="00841937"/>
    <w:rsid w:val="00865F32"/>
    <w:rsid w:val="00867845"/>
    <w:rsid w:val="0087216E"/>
    <w:rsid w:val="0088012F"/>
    <w:rsid w:val="008828F7"/>
    <w:rsid w:val="008B2C14"/>
    <w:rsid w:val="008C3CDA"/>
    <w:rsid w:val="008D1CE2"/>
    <w:rsid w:val="008D23A6"/>
    <w:rsid w:val="008E6B0E"/>
    <w:rsid w:val="00901BDF"/>
    <w:rsid w:val="00903F5D"/>
    <w:rsid w:val="00915159"/>
    <w:rsid w:val="009165EF"/>
    <w:rsid w:val="00936FC9"/>
    <w:rsid w:val="009510D2"/>
    <w:rsid w:val="00952D24"/>
    <w:rsid w:val="009573A8"/>
    <w:rsid w:val="00973CD7"/>
    <w:rsid w:val="009A2228"/>
    <w:rsid w:val="009A55D8"/>
    <w:rsid w:val="009E1DB2"/>
    <w:rsid w:val="009E4609"/>
    <w:rsid w:val="009F0131"/>
    <w:rsid w:val="009F4B51"/>
    <w:rsid w:val="00A14C63"/>
    <w:rsid w:val="00A22FB8"/>
    <w:rsid w:val="00A25A0C"/>
    <w:rsid w:val="00A52A7E"/>
    <w:rsid w:val="00A60398"/>
    <w:rsid w:val="00A65DC3"/>
    <w:rsid w:val="00A80D09"/>
    <w:rsid w:val="00A942B0"/>
    <w:rsid w:val="00A97044"/>
    <w:rsid w:val="00AB191C"/>
    <w:rsid w:val="00B05088"/>
    <w:rsid w:val="00B06399"/>
    <w:rsid w:val="00B20606"/>
    <w:rsid w:val="00B23B74"/>
    <w:rsid w:val="00B30398"/>
    <w:rsid w:val="00B37586"/>
    <w:rsid w:val="00B43B9E"/>
    <w:rsid w:val="00B6785E"/>
    <w:rsid w:val="00B95393"/>
    <w:rsid w:val="00B96C5E"/>
    <w:rsid w:val="00BA6BFE"/>
    <w:rsid w:val="00BB3322"/>
    <w:rsid w:val="00BB3842"/>
    <w:rsid w:val="00BE5227"/>
    <w:rsid w:val="00BF245D"/>
    <w:rsid w:val="00C3147A"/>
    <w:rsid w:val="00C36277"/>
    <w:rsid w:val="00C40D97"/>
    <w:rsid w:val="00C53138"/>
    <w:rsid w:val="00C57695"/>
    <w:rsid w:val="00C6084E"/>
    <w:rsid w:val="00C66C49"/>
    <w:rsid w:val="00C83F9A"/>
    <w:rsid w:val="00C93AEE"/>
    <w:rsid w:val="00C93C39"/>
    <w:rsid w:val="00CB2033"/>
    <w:rsid w:val="00CC1B3B"/>
    <w:rsid w:val="00CC7D8C"/>
    <w:rsid w:val="00CD33FB"/>
    <w:rsid w:val="00CE1C9B"/>
    <w:rsid w:val="00CE2D27"/>
    <w:rsid w:val="00D06CD4"/>
    <w:rsid w:val="00D13FF3"/>
    <w:rsid w:val="00D1687C"/>
    <w:rsid w:val="00D22C89"/>
    <w:rsid w:val="00D44268"/>
    <w:rsid w:val="00D47965"/>
    <w:rsid w:val="00D87B4B"/>
    <w:rsid w:val="00D90668"/>
    <w:rsid w:val="00D9089B"/>
    <w:rsid w:val="00D92E57"/>
    <w:rsid w:val="00D9309B"/>
    <w:rsid w:val="00DA3863"/>
    <w:rsid w:val="00DC511E"/>
    <w:rsid w:val="00DE183D"/>
    <w:rsid w:val="00DF5B20"/>
    <w:rsid w:val="00E003E2"/>
    <w:rsid w:val="00E06727"/>
    <w:rsid w:val="00E14DDB"/>
    <w:rsid w:val="00E216FE"/>
    <w:rsid w:val="00E43BC1"/>
    <w:rsid w:val="00E57B52"/>
    <w:rsid w:val="00E62DCC"/>
    <w:rsid w:val="00E66677"/>
    <w:rsid w:val="00E66A9A"/>
    <w:rsid w:val="00E70A86"/>
    <w:rsid w:val="00E7267D"/>
    <w:rsid w:val="00E76995"/>
    <w:rsid w:val="00EB2A2D"/>
    <w:rsid w:val="00ED056D"/>
    <w:rsid w:val="00ED67EA"/>
    <w:rsid w:val="00F00D42"/>
    <w:rsid w:val="00F22587"/>
    <w:rsid w:val="00F46E8B"/>
    <w:rsid w:val="00F66194"/>
    <w:rsid w:val="00F67323"/>
    <w:rsid w:val="00F717A9"/>
    <w:rsid w:val="00F75A6E"/>
    <w:rsid w:val="00FA70C2"/>
    <w:rsid w:val="00FB4EA0"/>
    <w:rsid w:val="00FB56B0"/>
    <w:rsid w:val="00FB7165"/>
    <w:rsid w:val="00FF4D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087E97"/>
  <w15:docId w15:val="{BE032217-07B5-4392-884D-6B3ABA85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16E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8721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16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16E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216E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87216E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Testo nota a piè di pagina Carattere"/>
    <w:basedOn w:val="Normal"/>
    <w:link w:val="FootnoteTextChar"/>
    <w:uiPriority w:val="99"/>
    <w:unhideWhenUsed/>
    <w:rsid w:val="0087216E"/>
    <w:pPr>
      <w:spacing w:after="0"/>
    </w:pPr>
    <w:rPr>
      <w:sz w:val="16"/>
      <w:szCs w:val="22"/>
    </w:rPr>
  </w:style>
  <w:style w:type="character" w:customStyle="1" w:styleId="FootnoteTextChar">
    <w:name w:val="Footnote Text Char"/>
    <w:aliases w:val="Testo nota a piè di pagina Carattere Char"/>
    <w:basedOn w:val="DefaultParagraphFont"/>
    <w:link w:val="FootnoteText"/>
    <w:uiPriority w:val="99"/>
    <w:rsid w:val="0087216E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87216E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216E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87216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216E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16E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7216E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87216E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216E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87216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E14DDB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D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87216E"/>
    <w:rPr>
      <w:rFonts w:ascii="Arial" w:eastAsiaTheme="minorEastAsia" w:hAnsi="Arial" w:cs="Times New Roman"/>
      <w:b/>
      <w:sz w:val="40"/>
      <w:szCs w:val="52"/>
    </w:rPr>
  </w:style>
  <w:style w:type="character" w:styleId="CommentReference">
    <w:name w:val="annotation reference"/>
    <w:basedOn w:val="DefaultParagraphFont"/>
    <w:uiPriority w:val="99"/>
    <w:unhideWhenUsed/>
    <w:rsid w:val="0087216E"/>
    <w:rPr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unhideWhenUsed/>
    <w:rsid w:val="0087216E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87216E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2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7216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216E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16E"/>
    <w:rPr>
      <w:rFonts w:ascii="Arial" w:eastAsiaTheme="minorEastAsia" w:hAnsi="Arial" w:cs="Times New Roman"/>
      <w:b/>
      <w:sz w:val="22"/>
    </w:rPr>
  </w:style>
  <w:style w:type="character" w:styleId="PageNumber">
    <w:name w:val="page number"/>
    <w:basedOn w:val="DefaultParagraphFont"/>
    <w:uiPriority w:val="99"/>
    <w:unhideWhenUsed/>
    <w:rsid w:val="0087216E"/>
    <w:rPr>
      <w:b/>
    </w:rPr>
  </w:style>
  <w:style w:type="paragraph" w:styleId="Revision">
    <w:name w:val="Revision"/>
    <w:hidden/>
    <w:uiPriority w:val="99"/>
    <w:semiHidden/>
    <w:rsid w:val="0087216E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7216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87216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87216E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87216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7216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87216E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87216E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87216E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87216E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87216E"/>
    <w:pPr>
      <w:numPr>
        <w:numId w:val="5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87216E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87216E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87216E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7216E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87216E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7216E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  <w:style w:type="character" w:customStyle="1" w:styleId="hps">
    <w:name w:val="hps"/>
    <w:basedOn w:val="DefaultParagraphFont"/>
    <w:rsid w:val="00D22C89"/>
  </w:style>
  <w:style w:type="table" w:customStyle="1" w:styleId="TableGrid1">
    <w:name w:val="Table Grid1"/>
    <w:basedOn w:val="TableNormal"/>
    <w:next w:val="TableGrid"/>
    <w:uiPriority w:val="59"/>
    <w:rsid w:val="0044194B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B191C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hlearning.org/resources/library/390-e-transfers-in-emergencies-implementation-support-guide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olutionscenter.nethope.org/toolkit/view/c2e-toolk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hlearning.org/downloads/resources/tools/share-what-works-psp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E7A36-830B-4CE4-832B-79ADBF30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94</TotalTime>
  <Pages>3</Pages>
  <Words>1380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Ines DALMAU i GUTSENS</cp:lastModifiedBy>
  <cp:revision>5</cp:revision>
  <cp:lastPrinted>2015-09-25T15:11:00Z</cp:lastPrinted>
  <dcterms:created xsi:type="dcterms:W3CDTF">2016-01-19T12:34:00Z</dcterms:created>
  <dcterms:modified xsi:type="dcterms:W3CDTF">2016-02-11T18:09:00Z</dcterms:modified>
</cp:coreProperties>
</file>