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256B" w14:textId="6195CCE7" w:rsidR="000A4024" w:rsidRPr="00B6630D" w:rsidRDefault="00B6630D" w:rsidP="005B6A03">
      <w:pPr>
        <w:pStyle w:val="H1"/>
        <w:rPr>
          <w:lang w:val="es-ES"/>
        </w:rPr>
      </w:pPr>
      <w:r w:rsidRPr="00B6630D">
        <w:rPr>
          <w:lang w:val="es-ES"/>
        </w:rPr>
        <w:t xml:space="preserve">Hoja </w:t>
      </w:r>
      <w:r>
        <w:rPr>
          <w:lang w:val="es-ES"/>
        </w:rPr>
        <w:t>d</w:t>
      </w:r>
      <w:r w:rsidRPr="00B6630D">
        <w:rPr>
          <w:lang w:val="es-ES"/>
        </w:rPr>
        <w:t>e ruta para el reg</w:t>
      </w:r>
      <w:r>
        <w:rPr>
          <w:lang w:val="es-ES"/>
        </w:rPr>
        <w:t>is</w:t>
      </w:r>
      <w:r w:rsidRPr="00B6630D">
        <w:rPr>
          <w:lang w:val="es-ES"/>
        </w:rPr>
        <w:t xml:space="preserve">tro </w:t>
      </w:r>
      <w:r>
        <w:rPr>
          <w:lang w:val="es-ES"/>
        </w:rPr>
        <w:t xml:space="preserve">y la </w:t>
      </w:r>
      <w:r w:rsidRPr="00B6630D">
        <w:rPr>
          <w:lang w:val="es-ES"/>
        </w:rPr>
        <w:t>identificaci</w:t>
      </w:r>
      <w:r>
        <w:rPr>
          <w:lang w:val="es-ES"/>
        </w:rPr>
        <w:t xml:space="preserve">ón  </w:t>
      </w:r>
    </w:p>
    <w:tbl>
      <w:tblPr>
        <w:tblStyle w:val="TableGrid"/>
        <w:tblW w:w="104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070"/>
        <w:gridCol w:w="1800"/>
        <w:gridCol w:w="1980"/>
        <w:gridCol w:w="2600"/>
      </w:tblGrid>
      <w:tr w:rsidR="00B6630D" w:rsidRPr="00BA4ED3" w14:paraId="36526A6B" w14:textId="77777777" w:rsidTr="00B6630D">
        <w:tc>
          <w:tcPr>
            <w:tcW w:w="10430" w:type="dxa"/>
            <w:gridSpan w:val="5"/>
            <w:shd w:val="clear" w:color="auto" w:fill="00B0F0"/>
          </w:tcPr>
          <w:p w14:paraId="5B85C7E4" w14:textId="77777777" w:rsidR="00B6630D" w:rsidRPr="00BA4ED3" w:rsidRDefault="00B6630D" w:rsidP="000A0945">
            <w:pPr>
              <w:jc w:val="center"/>
              <w:rPr>
                <w:rFonts w:cstheme="minorHAnsi"/>
                <w:b/>
                <w:color w:val="FFFFFF" w:themeColor="background1"/>
              </w:rPr>
            </w:pPr>
            <w:r>
              <w:rPr>
                <w:rFonts w:cstheme="minorHAnsi"/>
                <w:b/>
                <w:bCs/>
                <w:noProof/>
                <w:sz w:val="18"/>
                <w:szCs w:val="21"/>
                <w:lang w:val="es-ES_tradnl" w:eastAsia="es-ES_tradnl"/>
              </w:rPr>
              <mc:AlternateContent>
                <mc:Choice Requires="wps">
                  <w:drawing>
                    <wp:anchor distT="0" distB="0" distL="114300" distR="114300" simplePos="0" relativeHeight="251660288" behindDoc="0" locked="0" layoutInCell="1" allowOverlap="1" wp14:anchorId="7AFE9F2F" wp14:editId="59102B9F">
                      <wp:simplePos x="0" y="0"/>
                      <wp:positionH relativeFrom="column">
                        <wp:posOffset>4187825</wp:posOffset>
                      </wp:positionH>
                      <wp:positionV relativeFrom="paragraph">
                        <wp:posOffset>170179</wp:posOffset>
                      </wp:positionV>
                      <wp:extent cx="163195" cy="315595"/>
                      <wp:effectExtent l="0" t="0" r="27305" b="27305"/>
                      <wp:wrapNone/>
                      <wp:docPr id="3" name="Pentagon 3"/>
                      <wp:cNvGraphicFramePr/>
                      <a:graphic xmlns:a="http://schemas.openxmlformats.org/drawingml/2006/main">
                        <a:graphicData uri="http://schemas.microsoft.com/office/word/2010/wordprocessingShape">
                          <wps:wsp>
                            <wps:cNvSpPr/>
                            <wps:spPr>
                              <a:xfrm rot="16200000" flipH="1" flipV="1">
                                <a:off x="0" y="0"/>
                                <a:ext cx="163195" cy="315595"/>
                              </a:xfrm>
                              <a:prstGeom prst="homePlat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954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329.75pt;margin-top:13.4pt;width:12.85pt;height:24.8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" adj="10800" fillcolor="red" strokecolor="red" strokeweight="2pt"/>
                  </w:pict>
                </mc:Fallback>
              </mc:AlternateContent>
            </w:r>
            <w:r w:rsidRPr="00BA4ED3">
              <w:rPr>
                <w:rFonts w:cstheme="minorHAnsi"/>
                <w:b/>
                <w:color w:val="FFFFFF" w:themeColor="background1"/>
              </w:rPr>
              <w:t>DISEÑO E IMPLEMENTACIÓN</w:t>
            </w:r>
          </w:p>
        </w:tc>
      </w:tr>
      <w:tr w:rsidR="00B6630D" w:rsidRPr="00BA4ED3" w14:paraId="510D041A" w14:textId="77777777" w:rsidTr="00B6630D">
        <w:trPr>
          <w:trHeight w:val="70"/>
        </w:trPr>
        <w:tc>
          <w:tcPr>
            <w:tcW w:w="10430" w:type="dxa"/>
            <w:gridSpan w:val="5"/>
            <w:shd w:val="clear" w:color="auto" w:fill="FFFFFF" w:themeFill="background1"/>
          </w:tcPr>
          <w:p w14:paraId="12C956A0" w14:textId="77777777" w:rsidR="00B6630D" w:rsidRPr="00DB5E28" w:rsidRDefault="00B6630D" w:rsidP="000A0945">
            <w:pPr>
              <w:rPr>
                <w:rFonts w:cstheme="minorHAnsi"/>
                <w:b/>
                <w:bCs/>
                <w:sz w:val="18"/>
                <w:szCs w:val="21"/>
                <w:lang w:val="es-ES"/>
              </w:rPr>
            </w:pPr>
            <w:r>
              <w:rPr>
                <w:rFonts w:cstheme="minorHAnsi"/>
                <w:b/>
                <w:bCs/>
                <w:noProof/>
                <w:sz w:val="18"/>
                <w:szCs w:val="21"/>
                <w:lang w:val="es-ES_tradnl" w:eastAsia="es-ES_tradnl"/>
              </w:rPr>
              <mc:AlternateContent>
                <mc:Choice Requires="wps">
                  <w:drawing>
                    <wp:anchor distT="0" distB="0" distL="114300" distR="114300" simplePos="0" relativeHeight="251659264" behindDoc="0" locked="0" layoutInCell="1" allowOverlap="1" wp14:anchorId="183E37C1" wp14:editId="09E57C02">
                      <wp:simplePos x="0" y="0"/>
                      <wp:positionH relativeFrom="column">
                        <wp:posOffset>-69252</wp:posOffset>
                      </wp:positionH>
                      <wp:positionV relativeFrom="paragraph">
                        <wp:posOffset>25848</wp:posOffset>
                      </wp:positionV>
                      <wp:extent cx="6615953" cy="1493"/>
                      <wp:effectExtent l="0" t="19050" r="13970" b="36830"/>
                      <wp:wrapNone/>
                      <wp:docPr id="2" name="Straight Connector 2"/>
                      <wp:cNvGraphicFramePr/>
                      <a:graphic xmlns:a="http://schemas.openxmlformats.org/drawingml/2006/main">
                        <a:graphicData uri="http://schemas.microsoft.com/office/word/2010/wordprocessingShape">
                          <wps:wsp>
                            <wps:cNvCnPr/>
                            <wps:spPr>
                              <a:xfrm>
                                <a:off x="0" y="0"/>
                                <a:ext cx="6615953" cy="1493"/>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935F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5pt" to="5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" strokecolor="red" strokeweight="3pt"/>
                  </w:pict>
                </mc:Fallback>
              </mc:AlternateContent>
            </w:r>
          </w:p>
        </w:tc>
      </w:tr>
      <w:tr w:rsidR="00B6630D" w:rsidRPr="00B6630D" w14:paraId="2C809D8F" w14:textId="77777777" w:rsidTr="00B6630D">
        <w:tc>
          <w:tcPr>
            <w:tcW w:w="1980" w:type="dxa"/>
            <w:shd w:val="clear" w:color="auto" w:fill="BFBFBF" w:themeFill="background1" w:themeFillShade="BF"/>
          </w:tcPr>
          <w:p w14:paraId="7B633A53" w14:textId="77777777" w:rsidR="00B6630D" w:rsidRPr="00DB5E28" w:rsidRDefault="00B6630D" w:rsidP="000A0945">
            <w:pPr>
              <w:rPr>
                <w:rFonts w:cstheme="minorHAnsi"/>
                <w:b/>
                <w:sz w:val="18"/>
              </w:rPr>
            </w:pPr>
          </w:p>
          <w:p w14:paraId="28C17D09" w14:textId="77777777" w:rsidR="00B6630D" w:rsidRPr="00BA4ED3" w:rsidRDefault="00B6630D" w:rsidP="00B6630D">
            <w:pPr>
              <w:pStyle w:val="ListParagraph"/>
              <w:numPr>
                <w:ilvl w:val="0"/>
                <w:numId w:val="21"/>
              </w:numPr>
              <w:spacing w:after="0"/>
              <w:jc w:val="left"/>
              <w:rPr>
                <w:rFonts w:cstheme="minorHAnsi"/>
                <w:b/>
                <w:sz w:val="18"/>
              </w:rPr>
            </w:pPr>
            <w:r w:rsidRPr="00BA4ED3">
              <w:rPr>
                <w:rFonts w:cstheme="minorHAnsi"/>
                <w:b/>
                <w:bCs/>
                <w:sz w:val="18"/>
                <w:szCs w:val="21"/>
                <w:lang w:val="es-ES"/>
              </w:rPr>
              <w:t>Diseño del programa</w:t>
            </w:r>
          </w:p>
        </w:tc>
        <w:tc>
          <w:tcPr>
            <w:tcW w:w="2070" w:type="dxa"/>
            <w:shd w:val="clear" w:color="auto" w:fill="BFBFBF" w:themeFill="background1" w:themeFillShade="BF"/>
          </w:tcPr>
          <w:p w14:paraId="21E697EA" w14:textId="77777777" w:rsidR="00B6630D" w:rsidRPr="00DB5E28" w:rsidRDefault="00B6630D" w:rsidP="000A0945">
            <w:pPr>
              <w:rPr>
                <w:rFonts w:cstheme="minorHAnsi"/>
                <w:b/>
                <w:sz w:val="18"/>
                <w:lang w:val="es-ES"/>
              </w:rPr>
            </w:pPr>
          </w:p>
          <w:p w14:paraId="265EB716" w14:textId="77777777" w:rsidR="00B6630D" w:rsidRPr="00BA4ED3" w:rsidRDefault="00B6630D" w:rsidP="00B6630D">
            <w:pPr>
              <w:pStyle w:val="ListParagraph"/>
              <w:numPr>
                <w:ilvl w:val="0"/>
                <w:numId w:val="21"/>
              </w:numPr>
              <w:spacing w:after="0"/>
              <w:jc w:val="left"/>
              <w:rPr>
                <w:rFonts w:cstheme="minorHAnsi"/>
                <w:b/>
                <w:sz w:val="18"/>
                <w:lang w:val="es-ES"/>
              </w:rPr>
            </w:pPr>
            <w:r w:rsidRPr="00BA4ED3">
              <w:rPr>
                <w:rFonts w:cstheme="minorHAnsi"/>
                <w:b/>
                <w:bCs/>
                <w:sz w:val="18"/>
                <w:szCs w:val="21"/>
                <w:lang w:val="es-ES"/>
              </w:rPr>
              <w:t>Comunicación y rendición de cuentas a los beneficiarios</w:t>
            </w:r>
          </w:p>
        </w:tc>
        <w:tc>
          <w:tcPr>
            <w:tcW w:w="1800" w:type="dxa"/>
            <w:shd w:val="clear" w:color="auto" w:fill="BFBFBF" w:themeFill="background1" w:themeFillShade="BF"/>
          </w:tcPr>
          <w:p w14:paraId="1AA2A0FC" w14:textId="77777777" w:rsidR="00B6630D" w:rsidRPr="00DB5E28" w:rsidRDefault="00B6630D" w:rsidP="000A0945">
            <w:pPr>
              <w:rPr>
                <w:rFonts w:cstheme="minorHAnsi"/>
                <w:b/>
                <w:sz w:val="18"/>
                <w:lang w:val="es-ES"/>
              </w:rPr>
            </w:pPr>
          </w:p>
          <w:p w14:paraId="6C069CCA" w14:textId="77777777" w:rsidR="00B6630D" w:rsidRPr="00BA4ED3" w:rsidRDefault="00B6630D" w:rsidP="00B6630D">
            <w:pPr>
              <w:pStyle w:val="ListParagraph"/>
              <w:numPr>
                <w:ilvl w:val="0"/>
                <w:numId w:val="21"/>
              </w:numPr>
              <w:spacing w:after="0"/>
              <w:jc w:val="left"/>
              <w:rPr>
                <w:rFonts w:cstheme="minorHAnsi"/>
                <w:b/>
                <w:sz w:val="18"/>
                <w:lang w:val="es-ES"/>
              </w:rPr>
            </w:pPr>
            <w:r w:rsidRPr="00BA4ED3">
              <w:rPr>
                <w:rFonts w:cstheme="minorHAnsi"/>
                <w:b/>
                <w:bCs/>
                <w:sz w:val="18"/>
                <w:lang w:val="es-ES"/>
              </w:rPr>
              <w:t>Contratación de proveedores de servicios</w:t>
            </w:r>
          </w:p>
        </w:tc>
        <w:tc>
          <w:tcPr>
            <w:tcW w:w="1980" w:type="dxa"/>
            <w:shd w:val="clear" w:color="auto" w:fill="BFBFBF" w:themeFill="background1" w:themeFillShade="BF"/>
          </w:tcPr>
          <w:p w14:paraId="54B9E8E4" w14:textId="77777777" w:rsidR="00B6630D" w:rsidRPr="00DB5E28" w:rsidRDefault="00B6630D" w:rsidP="000A0945">
            <w:pPr>
              <w:rPr>
                <w:rFonts w:cstheme="minorHAnsi"/>
                <w:b/>
                <w:sz w:val="18"/>
                <w:lang w:val="es-ES"/>
              </w:rPr>
            </w:pPr>
          </w:p>
          <w:p w14:paraId="7B28683D" w14:textId="77777777" w:rsidR="00B6630D" w:rsidRPr="00BA4ED3" w:rsidRDefault="00B6630D" w:rsidP="00B6630D">
            <w:pPr>
              <w:pStyle w:val="ListParagraph"/>
              <w:numPr>
                <w:ilvl w:val="0"/>
                <w:numId w:val="21"/>
              </w:numPr>
              <w:spacing w:after="0"/>
              <w:jc w:val="left"/>
              <w:rPr>
                <w:rFonts w:cstheme="minorHAnsi"/>
                <w:b/>
                <w:sz w:val="18"/>
                <w:lang w:val="es-ES"/>
              </w:rPr>
            </w:pPr>
            <w:r w:rsidRPr="00BA4ED3">
              <w:rPr>
                <w:rFonts w:cstheme="minorHAnsi"/>
                <w:b/>
                <w:sz w:val="18"/>
                <w:lang w:val="es-ES"/>
              </w:rPr>
              <w:t>Registro e identificación</w:t>
            </w:r>
          </w:p>
        </w:tc>
        <w:tc>
          <w:tcPr>
            <w:tcW w:w="2600" w:type="dxa"/>
            <w:shd w:val="clear" w:color="auto" w:fill="BFBFBF" w:themeFill="background1" w:themeFillShade="BF"/>
          </w:tcPr>
          <w:p w14:paraId="5833DE33" w14:textId="77777777" w:rsidR="00B6630D" w:rsidRPr="00DB5E28" w:rsidRDefault="00B6630D" w:rsidP="000A0945">
            <w:pPr>
              <w:rPr>
                <w:rFonts w:cstheme="minorHAnsi"/>
                <w:b/>
                <w:sz w:val="18"/>
                <w:lang w:val="es-ES"/>
              </w:rPr>
            </w:pPr>
          </w:p>
          <w:p w14:paraId="58E035E6" w14:textId="77777777" w:rsidR="00B6630D" w:rsidRPr="00BA4ED3" w:rsidRDefault="00B6630D" w:rsidP="00B6630D">
            <w:pPr>
              <w:pStyle w:val="ListParagraph"/>
              <w:numPr>
                <w:ilvl w:val="0"/>
                <w:numId w:val="21"/>
              </w:numPr>
              <w:spacing w:after="0"/>
              <w:jc w:val="left"/>
              <w:rPr>
                <w:rFonts w:cstheme="minorHAnsi"/>
                <w:b/>
                <w:sz w:val="18"/>
                <w:lang w:val="es-ES"/>
              </w:rPr>
            </w:pPr>
            <w:r w:rsidRPr="00BA4ED3">
              <w:rPr>
                <w:rFonts w:cstheme="minorHAnsi"/>
                <w:b/>
                <w:bCs/>
                <w:sz w:val="18"/>
                <w:szCs w:val="21"/>
                <w:lang w:val="es-ES"/>
              </w:rPr>
              <w:t>Distribución y conversión a efecti</w:t>
            </w:r>
            <w:r>
              <w:rPr>
                <w:rFonts w:cstheme="minorHAnsi"/>
                <w:b/>
                <w:bCs/>
                <w:sz w:val="18"/>
                <w:szCs w:val="21"/>
                <w:lang w:val="es-ES"/>
              </w:rPr>
              <w:t>vo</w:t>
            </w:r>
          </w:p>
        </w:tc>
      </w:tr>
      <w:tr w:rsidR="00B6630D" w:rsidRPr="00B6630D" w14:paraId="4443E03F" w14:textId="77777777" w:rsidTr="00B6630D">
        <w:tc>
          <w:tcPr>
            <w:tcW w:w="1980" w:type="dxa"/>
            <w:tcBorders>
              <w:left w:val="single" w:sz="4" w:space="0" w:color="auto"/>
              <w:right w:val="single" w:sz="4" w:space="0" w:color="auto"/>
            </w:tcBorders>
            <w:shd w:val="clear" w:color="auto" w:fill="FFFFFF" w:themeFill="background1"/>
          </w:tcPr>
          <w:p w14:paraId="5D294B18" w14:textId="77777777" w:rsidR="00B6630D" w:rsidRPr="00B6630D" w:rsidRDefault="00B6630D" w:rsidP="00B6630D">
            <w:pPr>
              <w:jc w:val="left"/>
              <w:rPr>
                <w:rFonts w:cstheme="minorHAnsi"/>
                <w:bCs/>
                <w:sz w:val="16"/>
                <w:szCs w:val="21"/>
                <w:lang w:val="es-ES"/>
              </w:rPr>
            </w:pPr>
            <w:r w:rsidRPr="00B6630D">
              <w:rPr>
                <w:rFonts w:cstheme="minorHAnsi"/>
                <w:bCs/>
                <w:sz w:val="16"/>
                <w:szCs w:val="21"/>
                <w:lang w:val="es-ES"/>
              </w:rPr>
              <w:t xml:space="preserve">.1 Desarrollo del plan operativo de PTE </w:t>
            </w:r>
          </w:p>
          <w:p w14:paraId="1432B0E3" w14:textId="77777777" w:rsidR="00B6630D" w:rsidRPr="00B6630D" w:rsidRDefault="00B6630D" w:rsidP="00B6630D">
            <w:pPr>
              <w:jc w:val="left"/>
              <w:rPr>
                <w:rFonts w:cstheme="minorHAnsi"/>
                <w:bCs/>
                <w:sz w:val="16"/>
                <w:szCs w:val="21"/>
                <w:lang w:val="es-ES"/>
              </w:rPr>
            </w:pPr>
            <w:r w:rsidRPr="00B6630D">
              <w:rPr>
                <w:rFonts w:cstheme="minorHAnsi"/>
                <w:bCs/>
                <w:sz w:val="16"/>
                <w:szCs w:val="21"/>
                <w:lang w:val="es-ES"/>
              </w:rPr>
              <w:t>.2 Coordinación interna</w:t>
            </w:r>
          </w:p>
          <w:p w14:paraId="77B8ADC8" w14:textId="77777777" w:rsidR="00B6630D" w:rsidRPr="00B6630D" w:rsidRDefault="00B6630D" w:rsidP="00B6630D">
            <w:pPr>
              <w:jc w:val="left"/>
              <w:rPr>
                <w:rFonts w:cstheme="minorHAnsi"/>
                <w:bCs/>
                <w:sz w:val="16"/>
                <w:szCs w:val="21"/>
                <w:lang w:val="es-ES"/>
              </w:rPr>
            </w:pPr>
            <w:r w:rsidRPr="00B6630D">
              <w:rPr>
                <w:rFonts w:cstheme="minorHAnsi"/>
                <w:bCs/>
                <w:sz w:val="16"/>
                <w:szCs w:val="21"/>
                <w:lang w:val="es-ES"/>
              </w:rPr>
              <w:t xml:space="preserve">.3 Coordinación con otros actores  </w:t>
            </w:r>
          </w:p>
          <w:p w14:paraId="02EFD024" w14:textId="77777777" w:rsidR="00B6630D" w:rsidRPr="00BA4ED3" w:rsidRDefault="00B6630D" w:rsidP="00B6630D">
            <w:pPr>
              <w:jc w:val="left"/>
              <w:rPr>
                <w:rFonts w:cstheme="minorHAnsi"/>
                <w:bCs/>
                <w:sz w:val="16"/>
                <w:szCs w:val="21"/>
                <w:lang w:val="es-ES"/>
              </w:rPr>
            </w:pPr>
          </w:p>
        </w:tc>
        <w:tc>
          <w:tcPr>
            <w:tcW w:w="2070" w:type="dxa"/>
            <w:tcBorders>
              <w:left w:val="single" w:sz="4" w:space="0" w:color="auto"/>
              <w:right w:val="single" w:sz="4" w:space="0" w:color="auto"/>
            </w:tcBorders>
          </w:tcPr>
          <w:p w14:paraId="45109991" w14:textId="77777777" w:rsidR="00B6630D" w:rsidRPr="00BA4ED3" w:rsidRDefault="00B6630D" w:rsidP="00B6630D">
            <w:pPr>
              <w:jc w:val="left"/>
              <w:rPr>
                <w:rFonts w:cstheme="minorHAnsi"/>
                <w:bCs/>
                <w:sz w:val="16"/>
                <w:szCs w:val="21"/>
                <w:lang w:val="es-ES"/>
              </w:rPr>
            </w:pPr>
            <w:r w:rsidRPr="00BA4ED3">
              <w:rPr>
                <w:rFonts w:cstheme="minorHAnsi"/>
                <w:bCs/>
                <w:sz w:val="16"/>
                <w:szCs w:val="21"/>
                <w:lang w:val="es-ES"/>
              </w:rPr>
              <w:t xml:space="preserve">.1 Desarrollo de un plan de comunicación y rendición de cuentas a los beneficiarios  </w:t>
            </w:r>
          </w:p>
          <w:p w14:paraId="28E03B21" w14:textId="77777777" w:rsidR="00B6630D" w:rsidRPr="00BA4ED3" w:rsidRDefault="00B6630D" w:rsidP="00B6630D">
            <w:pPr>
              <w:jc w:val="left"/>
              <w:rPr>
                <w:rFonts w:cstheme="minorHAnsi"/>
                <w:bCs/>
                <w:sz w:val="16"/>
                <w:szCs w:val="21"/>
                <w:lang w:val="es-ES"/>
              </w:rPr>
            </w:pPr>
            <w:r w:rsidRPr="00BA4ED3">
              <w:rPr>
                <w:rFonts w:cstheme="minorHAnsi"/>
                <w:bCs/>
                <w:sz w:val="16"/>
                <w:szCs w:val="21"/>
                <w:lang w:val="es-ES"/>
              </w:rPr>
              <w:t xml:space="preserve">.2 Fortalecimiento de la capacidad del personal  </w:t>
            </w:r>
          </w:p>
          <w:p w14:paraId="3D49173D" w14:textId="77777777" w:rsidR="00B6630D" w:rsidRPr="00BA4ED3" w:rsidRDefault="00B6630D" w:rsidP="00B6630D">
            <w:pPr>
              <w:jc w:val="left"/>
              <w:rPr>
                <w:rFonts w:cstheme="minorHAnsi"/>
                <w:bCs/>
                <w:sz w:val="16"/>
                <w:szCs w:val="21"/>
                <w:lang w:val="es-ES"/>
              </w:rPr>
            </w:pPr>
            <w:r w:rsidRPr="00BA4ED3">
              <w:rPr>
                <w:rFonts w:cstheme="minorHAnsi"/>
                <w:bCs/>
                <w:sz w:val="16"/>
                <w:szCs w:val="21"/>
                <w:lang w:val="es-ES"/>
              </w:rPr>
              <w:t xml:space="preserve">.3 Selección de los canales y las herramientas de comunicación  </w:t>
            </w:r>
          </w:p>
          <w:p w14:paraId="380D461E" w14:textId="77777777" w:rsidR="00B6630D" w:rsidRPr="00BA4ED3" w:rsidRDefault="00B6630D" w:rsidP="00B6630D">
            <w:pPr>
              <w:jc w:val="left"/>
              <w:rPr>
                <w:rFonts w:cstheme="minorHAnsi"/>
                <w:bCs/>
                <w:sz w:val="16"/>
                <w:szCs w:val="21"/>
                <w:lang w:val="es-ES"/>
              </w:rPr>
            </w:pPr>
            <w:r w:rsidRPr="00BA4ED3">
              <w:rPr>
                <w:rFonts w:cstheme="minorHAnsi"/>
                <w:bCs/>
                <w:sz w:val="16"/>
                <w:szCs w:val="21"/>
                <w:lang w:val="es-ES"/>
              </w:rPr>
              <w:t>.4 Desarrollo de mensajes para la audiencia diana</w:t>
            </w:r>
          </w:p>
          <w:p w14:paraId="7047C742" w14:textId="77777777" w:rsidR="00B6630D" w:rsidRPr="00BA4ED3" w:rsidRDefault="00B6630D" w:rsidP="00B6630D">
            <w:pPr>
              <w:jc w:val="left"/>
              <w:rPr>
                <w:rFonts w:cstheme="minorHAnsi"/>
                <w:bCs/>
                <w:sz w:val="16"/>
                <w:szCs w:val="21"/>
                <w:lang w:val="es-ES"/>
              </w:rPr>
            </w:pPr>
            <w:r w:rsidRPr="00BA4ED3">
              <w:rPr>
                <w:rFonts w:cstheme="minorHAnsi"/>
                <w:bCs/>
                <w:sz w:val="16"/>
                <w:szCs w:val="21"/>
                <w:lang w:val="es-ES"/>
              </w:rPr>
              <w:t xml:space="preserve">.5 Desarrollo de un </w:t>
            </w:r>
            <w:r w:rsidRPr="00245BB5">
              <w:rPr>
                <w:rFonts w:cstheme="minorHAnsi"/>
                <w:bCs/>
                <w:sz w:val="16"/>
                <w:szCs w:val="21"/>
                <w:lang w:val="es-ES"/>
              </w:rPr>
              <w:t>mecanismo de retroalimentación y respuesta a quejas</w:t>
            </w:r>
            <w:r>
              <w:rPr>
                <w:rFonts w:cstheme="minorHAnsi"/>
                <w:bCs/>
                <w:sz w:val="16"/>
                <w:szCs w:val="21"/>
                <w:lang w:val="es-ES"/>
              </w:rPr>
              <w:t xml:space="preserve"> </w:t>
            </w:r>
          </w:p>
          <w:p w14:paraId="0CB4316E" w14:textId="77777777" w:rsidR="00B6630D" w:rsidRPr="00BA4ED3" w:rsidRDefault="00B6630D" w:rsidP="00B6630D">
            <w:pPr>
              <w:jc w:val="left"/>
              <w:rPr>
                <w:rFonts w:cstheme="minorHAnsi"/>
                <w:bCs/>
                <w:sz w:val="16"/>
                <w:szCs w:val="21"/>
                <w:lang w:val="es-ES"/>
              </w:rPr>
            </w:pPr>
            <w:r w:rsidRPr="00BA4ED3">
              <w:rPr>
                <w:rFonts w:cstheme="minorHAnsi"/>
                <w:bCs/>
                <w:sz w:val="16"/>
                <w:szCs w:val="21"/>
                <w:lang w:val="es-ES"/>
              </w:rPr>
              <w:t>.6 Revisión y aprendizaje</w:t>
            </w:r>
          </w:p>
        </w:tc>
        <w:tc>
          <w:tcPr>
            <w:tcW w:w="1800" w:type="dxa"/>
            <w:tcBorders>
              <w:left w:val="single" w:sz="4" w:space="0" w:color="auto"/>
              <w:right w:val="single" w:sz="4" w:space="0" w:color="auto"/>
            </w:tcBorders>
          </w:tcPr>
          <w:p w14:paraId="77D90593" w14:textId="77777777" w:rsidR="00B6630D" w:rsidRPr="00DB5E28" w:rsidRDefault="00B6630D" w:rsidP="00B6630D">
            <w:pPr>
              <w:jc w:val="left"/>
              <w:rPr>
                <w:rFonts w:cstheme="minorHAnsi"/>
                <w:bCs/>
                <w:sz w:val="16"/>
                <w:szCs w:val="21"/>
                <w:lang w:val="es-ES"/>
              </w:rPr>
            </w:pPr>
            <w:r>
              <w:rPr>
                <w:rFonts w:cstheme="minorHAnsi"/>
                <w:bCs/>
                <w:sz w:val="16"/>
                <w:szCs w:val="21"/>
                <w:lang w:val="es-ES"/>
              </w:rPr>
              <w:t xml:space="preserve">.1 </w:t>
            </w:r>
            <w:r w:rsidRPr="00DB5E28">
              <w:rPr>
                <w:rFonts w:cstheme="minorHAnsi"/>
                <w:bCs/>
                <w:sz w:val="16"/>
                <w:szCs w:val="21"/>
                <w:lang w:val="es-ES"/>
              </w:rPr>
              <w:t>Búsqueda de posibles proveedores de servicios</w:t>
            </w:r>
          </w:p>
          <w:p w14:paraId="5BB7D695" w14:textId="77777777" w:rsidR="00B6630D" w:rsidRPr="00DB5E28" w:rsidRDefault="00B6630D" w:rsidP="00B6630D">
            <w:pPr>
              <w:jc w:val="left"/>
              <w:rPr>
                <w:rFonts w:cstheme="minorHAnsi"/>
                <w:bCs/>
                <w:sz w:val="16"/>
                <w:szCs w:val="21"/>
                <w:lang w:val="es-ES"/>
              </w:rPr>
            </w:pPr>
            <w:r w:rsidRPr="00DB5E28">
              <w:rPr>
                <w:rFonts w:cstheme="minorHAnsi"/>
                <w:bCs/>
                <w:sz w:val="16"/>
                <w:szCs w:val="21"/>
                <w:lang w:val="es-ES"/>
              </w:rPr>
              <w:t>.2 Proceso de licitación y selección del proveedor de servicios</w:t>
            </w:r>
          </w:p>
          <w:p w14:paraId="36AFE779" w14:textId="77777777" w:rsidR="00B6630D" w:rsidRPr="00DB5E28" w:rsidRDefault="00B6630D" w:rsidP="00B6630D">
            <w:pPr>
              <w:jc w:val="left"/>
              <w:rPr>
                <w:rFonts w:cstheme="minorHAnsi"/>
                <w:bCs/>
                <w:sz w:val="16"/>
                <w:szCs w:val="21"/>
                <w:lang w:val="es-ES"/>
              </w:rPr>
            </w:pPr>
            <w:r w:rsidRPr="00DB5E28">
              <w:rPr>
                <w:rFonts w:cstheme="minorHAnsi"/>
                <w:bCs/>
                <w:sz w:val="16"/>
                <w:szCs w:val="21"/>
                <w:lang w:val="es-ES"/>
              </w:rPr>
              <w:t>.3 Contrato y definición del modo de trabajo</w:t>
            </w:r>
          </w:p>
          <w:p w14:paraId="154FE287" w14:textId="77777777" w:rsidR="00B6630D" w:rsidRPr="00DB5E28" w:rsidRDefault="00B6630D" w:rsidP="00B6630D">
            <w:pPr>
              <w:jc w:val="left"/>
              <w:rPr>
                <w:rFonts w:cstheme="minorHAnsi"/>
                <w:bCs/>
                <w:sz w:val="16"/>
                <w:szCs w:val="21"/>
                <w:lang w:val="es-ES"/>
              </w:rPr>
            </w:pPr>
            <w:r w:rsidRPr="00DB5E28">
              <w:rPr>
                <w:rFonts w:cstheme="minorHAnsi"/>
                <w:bCs/>
                <w:sz w:val="16"/>
                <w:szCs w:val="21"/>
                <w:lang w:val="es-ES"/>
              </w:rPr>
              <w:t xml:space="preserve">.4 Gestión y protección de datos de los beneficiarios </w:t>
            </w:r>
          </w:p>
          <w:p w14:paraId="34B21927" w14:textId="77777777" w:rsidR="00B6630D" w:rsidRPr="00BA4ED3" w:rsidRDefault="00B6630D" w:rsidP="00B6630D">
            <w:pPr>
              <w:jc w:val="left"/>
              <w:rPr>
                <w:rFonts w:cstheme="minorHAnsi"/>
                <w:bCs/>
                <w:sz w:val="16"/>
                <w:szCs w:val="21"/>
                <w:lang w:val="es-ES"/>
              </w:rPr>
            </w:pPr>
          </w:p>
        </w:tc>
        <w:tc>
          <w:tcPr>
            <w:tcW w:w="1980" w:type="dxa"/>
            <w:tcBorders>
              <w:left w:val="single" w:sz="4" w:space="0" w:color="auto"/>
              <w:right w:val="single" w:sz="4" w:space="0" w:color="auto"/>
            </w:tcBorders>
            <w:shd w:val="clear" w:color="auto" w:fill="00B0F0"/>
          </w:tcPr>
          <w:p w14:paraId="2F7BCB47" w14:textId="77777777" w:rsidR="00B6630D" w:rsidRPr="00B6630D" w:rsidRDefault="00B6630D" w:rsidP="00B6630D">
            <w:pPr>
              <w:jc w:val="left"/>
              <w:rPr>
                <w:rFonts w:cstheme="minorHAnsi"/>
                <w:bCs/>
                <w:color w:val="FFFFFF" w:themeColor="background1"/>
                <w:sz w:val="16"/>
                <w:szCs w:val="21"/>
                <w:lang w:val="es-ES"/>
              </w:rPr>
            </w:pPr>
            <w:r w:rsidRPr="00B6630D">
              <w:rPr>
                <w:rFonts w:cstheme="minorHAnsi"/>
                <w:bCs/>
                <w:color w:val="FFFFFF" w:themeColor="background1"/>
                <w:sz w:val="16"/>
                <w:szCs w:val="21"/>
                <w:lang w:val="es-ES"/>
              </w:rPr>
              <w:t>.1 Planificación y preparación del registro</w:t>
            </w:r>
          </w:p>
          <w:p w14:paraId="3B324207" w14:textId="77777777" w:rsidR="00B6630D" w:rsidRPr="00BA4ED3" w:rsidRDefault="00B6630D" w:rsidP="00B6630D">
            <w:pPr>
              <w:jc w:val="left"/>
              <w:rPr>
                <w:rFonts w:cstheme="minorHAnsi"/>
                <w:bCs/>
                <w:sz w:val="16"/>
                <w:szCs w:val="21"/>
                <w:lang w:val="es-ES"/>
              </w:rPr>
            </w:pPr>
            <w:r w:rsidRPr="00B6630D">
              <w:rPr>
                <w:rFonts w:cstheme="minorHAnsi"/>
                <w:bCs/>
                <w:color w:val="FFFFFF" w:themeColor="background1"/>
                <w:sz w:val="16"/>
                <w:szCs w:val="21"/>
                <w:lang w:val="es-ES"/>
              </w:rPr>
              <w:t xml:space="preserve">.2 Identificación y autentificación  </w:t>
            </w:r>
          </w:p>
        </w:tc>
        <w:tc>
          <w:tcPr>
            <w:tcW w:w="2600" w:type="dxa"/>
            <w:tcBorders>
              <w:left w:val="single" w:sz="4" w:space="0" w:color="auto"/>
              <w:right w:val="single" w:sz="4" w:space="0" w:color="auto"/>
            </w:tcBorders>
            <w:shd w:val="clear" w:color="auto" w:fill="FFFFFF" w:themeFill="background1"/>
          </w:tcPr>
          <w:p w14:paraId="121BDB37" w14:textId="77777777" w:rsidR="00B6630D" w:rsidRPr="00B6630D" w:rsidRDefault="00B6630D" w:rsidP="00B6630D">
            <w:pPr>
              <w:jc w:val="left"/>
              <w:rPr>
                <w:rFonts w:cstheme="minorHAnsi"/>
                <w:bCs/>
                <w:sz w:val="16"/>
                <w:szCs w:val="21"/>
                <w:lang w:val="es-ES"/>
              </w:rPr>
            </w:pPr>
            <w:r w:rsidRPr="00B6630D">
              <w:rPr>
                <w:rFonts w:cstheme="minorHAnsi"/>
                <w:bCs/>
                <w:sz w:val="16"/>
                <w:szCs w:val="21"/>
                <w:lang w:val="es-ES"/>
              </w:rPr>
              <w:t>.1 Formación y comunicación</w:t>
            </w:r>
          </w:p>
          <w:p w14:paraId="51B58A32" w14:textId="77777777" w:rsidR="00B6630D" w:rsidRPr="00B6630D" w:rsidRDefault="00B6630D" w:rsidP="00B6630D">
            <w:pPr>
              <w:jc w:val="left"/>
              <w:rPr>
                <w:rFonts w:cstheme="minorHAnsi"/>
                <w:bCs/>
                <w:sz w:val="16"/>
                <w:szCs w:val="21"/>
                <w:lang w:val="es-ES"/>
              </w:rPr>
            </w:pPr>
            <w:r w:rsidRPr="00B6630D">
              <w:rPr>
                <w:rFonts w:cstheme="minorHAnsi"/>
                <w:bCs/>
                <w:sz w:val="16"/>
                <w:szCs w:val="21"/>
                <w:lang w:val="es-ES"/>
              </w:rPr>
              <w:t xml:space="preserve">.2 Planificación e implementación de las distribuciones  </w:t>
            </w:r>
          </w:p>
          <w:p w14:paraId="3C83895D" w14:textId="77777777" w:rsidR="00B6630D" w:rsidRPr="00B6630D" w:rsidRDefault="00B6630D" w:rsidP="00B6630D">
            <w:pPr>
              <w:jc w:val="left"/>
              <w:rPr>
                <w:rFonts w:cstheme="minorHAnsi"/>
                <w:bCs/>
                <w:sz w:val="16"/>
                <w:szCs w:val="21"/>
                <w:lang w:val="es-ES"/>
              </w:rPr>
            </w:pPr>
            <w:r w:rsidRPr="00B6630D">
              <w:rPr>
                <w:rFonts w:cstheme="minorHAnsi"/>
                <w:bCs/>
                <w:sz w:val="16"/>
                <w:szCs w:val="21"/>
                <w:lang w:val="es-ES"/>
              </w:rPr>
              <w:t>.3 Planificación de la conversión a efectivo</w:t>
            </w:r>
          </w:p>
          <w:p w14:paraId="1D398F87" w14:textId="77777777" w:rsidR="00B6630D" w:rsidRPr="00BA4ED3" w:rsidRDefault="00B6630D" w:rsidP="00B6630D">
            <w:pPr>
              <w:jc w:val="left"/>
              <w:rPr>
                <w:rFonts w:cstheme="minorHAnsi"/>
                <w:bCs/>
                <w:sz w:val="16"/>
                <w:szCs w:val="21"/>
                <w:lang w:val="es-ES"/>
              </w:rPr>
            </w:pPr>
            <w:r w:rsidRPr="00B6630D">
              <w:rPr>
                <w:rFonts w:cstheme="minorHAnsi"/>
                <w:bCs/>
                <w:sz w:val="16"/>
                <w:szCs w:val="21"/>
                <w:lang w:val="es-ES"/>
              </w:rPr>
              <w:t>.4 Implementación de la conversión a efectivo</w:t>
            </w:r>
          </w:p>
        </w:tc>
      </w:tr>
    </w:tbl>
    <w:p w14:paraId="3DCFAE98" w14:textId="44A3BB94" w:rsidR="00905760" w:rsidRPr="007E00C6" w:rsidRDefault="00905760" w:rsidP="005B6A03">
      <w:pPr>
        <w:pStyle w:val="Heading2"/>
      </w:pPr>
      <w:r w:rsidRPr="007E00C6">
        <w:t>INTRODUC</w:t>
      </w:r>
      <w:r w:rsidR="00FA5B90">
        <w:t xml:space="preserve">CIÓN </w:t>
      </w:r>
    </w:p>
    <w:p w14:paraId="7B554AA8" w14:textId="08D3570C" w:rsidR="00905760" w:rsidRPr="00FA5B90" w:rsidRDefault="00FA5B90" w:rsidP="00FA5B90">
      <w:pPr>
        <w:rPr>
          <w:color w:val="4F81BD" w:themeColor="accent1"/>
          <w:lang w:val="es-ES"/>
        </w:rPr>
      </w:pPr>
      <w:r w:rsidRPr="00461774">
        <w:rPr>
          <w:color w:val="000000"/>
          <w:lang w:val="es-ES_tradnl"/>
        </w:rPr>
        <w:t xml:space="preserve">Esta hoja de ruta proporciona la orientación necesaria para </w:t>
      </w:r>
      <w:r>
        <w:rPr>
          <w:color w:val="000000"/>
          <w:lang w:val="es-ES_tradnl"/>
        </w:rPr>
        <w:t xml:space="preserve">recoger y registrar información sobre </w:t>
      </w:r>
      <w:r w:rsidRPr="00461774">
        <w:rPr>
          <w:color w:val="000000"/>
          <w:lang w:val="es-ES_tradnl"/>
        </w:rPr>
        <w:t>los beneficiarios</w:t>
      </w:r>
      <w:r>
        <w:rPr>
          <w:color w:val="000000"/>
          <w:lang w:val="es-ES_tradnl"/>
        </w:rPr>
        <w:t xml:space="preserve">, y establecer los mecanismos adecuados para su identificación. Un </w:t>
      </w:r>
      <w:r w:rsidRPr="00FA5B90">
        <w:rPr>
          <w:color w:val="000000"/>
          <w:lang w:val="es-ES_tradnl"/>
        </w:rPr>
        <w:t xml:space="preserve">registro e identificación </w:t>
      </w:r>
      <w:r>
        <w:rPr>
          <w:color w:val="000000"/>
          <w:lang w:val="es-ES_tradnl"/>
        </w:rPr>
        <w:t xml:space="preserve">correctos </w:t>
      </w:r>
      <w:r w:rsidRPr="00FA5B90">
        <w:rPr>
          <w:color w:val="000000"/>
          <w:lang w:val="es-ES_tradnl"/>
        </w:rPr>
        <w:t>ayuda</w:t>
      </w:r>
      <w:r>
        <w:rPr>
          <w:color w:val="000000"/>
          <w:lang w:val="es-ES_tradnl"/>
        </w:rPr>
        <w:t>n</w:t>
      </w:r>
      <w:r w:rsidRPr="00FA5B90">
        <w:rPr>
          <w:color w:val="000000"/>
          <w:lang w:val="es-ES_tradnl"/>
        </w:rPr>
        <w:t xml:space="preserve"> a garantizar la rendición de cuentas y la transparencia en el uso de los recursos, y facilita el seguimiento.</w:t>
      </w:r>
      <w:r>
        <w:rPr>
          <w:color w:val="000000"/>
          <w:lang w:val="es-ES_tradnl"/>
        </w:rPr>
        <w:t xml:space="preserve">  </w:t>
      </w:r>
    </w:p>
    <w:p w14:paraId="0604920B" w14:textId="370269E1" w:rsidR="00F61A31" w:rsidRPr="005554F5" w:rsidRDefault="005554F5" w:rsidP="007608DC">
      <w:pPr>
        <w:rPr>
          <w:lang w:val="es-ES"/>
        </w:rPr>
      </w:pPr>
      <w:r w:rsidRPr="005554F5">
        <w:rPr>
          <w:lang w:val="es-ES"/>
        </w:rPr>
        <w:t xml:space="preserve">La hoja de ruta también ofrece sugerencias sobre qué herramientas de esta caja son más útiles para esta etapa y </w:t>
      </w:r>
      <w:r>
        <w:rPr>
          <w:lang w:val="es-ES"/>
        </w:rPr>
        <w:t xml:space="preserve">sus </w:t>
      </w:r>
      <w:r w:rsidRPr="005554F5">
        <w:rPr>
          <w:lang w:val="es-ES"/>
        </w:rPr>
        <w:t>sub-etapa</w:t>
      </w:r>
      <w:r>
        <w:rPr>
          <w:lang w:val="es-ES"/>
        </w:rPr>
        <w:t>s</w:t>
      </w:r>
      <w:r w:rsidRPr="005554F5">
        <w:rPr>
          <w:lang w:val="es-ES"/>
        </w:rPr>
        <w:t xml:space="preserve">. Las herramientas tendrán que ser adaptadas a las necesidades y al contexto. </w:t>
      </w:r>
      <w:r w:rsidRPr="005554F5">
        <w:rPr>
          <w:color w:val="4F81BD" w:themeColor="accent1"/>
          <w:lang w:val="es-ES"/>
        </w:rPr>
        <w:t xml:space="preserve"> </w:t>
      </w:r>
    </w:p>
    <w:p w14:paraId="310BFF52" w14:textId="77777777" w:rsidR="005554F5" w:rsidRPr="00461774" w:rsidRDefault="005554F5" w:rsidP="005554F5">
      <w:pPr>
        <w:rPr>
          <w:color w:val="000000"/>
          <w:lang w:val="es-ES_tradnl"/>
        </w:rPr>
      </w:pPr>
      <w:r w:rsidRPr="00461774">
        <w:rPr>
          <w:color w:val="000000"/>
          <w:lang w:val="es-ES_tradnl"/>
        </w:rPr>
        <w:t>Siempre se debe tratar de cumplir con las normas mínimas que figuran en esta etapa, ya que esto contribuirá a la calidad de su intervención con PTE.</w:t>
      </w:r>
    </w:p>
    <w:p w14:paraId="4DEA575E" w14:textId="05E8743C" w:rsidR="005554F5" w:rsidRPr="00461774" w:rsidRDefault="005554F5" w:rsidP="005554F5">
      <w:pPr>
        <w:rPr>
          <w:color w:val="000000"/>
          <w:lang w:val="es-ES_tradnl"/>
        </w:rPr>
      </w:pPr>
      <w:r w:rsidRPr="00461774">
        <w:rPr>
          <w:color w:val="000000"/>
          <w:lang w:val="es-ES_tradnl"/>
        </w:rPr>
        <w:t xml:space="preserve">Es probable que se tenga que </w:t>
      </w:r>
      <w:r w:rsidRPr="00461774">
        <w:rPr>
          <w:b/>
          <w:color w:val="000000"/>
          <w:lang w:val="es-ES_tradnl"/>
        </w:rPr>
        <w:t>avanzar y retroceder</w:t>
      </w:r>
      <w:r w:rsidRPr="00461774">
        <w:rPr>
          <w:color w:val="000000"/>
          <w:lang w:val="es-ES_tradnl"/>
        </w:rPr>
        <w:t xml:space="preserve"> entre las diferentes sub-etapas una vez que la información y los procesos se han completado, ya que las sub-etapas se retroalimentan entre ellas y ello puede guiar </w:t>
      </w:r>
      <w:r>
        <w:rPr>
          <w:color w:val="000000"/>
          <w:lang w:val="es-ES_tradnl"/>
        </w:rPr>
        <w:t>la</w:t>
      </w:r>
      <w:r w:rsidRPr="00461774">
        <w:rPr>
          <w:color w:val="000000"/>
          <w:lang w:val="es-ES_tradnl"/>
        </w:rPr>
        <w:t xml:space="preserve"> toma de decisiones. </w:t>
      </w:r>
    </w:p>
    <w:p w14:paraId="780F4878" w14:textId="234A5C62" w:rsidR="005554F5" w:rsidRPr="00461774" w:rsidRDefault="005554F5" w:rsidP="005554F5">
      <w:pPr>
        <w:rPr>
          <w:color w:val="000000"/>
          <w:lang w:val="es-ES_tradnl"/>
        </w:rPr>
      </w:pPr>
      <w:r w:rsidRPr="00461774">
        <w:rPr>
          <w:color w:val="000000"/>
          <w:lang w:val="es-ES_tradnl"/>
        </w:rPr>
        <w:t xml:space="preserve">Si se necesitan orientaciones más detalladas sobre </w:t>
      </w:r>
      <w:r w:rsidRPr="005554F5">
        <w:rPr>
          <w:color w:val="000000"/>
          <w:lang w:val="es-ES_tradnl"/>
        </w:rPr>
        <w:t>e</w:t>
      </w:r>
      <w:r>
        <w:rPr>
          <w:color w:val="000000"/>
          <w:lang w:val="es-ES_tradnl"/>
        </w:rPr>
        <w:t>l registro y la identificación</w:t>
      </w:r>
      <w:r w:rsidRPr="00461774">
        <w:rPr>
          <w:color w:val="000000"/>
          <w:lang w:val="es-ES_tradnl"/>
        </w:rPr>
        <w:t>, se pueden consultar los documentos de referencia sugeridos al final de esta hoja de ruta.</w:t>
      </w:r>
    </w:p>
    <w:p w14:paraId="2743B6A6" w14:textId="0C052DC7" w:rsidR="00905760" w:rsidRPr="007E00C6" w:rsidRDefault="005554F5" w:rsidP="005B6A03">
      <w:pPr>
        <w:pStyle w:val="Heading2"/>
      </w:pPr>
      <w:r>
        <w:t xml:space="preserve">ESTÁNDARES MÍNIMOS </w:t>
      </w:r>
    </w:p>
    <w:p w14:paraId="63322859" w14:textId="0299EAB0" w:rsidR="00905760" w:rsidRPr="005554F5" w:rsidRDefault="005554F5" w:rsidP="005554F5">
      <w:pPr>
        <w:pStyle w:val="Bullet1"/>
        <w:rPr>
          <w:lang w:val="es-ES"/>
        </w:rPr>
      </w:pPr>
      <w:r w:rsidRPr="005554F5">
        <w:rPr>
          <w:lang w:val="es-ES"/>
        </w:rPr>
        <w:t>Registr</w:t>
      </w:r>
      <w:r>
        <w:rPr>
          <w:lang w:val="es-ES"/>
        </w:rPr>
        <w:t>ar</w:t>
      </w:r>
      <w:r w:rsidRPr="005554F5">
        <w:rPr>
          <w:lang w:val="es-ES"/>
        </w:rPr>
        <w:t xml:space="preserve"> únicamente </w:t>
      </w:r>
      <w:r>
        <w:rPr>
          <w:lang w:val="es-ES"/>
        </w:rPr>
        <w:t xml:space="preserve">a </w:t>
      </w:r>
      <w:r w:rsidRPr="005554F5">
        <w:rPr>
          <w:lang w:val="es-ES"/>
        </w:rPr>
        <w:t>aquellos que son elegibles para recibir la transferencia</w:t>
      </w:r>
      <w:r>
        <w:rPr>
          <w:lang w:val="es-ES"/>
        </w:rPr>
        <w:t xml:space="preserve"> </w:t>
      </w:r>
    </w:p>
    <w:p w14:paraId="6F200699" w14:textId="76F77368" w:rsidR="00905760" w:rsidRPr="005554F5" w:rsidRDefault="005554F5" w:rsidP="005554F5">
      <w:pPr>
        <w:pStyle w:val="Bullet1"/>
      </w:pPr>
      <w:r w:rsidRPr="005554F5">
        <w:rPr>
          <w:lang w:val="es-ES"/>
        </w:rPr>
        <w:lastRenderedPageBreak/>
        <w:t>Asegurarse de que la identificación requerida para registrar a los beneficiarios cumpl</w:t>
      </w:r>
      <w:r>
        <w:rPr>
          <w:lang w:val="es-ES"/>
        </w:rPr>
        <w:t>e</w:t>
      </w:r>
      <w:r w:rsidRPr="005554F5">
        <w:rPr>
          <w:lang w:val="es-ES"/>
        </w:rPr>
        <w:t xml:space="preserve"> con </w:t>
      </w:r>
      <w:r>
        <w:rPr>
          <w:lang w:val="es-ES"/>
        </w:rPr>
        <w:t xml:space="preserve">la </w:t>
      </w:r>
      <w:r w:rsidRPr="005554F5">
        <w:rPr>
          <w:lang w:val="es-ES"/>
        </w:rPr>
        <w:t>normativa financieros nacionales.</w:t>
      </w:r>
      <w:r>
        <w:rPr>
          <w:lang w:val="es-ES"/>
        </w:rPr>
        <w:t xml:space="preserve"> </w:t>
      </w:r>
    </w:p>
    <w:p w14:paraId="63D18E99" w14:textId="787C8558" w:rsidR="00905760" w:rsidRPr="00185B83" w:rsidRDefault="00185B83" w:rsidP="005B6A03">
      <w:pPr>
        <w:pStyle w:val="Heading2"/>
        <w:rPr>
          <w:lang w:val="es-ES"/>
        </w:rPr>
      </w:pPr>
      <w:r w:rsidRPr="00185B83">
        <w:rPr>
          <w:lang w:val="es-ES"/>
        </w:rPr>
        <w:t xml:space="preserve">SUB-ETAPAS Y HERRAMIENTAS  </w:t>
      </w:r>
    </w:p>
    <w:p w14:paraId="40F5C67E" w14:textId="01F6EF61" w:rsidR="000A4024" w:rsidRPr="00185B83" w:rsidRDefault="00185B83" w:rsidP="00B36D76">
      <w:pPr>
        <w:pStyle w:val="Heading3"/>
        <w:rPr>
          <w:lang w:val="es-ES"/>
        </w:rPr>
      </w:pPr>
      <w:r w:rsidRPr="00185B83">
        <w:rPr>
          <w:lang w:val="es-ES"/>
        </w:rPr>
        <w:t>Planificar y prepararse para el registro</w:t>
      </w:r>
      <w:r>
        <w:rPr>
          <w:lang w:val="es-ES"/>
        </w:rPr>
        <w:t xml:space="preserve"> </w:t>
      </w:r>
    </w:p>
    <w:p w14:paraId="2FCCA857" w14:textId="37456052" w:rsidR="000A4024" w:rsidRPr="00772501" w:rsidRDefault="000C4A1A" w:rsidP="007608DC">
      <w:pPr>
        <w:rPr>
          <w:rFonts w:ascii="Times" w:hAnsi="Times"/>
          <w:lang w:val="es-ES" w:eastAsia="it-IT"/>
        </w:rPr>
      </w:pPr>
      <w:r w:rsidRPr="000C4A1A">
        <w:rPr>
          <w:lang w:val="es-ES"/>
        </w:rPr>
        <w:t xml:space="preserve">En primer lugar, </w:t>
      </w:r>
      <w:r>
        <w:rPr>
          <w:lang w:val="es-ES"/>
        </w:rPr>
        <w:t xml:space="preserve">hay que asegurarse de que el registro sea </w:t>
      </w:r>
      <w:r w:rsidRPr="000C4A1A">
        <w:rPr>
          <w:lang w:val="es-ES"/>
        </w:rPr>
        <w:t xml:space="preserve">apropiado y factible. Por ejemplo, si toda la comunidad se ha visto afectada por una emergencia aguda y está prevista una distribución </w:t>
      </w:r>
      <w:r>
        <w:rPr>
          <w:lang w:val="es-ES"/>
        </w:rPr>
        <w:t xml:space="preserve">de </w:t>
      </w:r>
      <w:r w:rsidRPr="000C4A1A">
        <w:rPr>
          <w:lang w:val="es-ES"/>
        </w:rPr>
        <w:t>manta</w:t>
      </w:r>
      <w:r>
        <w:rPr>
          <w:lang w:val="es-ES"/>
        </w:rPr>
        <w:t>s</w:t>
      </w:r>
      <w:r w:rsidRPr="000C4A1A">
        <w:rPr>
          <w:lang w:val="es-ES"/>
        </w:rPr>
        <w:t xml:space="preserve">, o si la población afectada está en movimiento, </w:t>
      </w:r>
      <w:r>
        <w:rPr>
          <w:lang w:val="es-ES"/>
        </w:rPr>
        <w:t xml:space="preserve">puede </w:t>
      </w:r>
      <w:r w:rsidRPr="000C4A1A">
        <w:rPr>
          <w:lang w:val="es-ES"/>
        </w:rPr>
        <w:t xml:space="preserve">que </w:t>
      </w:r>
      <w:r>
        <w:rPr>
          <w:lang w:val="es-ES"/>
        </w:rPr>
        <w:t xml:space="preserve">sea preferible </w:t>
      </w:r>
      <w:r w:rsidRPr="000C4A1A">
        <w:rPr>
          <w:lang w:val="es-ES"/>
        </w:rPr>
        <w:t xml:space="preserve">utilizar </w:t>
      </w:r>
      <w:r w:rsidRPr="00772501">
        <w:rPr>
          <w:lang w:val="es-ES"/>
        </w:rPr>
        <w:t>boletos de distribución para una distribución única. Los boletos de distribución no permiten la reco</w:t>
      </w:r>
      <w:r>
        <w:rPr>
          <w:lang w:val="es-ES"/>
        </w:rPr>
        <w:t xml:space="preserve">gida </w:t>
      </w:r>
      <w:r w:rsidRPr="000C4A1A">
        <w:rPr>
          <w:lang w:val="es-ES"/>
        </w:rPr>
        <w:t xml:space="preserve">de información demográfica, a menos que los beneficiarios </w:t>
      </w:r>
      <w:r>
        <w:rPr>
          <w:lang w:val="es-ES"/>
        </w:rPr>
        <w:t xml:space="preserve">sean </w:t>
      </w:r>
      <w:r w:rsidRPr="000C4A1A">
        <w:rPr>
          <w:lang w:val="es-ES"/>
        </w:rPr>
        <w:t>registrados en el momento de la distribución.</w:t>
      </w:r>
      <w:r>
        <w:rPr>
          <w:lang w:val="es-ES"/>
        </w:rPr>
        <w:t xml:space="preserve"> </w:t>
      </w:r>
      <w:r w:rsidR="00772501" w:rsidRPr="00772501">
        <w:rPr>
          <w:color w:val="4F81BD" w:themeColor="accent1"/>
          <w:lang w:val="es-ES"/>
        </w:rPr>
        <w:t xml:space="preserve"> </w:t>
      </w:r>
    </w:p>
    <w:p w14:paraId="5962DFE8" w14:textId="65424E7B" w:rsidR="000A4024" w:rsidRPr="00FD46A7" w:rsidRDefault="000C4A1A" w:rsidP="007608DC">
      <w:pPr>
        <w:rPr>
          <w:rFonts w:ascii="Times" w:hAnsi="Times"/>
          <w:lang w:val="it-IT" w:eastAsia="it-IT"/>
        </w:rPr>
      </w:pPr>
      <w:r w:rsidRPr="000C4A1A">
        <w:rPr>
          <w:lang w:val="es-ES"/>
        </w:rPr>
        <w:t xml:space="preserve">Antes de registrar a los beneficiarios, </w:t>
      </w:r>
      <w:r w:rsidR="00F93200">
        <w:rPr>
          <w:lang w:val="es-ES"/>
        </w:rPr>
        <w:t xml:space="preserve">las siguientes </w:t>
      </w:r>
      <w:r w:rsidRPr="000C4A1A">
        <w:rPr>
          <w:lang w:val="es-ES"/>
        </w:rPr>
        <w:t xml:space="preserve">medidas preparatorias asegurarán </w:t>
      </w:r>
      <w:r w:rsidR="00F93200">
        <w:rPr>
          <w:lang w:val="es-ES"/>
        </w:rPr>
        <w:t xml:space="preserve">que el </w:t>
      </w:r>
      <w:r w:rsidRPr="000C4A1A">
        <w:rPr>
          <w:lang w:val="es-ES"/>
        </w:rPr>
        <w:t xml:space="preserve">proceso de registro </w:t>
      </w:r>
      <w:r w:rsidR="00F93200">
        <w:rPr>
          <w:lang w:val="es-ES"/>
        </w:rPr>
        <w:t>transcurra de manera fluida</w:t>
      </w:r>
      <w:r w:rsidRPr="000C4A1A">
        <w:rPr>
          <w:lang w:val="es-ES"/>
        </w:rPr>
        <w:t>:</w:t>
      </w:r>
      <w:r>
        <w:rPr>
          <w:lang w:val="es-ES"/>
        </w:rPr>
        <w:t xml:space="preserve"> </w:t>
      </w:r>
      <w:r w:rsidR="00F93200">
        <w:rPr>
          <w:color w:val="4F81BD" w:themeColor="accent1"/>
          <w:lang w:val="es-ES"/>
        </w:rPr>
        <w:t xml:space="preserve"> </w:t>
      </w:r>
    </w:p>
    <w:p w14:paraId="41349A01" w14:textId="42C1B61C" w:rsidR="000A4024" w:rsidRPr="00F93200" w:rsidRDefault="00F93200" w:rsidP="00B36D76">
      <w:pPr>
        <w:pStyle w:val="Heading3"/>
        <w:rPr>
          <w:lang w:val="es-ES"/>
        </w:rPr>
      </w:pPr>
      <w:r w:rsidRPr="00F93200">
        <w:rPr>
          <w:lang w:val="es-ES"/>
        </w:rPr>
        <w:t xml:space="preserve">Decidir las funciones, responsabilidades y formas de trabajo </w:t>
      </w:r>
      <w:r>
        <w:rPr>
          <w:color w:val="4F81BD" w:themeColor="accent1"/>
          <w:lang w:val="es-ES"/>
        </w:rPr>
        <w:t xml:space="preserve"> </w:t>
      </w:r>
    </w:p>
    <w:p w14:paraId="1A04E039" w14:textId="2CADE718" w:rsidR="000A4024" w:rsidRPr="00F93200" w:rsidRDefault="00F93200" w:rsidP="007608DC">
      <w:pPr>
        <w:rPr>
          <w:lang w:val="es-ES"/>
        </w:rPr>
      </w:pPr>
      <w:r>
        <w:rPr>
          <w:lang w:val="es-ES"/>
        </w:rPr>
        <w:t>La c</w:t>
      </w:r>
      <w:r w:rsidRPr="00F93200">
        <w:rPr>
          <w:lang w:val="es-ES"/>
        </w:rPr>
        <w:t xml:space="preserve">ooperación con las autoridades locales debe </w:t>
      </w:r>
      <w:r>
        <w:rPr>
          <w:lang w:val="es-ES"/>
        </w:rPr>
        <w:t>estar garantizada</w:t>
      </w:r>
      <w:r w:rsidRPr="00F93200">
        <w:rPr>
          <w:lang w:val="es-ES"/>
        </w:rPr>
        <w:t>. En algunos casos es aconsejable llevar a cabo el registro junto con la administración local o incluso en sus instalaciones, por ejemplo, por razones de seguridad.</w:t>
      </w:r>
      <w:r>
        <w:rPr>
          <w:lang w:val="es-ES"/>
        </w:rPr>
        <w:t xml:space="preserve"> </w:t>
      </w:r>
      <w:r>
        <w:rPr>
          <w:color w:val="4F81BD" w:themeColor="accent1"/>
          <w:lang w:val="es-ES"/>
        </w:rPr>
        <w:t xml:space="preserve"> </w:t>
      </w:r>
    </w:p>
    <w:p w14:paraId="481AA59A" w14:textId="28DF7DE6" w:rsidR="000A4024" w:rsidRPr="00F93200" w:rsidRDefault="00F93200" w:rsidP="007608DC">
      <w:pPr>
        <w:rPr>
          <w:lang w:val="es-ES"/>
        </w:rPr>
      </w:pPr>
      <w:r w:rsidRPr="00F93200">
        <w:rPr>
          <w:lang w:val="es-ES"/>
        </w:rPr>
        <w:t xml:space="preserve">Es importante definir quién va a recoger y registrar la información y cómo. Al tomar esta decisión </w:t>
      </w:r>
      <w:r>
        <w:rPr>
          <w:lang w:val="es-ES"/>
        </w:rPr>
        <w:t xml:space="preserve">hay que </w:t>
      </w:r>
      <w:r w:rsidRPr="00F93200">
        <w:rPr>
          <w:lang w:val="es-ES"/>
        </w:rPr>
        <w:t xml:space="preserve">recordar que en algunos casos </w:t>
      </w:r>
      <w:r>
        <w:rPr>
          <w:lang w:val="es-ES"/>
        </w:rPr>
        <w:t xml:space="preserve">la </w:t>
      </w:r>
      <w:r w:rsidRPr="00F93200">
        <w:rPr>
          <w:lang w:val="es-ES"/>
        </w:rPr>
        <w:t xml:space="preserve">información de los beneficiarios puede ser compartida con otras </w:t>
      </w:r>
      <w:r>
        <w:rPr>
          <w:lang w:val="es-ES"/>
        </w:rPr>
        <w:t xml:space="preserve">organizaciones </w:t>
      </w:r>
      <w:r w:rsidRPr="00F93200">
        <w:rPr>
          <w:lang w:val="es-ES"/>
        </w:rPr>
        <w:t>y proveedores de servicios</w:t>
      </w:r>
      <w:r>
        <w:rPr>
          <w:lang w:val="es-ES"/>
        </w:rPr>
        <w:t xml:space="preserve"> </w:t>
      </w:r>
    </w:p>
    <w:p w14:paraId="414FD5F1" w14:textId="21733FB1" w:rsidR="000A4024" w:rsidRPr="00F93200" w:rsidRDefault="00F93200" w:rsidP="00B36D76">
      <w:pPr>
        <w:pStyle w:val="Heading3"/>
        <w:rPr>
          <w:color w:val="4F81BD" w:themeColor="accent1"/>
          <w:lang w:val="es-ES"/>
        </w:rPr>
      </w:pPr>
      <w:r w:rsidRPr="00F93200">
        <w:rPr>
          <w:lang w:val="es-ES"/>
        </w:rPr>
        <w:t xml:space="preserve">Definir el </w:t>
      </w:r>
      <w:r w:rsidRPr="00FA1204">
        <w:rPr>
          <w:lang w:val="es-ES"/>
        </w:rPr>
        <w:t>tipo y el nivel de</w:t>
      </w:r>
      <w:r w:rsidRPr="00F93200">
        <w:rPr>
          <w:lang w:val="es-ES"/>
        </w:rPr>
        <w:t xml:space="preserve"> información que debe recogerse </w:t>
      </w:r>
    </w:p>
    <w:p w14:paraId="2ECF65F4" w14:textId="77FEDE0C" w:rsidR="000A4024" w:rsidRPr="00F93200" w:rsidRDefault="00F93200" w:rsidP="007608DC">
      <w:pPr>
        <w:rPr>
          <w:lang w:val="es-ES"/>
        </w:rPr>
      </w:pPr>
      <w:r w:rsidRPr="00F93200">
        <w:rPr>
          <w:lang w:val="es-ES"/>
        </w:rPr>
        <w:t>El tipo de información a obtener para la identificación de beneficiarios puede variar dependiendo del contexto, pero generalmente inclu</w:t>
      </w:r>
      <w:r>
        <w:rPr>
          <w:lang w:val="es-ES"/>
        </w:rPr>
        <w:t>irá</w:t>
      </w:r>
      <w:r w:rsidRPr="00F93200">
        <w:rPr>
          <w:lang w:val="es-ES"/>
        </w:rPr>
        <w:t xml:space="preserve">: </w:t>
      </w:r>
      <w:r>
        <w:rPr>
          <w:lang w:val="es-ES"/>
        </w:rPr>
        <w:t xml:space="preserve">el </w:t>
      </w:r>
      <w:r w:rsidRPr="00F93200">
        <w:rPr>
          <w:lang w:val="es-ES"/>
        </w:rPr>
        <w:t>nombre y apellidos del cabeza de familia (o miembro del hogar beneficiario designado para recoger la transferencia de efectivo), el número de miembros de la familia, y la dirección o el lugar de residencia permanente y/o temporal. En situaciones en las que se ha</w:t>
      </w:r>
      <w:r>
        <w:rPr>
          <w:lang w:val="es-ES"/>
        </w:rPr>
        <w:t>yan</w:t>
      </w:r>
      <w:r w:rsidRPr="00F93200">
        <w:rPr>
          <w:lang w:val="es-ES"/>
        </w:rPr>
        <w:t xml:space="preserve"> prev</w:t>
      </w:r>
      <w:r>
        <w:rPr>
          <w:lang w:val="es-ES"/>
        </w:rPr>
        <w:t>isto múltiples distribuciones y</w:t>
      </w:r>
      <w:r w:rsidRPr="00F93200">
        <w:rPr>
          <w:lang w:val="es-ES"/>
        </w:rPr>
        <w:t xml:space="preserve">/o programas a más largo plazo, puede ser aconsejable recopilar </w:t>
      </w:r>
      <w:r>
        <w:rPr>
          <w:lang w:val="es-ES"/>
        </w:rPr>
        <w:t xml:space="preserve">datos </w:t>
      </w:r>
      <w:r w:rsidRPr="00F93200">
        <w:rPr>
          <w:lang w:val="es-ES"/>
        </w:rPr>
        <w:t>suplementari</w:t>
      </w:r>
      <w:r>
        <w:rPr>
          <w:lang w:val="es-ES"/>
        </w:rPr>
        <w:t>os</w:t>
      </w:r>
      <w:r w:rsidRPr="00F93200">
        <w:rPr>
          <w:lang w:val="es-ES"/>
        </w:rPr>
        <w:t xml:space="preserve"> </w:t>
      </w:r>
      <w:r>
        <w:rPr>
          <w:lang w:val="es-ES"/>
        </w:rPr>
        <w:t xml:space="preserve">de los </w:t>
      </w:r>
      <w:r w:rsidRPr="00F93200">
        <w:rPr>
          <w:lang w:val="es-ES"/>
        </w:rPr>
        <w:t>miembros de la familia, tales como: nombre, sexo, edad, documento nacional de identidad y la fecha de identificación.</w:t>
      </w:r>
      <w:r>
        <w:rPr>
          <w:lang w:val="es-ES"/>
        </w:rPr>
        <w:t xml:space="preserve"> </w:t>
      </w:r>
      <w:r w:rsidRPr="00F93200">
        <w:rPr>
          <w:color w:val="4F81BD" w:themeColor="accent1"/>
          <w:lang w:val="es-ES"/>
        </w:rPr>
        <w:t xml:space="preserve"> </w:t>
      </w:r>
    </w:p>
    <w:p w14:paraId="65870E97" w14:textId="3A5C9A97" w:rsidR="000A4024" w:rsidRPr="00FD6218" w:rsidRDefault="00FD6218" w:rsidP="007608DC">
      <w:pPr>
        <w:rPr>
          <w:color w:val="4F81BD" w:themeColor="accent1"/>
          <w:lang w:val="es-ES"/>
        </w:rPr>
      </w:pPr>
      <w:r w:rsidRPr="00FD6218">
        <w:rPr>
          <w:lang w:val="es-ES"/>
        </w:rPr>
        <w:t xml:space="preserve">Es </w:t>
      </w:r>
      <w:r>
        <w:rPr>
          <w:lang w:val="es-ES"/>
        </w:rPr>
        <w:t xml:space="preserve">recomendable </w:t>
      </w:r>
      <w:r w:rsidRPr="00FD6218">
        <w:rPr>
          <w:lang w:val="es-ES"/>
        </w:rPr>
        <w:t xml:space="preserve">obtener información sobre las normas financieras aplicables en el país de </w:t>
      </w:r>
      <w:r>
        <w:rPr>
          <w:lang w:val="es-ES"/>
        </w:rPr>
        <w:t>intervención</w:t>
      </w:r>
      <w:r w:rsidRPr="00FD6218">
        <w:rPr>
          <w:lang w:val="es-ES"/>
        </w:rPr>
        <w:t xml:space="preserve">, </w:t>
      </w:r>
      <w:r>
        <w:rPr>
          <w:lang w:val="es-ES"/>
        </w:rPr>
        <w:t xml:space="preserve">a fin de </w:t>
      </w:r>
      <w:r w:rsidRPr="00FD6218">
        <w:rPr>
          <w:lang w:val="es-ES"/>
        </w:rPr>
        <w:t>anticipar</w:t>
      </w:r>
      <w:r>
        <w:rPr>
          <w:lang w:val="es-ES"/>
        </w:rPr>
        <w:t>se a</w:t>
      </w:r>
      <w:r w:rsidRPr="00FD6218">
        <w:rPr>
          <w:lang w:val="es-ES"/>
        </w:rPr>
        <w:t xml:space="preserve"> la información (y documentación) </w:t>
      </w:r>
      <w:r>
        <w:rPr>
          <w:lang w:val="es-ES"/>
        </w:rPr>
        <w:t xml:space="preserve">que los </w:t>
      </w:r>
      <w:r w:rsidRPr="00FD6218">
        <w:rPr>
          <w:lang w:val="es-ES"/>
        </w:rPr>
        <w:t xml:space="preserve">beneficiarios </w:t>
      </w:r>
      <w:r>
        <w:rPr>
          <w:lang w:val="es-ES"/>
        </w:rPr>
        <w:t xml:space="preserve">estarán </w:t>
      </w:r>
      <w:r w:rsidRPr="00FD6218">
        <w:rPr>
          <w:lang w:val="es-ES"/>
        </w:rPr>
        <w:t xml:space="preserve">obligados a </w:t>
      </w:r>
      <w:r>
        <w:rPr>
          <w:lang w:val="es-ES"/>
        </w:rPr>
        <w:t>presentar</w:t>
      </w:r>
      <w:r w:rsidRPr="00FD6218">
        <w:rPr>
          <w:lang w:val="es-ES"/>
        </w:rPr>
        <w:t xml:space="preserve">. </w:t>
      </w:r>
      <w:r>
        <w:rPr>
          <w:lang w:val="es-ES"/>
        </w:rPr>
        <w:t xml:space="preserve">A falta </w:t>
      </w:r>
      <w:r w:rsidRPr="00FD6218">
        <w:rPr>
          <w:lang w:val="es-ES"/>
        </w:rPr>
        <w:t xml:space="preserve">de esta información, </w:t>
      </w:r>
      <w:r>
        <w:rPr>
          <w:lang w:val="es-ES"/>
        </w:rPr>
        <w:t xml:space="preserve">se deben </w:t>
      </w:r>
      <w:r w:rsidRPr="00FD6218">
        <w:rPr>
          <w:lang w:val="es-ES"/>
        </w:rPr>
        <w:t>consult</w:t>
      </w:r>
      <w:r>
        <w:rPr>
          <w:lang w:val="es-ES"/>
        </w:rPr>
        <w:t>ar</w:t>
      </w:r>
      <w:r w:rsidRPr="00FD6218">
        <w:rPr>
          <w:lang w:val="es-ES"/>
        </w:rPr>
        <w:t xml:space="preserve"> los requisitos del proveedor de servicios. </w:t>
      </w:r>
      <w:r w:rsidRPr="00FD6218">
        <w:rPr>
          <w:color w:val="4F81BD" w:themeColor="accent1"/>
          <w:lang w:val="es-ES"/>
        </w:rPr>
        <w:t xml:space="preserve"> </w:t>
      </w:r>
    </w:p>
    <w:p w14:paraId="0947A59A" w14:textId="63C574E1" w:rsidR="000A4024" w:rsidRPr="00FD6218" w:rsidRDefault="00FA1204" w:rsidP="00B36D76">
      <w:pPr>
        <w:pStyle w:val="Heading3"/>
        <w:rPr>
          <w:lang w:val="es-ES"/>
        </w:rPr>
      </w:pPr>
      <w:r>
        <w:rPr>
          <w:lang w:val="es-ES"/>
        </w:rPr>
        <w:t>Crea</w:t>
      </w:r>
      <w:r w:rsidR="00FD6218" w:rsidRPr="00FD6218">
        <w:rPr>
          <w:lang w:val="es-ES"/>
        </w:rPr>
        <w:t xml:space="preserve">r una base de datos </w:t>
      </w:r>
      <w:r w:rsidR="00FD6218">
        <w:rPr>
          <w:lang w:val="es-ES"/>
        </w:rPr>
        <w:t xml:space="preserve"> </w:t>
      </w:r>
    </w:p>
    <w:p w14:paraId="1CA8CA42" w14:textId="7A79DADB" w:rsidR="000A4024" w:rsidRPr="000A0945" w:rsidRDefault="00FD6218" w:rsidP="007608DC">
      <w:pPr>
        <w:rPr>
          <w:color w:val="231F20"/>
          <w:lang w:val="es-ES"/>
        </w:rPr>
      </w:pPr>
      <w:r>
        <w:rPr>
          <w:lang w:val="es-ES"/>
        </w:rPr>
        <w:t>Las b</w:t>
      </w:r>
      <w:r w:rsidRPr="00FD6218">
        <w:rPr>
          <w:lang w:val="es-ES"/>
        </w:rPr>
        <w:t xml:space="preserve">ases de datos electrónicas permiten el seguimiento de los beneficiarios </w:t>
      </w:r>
      <w:r>
        <w:rPr>
          <w:lang w:val="es-ES"/>
        </w:rPr>
        <w:t xml:space="preserve">de forma </w:t>
      </w:r>
      <w:r w:rsidRPr="00FD6218">
        <w:rPr>
          <w:lang w:val="es-ES"/>
        </w:rPr>
        <w:t xml:space="preserve">continua y </w:t>
      </w:r>
      <w:r>
        <w:rPr>
          <w:lang w:val="es-ES"/>
        </w:rPr>
        <w:t xml:space="preserve">la detección </w:t>
      </w:r>
      <w:r w:rsidRPr="00FD6218">
        <w:rPr>
          <w:lang w:val="es-ES"/>
        </w:rPr>
        <w:t>instantáne</w:t>
      </w:r>
      <w:r>
        <w:rPr>
          <w:lang w:val="es-ES"/>
        </w:rPr>
        <w:t>a</w:t>
      </w:r>
      <w:r w:rsidRPr="00FD6218">
        <w:rPr>
          <w:lang w:val="es-ES"/>
        </w:rPr>
        <w:t xml:space="preserve"> de </w:t>
      </w:r>
      <w:r>
        <w:rPr>
          <w:lang w:val="es-ES"/>
        </w:rPr>
        <w:t xml:space="preserve">cualquier intento por parte de un beneficiario de </w:t>
      </w:r>
      <w:r w:rsidRPr="00FD6218">
        <w:rPr>
          <w:lang w:val="es-ES"/>
        </w:rPr>
        <w:t>registrar</w:t>
      </w:r>
      <w:r>
        <w:rPr>
          <w:lang w:val="es-ES"/>
        </w:rPr>
        <w:t>se</w:t>
      </w:r>
      <w:r w:rsidRPr="00FD6218">
        <w:rPr>
          <w:lang w:val="es-ES"/>
        </w:rPr>
        <w:t xml:space="preserve"> más de una vez. No sólo </w:t>
      </w:r>
      <w:r>
        <w:rPr>
          <w:lang w:val="es-ES"/>
        </w:rPr>
        <w:t xml:space="preserve">se </w:t>
      </w:r>
      <w:r w:rsidRPr="000A0945">
        <w:rPr>
          <w:lang w:val="es-ES"/>
        </w:rPr>
        <w:t>reducen los errores al introducir los datos y las duplicaciones</w:t>
      </w:r>
      <w:r w:rsidRPr="00FD6218">
        <w:rPr>
          <w:lang w:val="es-ES"/>
        </w:rPr>
        <w:t xml:space="preserve">, sino que también facilitan la actualización, </w:t>
      </w:r>
      <w:r>
        <w:rPr>
          <w:lang w:val="es-ES"/>
        </w:rPr>
        <w:t xml:space="preserve">las </w:t>
      </w:r>
      <w:r w:rsidRPr="00FD6218">
        <w:rPr>
          <w:lang w:val="es-ES"/>
        </w:rPr>
        <w:t>copia</w:t>
      </w:r>
      <w:r>
        <w:rPr>
          <w:lang w:val="es-ES"/>
        </w:rPr>
        <w:t>s</w:t>
      </w:r>
      <w:r w:rsidRPr="00FD6218">
        <w:rPr>
          <w:lang w:val="es-ES"/>
        </w:rPr>
        <w:t xml:space="preserve"> de seguridad, </w:t>
      </w:r>
      <w:r>
        <w:rPr>
          <w:lang w:val="es-ES"/>
        </w:rPr>
        <w:t>la elaboración de informes</w:t>
      </w:r>
      <w:r w:rsidRPr="00FD6218">
        <w:rPr>
          <w:lang w:val="es-ES"/>
        </w:rPr>
        <w:t xml:space="preserve">, </w:t>
      </w:r>
      <w:r>
        <w:rPr>
          <w:lang w:val="es-ES"/>
        </w:rPr>
        <w:t xml:space="preserve">el </w:t>
      </w:r>
      <w:r w:rsidRPr="00FD6218">
        <w:rPr>
          <w:lang w:val="es-ES"/>
        </w:rPr>
        <w:t xml:space="preserve">seguimiento y </w:t>
      </w:r>
      <w:r>
        <w:rPr>
          <w:lang w:val="es-ES"/>
        </w:rPr>
        <w:t xml:space="preserve">los </w:t>
      </w:r>
      <w:r w:rsidRPr="00FD6218">
        <w:rPr>
          <w:lang w:val="es-ES"/>
        </w:rPr>
        <w:t>controles de auditoría.</w:t>
      </w:r>
      <w:r>
        <w:rPr>
          <w:lang w:val="es-ES"/>
        </w:rPr>
        <w:t xml:space="preserve"> </w:t>
      </w:r>
      <w:r w:rsidR="000A0945" w:rsidRPr="000A0945">
        <w:rPr>
          <w:color w:val="4F81BD" w:themeColor="accent1"/>
          <w:lang w:val="es-ES"/>
        </w:rPr>
        <w:t xml:space="preserve"> </w:t>
      </w:r>
    </w:p>
    <w:p w14:paraId="1263FA21" w14:textId="14381518" w:rsidR="000A4024" w:rsidRPr="000A0945" w:rsidRDefault="000A0945" w:rsidP="007608DC">
      <w:pPr>
        <w:rPr>
          <w:color w:val="4F81BD" w:themeColor="accent1"/>
          <w:lang w:val="es-ES"/>
        </w:rPr>
      </w:pPr>
      <w:r>
        <w:rPr>
          <w:lang w:val="es-ES"/>
        </w:rPr>
        <w:t xml:space="preserve">Las </w:t>
      </w:r>
      <w:r w:rsidRPr="000A0945">
        <w:rPr>
          <w:lang w:val="es-ES"/>
        </w:rPr>
        <w:t xml:space="preserve">bases de datos electrónicas se pueden alimentar directamente durante el registro o después. Esto dependerá de si la recogida de datos </w:t>
      </w:r>
      <w:r>
        <w:rPr>
          <w:lang w:val="es-ES"/>
        </w:rPr>
        <w:t>se ha</w:t>
      </w:r>
      <w:r w:rsidR="00FA1204">
        <w:rPr>
          <w:lang w:val="es-ES"/>
        </w:rPr>
        <w:t>ce</w:t>
      </w:r>
      <w:r w:rsidRPr="000A0945">
        <w:rPr>
          <w:lang w:val="es-ES"/>
        </w:rPr>
        <w:t xml:space="preserve">: </w:t>
      </w:r>
      <w:r>
        <w:rPr>
          <w:color w:val="4F81BD" w:themeColor="accent1"/>
          <w:lang w:val="es-ES"/>
        </w:rPr>
        <w:t xml:space="preserve"> </w:t>
      </w:r>
    </w:p>
    <w:p w14:paraId="207F87A7" w14:textId="08BB6F8B" w:rsidR="000A4024" w:rsidRPr="000A0945" w:rsidRDefault="000A0945" w:rsidP="000A0945">
      <w:pPr>
        <w:pStyle w:val="Bullet2"/>
        <w:rPr>
          <w:color w:val="4F81BD" w:themeColor="accent1"/>
        </w:rPr>
      </w:pPr>
      <w:r w:rsidRPr="000A0945">
        <w:rPr>
          <w:u w:val="single"/>
          <w:lang w:val="es-ES"/>
        </w:rPr>
        <w:t>Con un dispositivo en línea</w:t>
      </w:r>
      <w:r w:rsidRPr="000A0945">
        <w:rPr>
          <w:lang w:val="es-ES"/>
        </w:rPr>
        <w:t xml:space="preserve">. En este caso, se </w:t>
      </w:r>
      <w:r>
        <w:rPr>
          <w:lang w:val="es-ES"/>
        </w:rPr>
        <w:t xml:space="preserve">puede </w:t>
      </w:r>
      <w:r w:rsidRPr="000A0945">
        <w:rPr>
          <w:lang w:val="es-ES"/>
        </w:rPr>
        <w:t xml:space="preserve">actualizar la base de datos electrónica directamente. </w:t>
      </w:r>
      <w:r>
        <w:rPr>
          <w:lang w:val="es-ES"/>
        </w:rPr>
        <w:t xml:space="preserve">Hay que asegurarse de tener </w:t>
      </w:r>
      <w:r w:rsidRPr="000A0945">
        <w:rPr>
          <w:lang w:val="es-ES"/>
        </w:rPr>
        <w:t>acceso a Internet.</w:t>
      </w:r>
      <w:r>
        <w:rPr>
          <w:lang w:val="es-ES"/>
        </w:rPr>
        <w:t xml:space="preserve">  </w:t>
      </w:r>
    </w:p>
    <w:p w14:paraId="5783C5F8" w14:textId="4B1238B9" w:rsidR="000A4024" w:rsidRPr="000A0945" w:rsidRDefault="00FA1204" w:rsidP="000A0945">
      <w:pPr>
        <w:pStyle w:val="Bullet2"/>
        <w:rPr>
          <w:lang w:val="es-ES"/>
        </w:rPr>
      </w:pPr>
      <w:r>
        <w:rPr>
          <w:u w:val="single"/>
          <w:lang w:val="es-ES"/>
        </w:rPr>
        <w:t>Con un dispositivo</w:t>
      </w:r>
      <w:r w:rsidR="000A0945" w:rsidRPr="000A0945">
        <w:rPr>
          <w:u w:val="single"/>
          <w:lang w:val="es-ES"/>
        </w:rPr>
        <w:t xml:space="preserve"> </w:t>
      </w:r>
      <w:r w:rsidR="000A0945">
        <w:rPr>
          <w:u w:val="single"/>
          <w:lang w:val="es-ES"/>
        </w:rPr>
        <w:t>no conectado</w:t>
      </w:r>
      <w:r w:rsidR="000A0945" w:rsidRPr="000A0945">
        <w:rPr>
          <w:lang w:val="es-ES"/>
        </w:rPr>
        <w:t xml:space="preserve">: En este caso, </w:t>
      </w:r>
      <w:r w:rsidR="000A0945">
        <w:rPr>
          <w:lang w:val="es-ES"/>
        </w:rPr>
        <w:t xml:space="preserve">se podrá </w:t>
      </w:r>
      <w:r w:rsidR="000A0945" w:rsidRPr="000A0945">
        <w:rPr>
          <w:lang w:val="es-ES"/>
        </w:rPr>
        <w:t xml:space="preserve">utilizar el formato electrónico y subir la información a la base de datos electrónica más tarde. </w:t>
      </w:r>
      <w:r w:rsidR="000A0945">
        <w:rPr>
          <w:lang w:val="es-ES"/>
        </w:rPr>
        <w:t xml:space="preserve">Hay que asegurarse </w:t>
      </w:r>
      <w:r w:rsidR="000A0945" w:rsidRPr="000A0945">
        <w:rPr>
          <w:lang w:val="es-ES"/>
        </w:rPr>
        <w:t xml:space="preserve">de </w:t>
      </w:r>
      <w:r w:rsidR="000A0945">
        <w:rPr>
          <w:lang w:val="es-ES"/>
        </w:rPr>
        <w:t xml:space="preserve">contar con </w:t>
      </w:r>
      <w:r w:rsidR="000A0945" w:rsidRPr="000A0945">
        <w:rPr>
          <w:lang w:val="es-ES"/>
        </w:rPr>
        <w:t xml:space="preserve">una fuente de </w:t>
      </w:r>
      <w:r w:rsidR="000A0945">
        <w:rPr>
          <w:lang w:val="es-ES"/>
        </w:rPr>
        <w:t xml:space="preserve">alimentación eléctrica </w:t>
      </w:r>
      <w:r w:rsidR="000A0945" w:rsidRPr="000A0945">
        <w:rPr>
          <w:lang w:val="es-ES"/>
        </w:rPr>
        <w:t>o baterías de larga duración.</w:t>
      </w:r>
      <w:r w:rsidR="000A0945">
        <w:rPr>
          <w:lang w:val="es-ES"/>
        </w:rPr>
        <w:t xml:space="preserve"> </w:t>
      </w:r>
      <w:r w:rsidR="000A0945">
        <w:rPr>
          <w:color w:val="4F81BD" w:themeColor="accent1"/>
          <w:u w:val="single"/>
          <w:lang w:val="es-ES"/>
        </w:rPr>
        <w:t xml:space="preserve"> </w:t>
      </w:r>
    </w:p>
    <w:p w14:paraId="754E8CB0" w14:textId="6FBACFC7" w:rsidR="000A4024" w:rsidRPr="000A0945" w:rsidRDefault="000A0945" w:rsidP="000A0945">
      <w:pPr>
        <w:pStyle w:val="Bullet2"/>
        <w:rPr>
          <w:lang w:val="es-ES"/>
        </w:rPr>
      </w:pPr>
      <w:r w:rsidRPr="000A0945">
        <w:rPr>
          <w:u w:val="single"/>
          <w:lang w:val="es-ES"/>
        </w:rPr>
        <w:t>A man</w:t>
      </w:r>
      <w:r>
        <w:rPr>
          <w:u w:val="single"/>
          <w:lang w:val="es-ES"/>
        </w:rPr>
        <w:t>o</w:t>
      </w:r>
      <w:r w:rsidR="000A4024" w:rsidRPr="000A0945">
        <w:rPr>
          <w:lang w:val="es-ES"/>
        </w:rPr>
        <w:t xml:space="preserve">. </w:t>
      </w:r>
      <w:r w:rsidRPr="000A0945">
        <w:rPr>
          <w:lang w:val="es-ES"/>
        </w:rPr>
        <w:t>En este caso, los datos se pueden recoger en las versiones impresas de las hojas de cálculo e inserta</w:t>
      </w:r>
      <w:r>
        <w:rPr>
          <w:lang w:val="es-ES"/>
        </w:rPr>
        <w:t>r</w:t>
      </w:r>
      <w:r w:rsidRPr="000A0945">
        <w:rPr>
          <w:lang w:val="es-ES"/>
        </w:rPr>
        <w:t xml:space="preserve"> en la base de datos electrónica cuando </w:t>
      </w:r>
      <w:r>
        <w:rPr>
          <w:lang w:val="es-ES"/>
        </w:rPr>
        <w:t xml:space="preserve">se tenga </w:t>
      </w:r>
      <w:r w:rsidRPr="000A0945">
        <w:rPr>
          <w:lang w:val="es-ES"/>
        </w:rPr>
        <w:t xml:space="preserve">el acceso </w:t>
      </w:r>
      <w:r w:rsidR="00772501">
        <w:rPr>
          <w:lang w:val="es-ES"/>
        </w:rPr>
        <w:t>esté</w:t>
      </w:r>
      <w:r w:rsidRPr="000A0945">
        <w:rPr>
          <w:lang w:val="es-ES"/>
        </w:rPr>
        <w:t xml:space="preserve"> disponible.</w:t>
      </w:r>
      <w:r>
        <w:rPr>
          <w:lang w:val="es-ES"/>
        </w:rPr>
        <w:t xml:space="preserve"> </w:t>
      </w:r>
      <w:r w:rsidRPr="000A0945">
        <w:rPr>
          <w:color w:val="4F81BD" w:themeColor="accent1"/>
          <w:lang w:val="es-ES"/>
        </w:rPr>
        <w:t xml:space="preserve"> </w:t>
      </w:r>
    </w:p>
    <w:p w14:paraId="617834B8" w14:textId="6B48B5A5" w:rsidR="000A4024" w:rsidRPr="00772501" w:rsidRDefault="00772501" w:rsidP="00B36D76">
      <w:pPr>
        <w:pStyle w:val="Heading3"/>
        <w:rPr>
          <w:lang w:val="es-ES"/>
        </w:rPr>
      </w:pPr>
      <w:r w:rsidRPr="00772501">
        <w:rPr>
          <w:lang w:val="es-ES"/>
        </w:rPr>
        <w:t xml:space="preserve">Desarrollar formularios de registro </w:t>
      </w:r>
      <w:r>
        <w:rPr>
          <w:lang w:val="es-ES"/>
        </w:rPr>
        <w:t xml:space="preserve"> </w:t>
      </w:r>
    </w:p>
    <w:p w14:paraId="5B8B6F8D" w14:textId="694869CF" w:rsidR="000A4024" w:rsidRPr="00772501" w:rsidRDefault="00772501" w:rsidP="007608DC">
      <w:pPr>
        <w:rPr>
          <w:lang w:val="es-ES"/>
        </w:rPr>
      </w:pPr>
      <w:r w:rsidRPr="00772501">
        <w:rPr>
          <w:lang w:val="es-ES"/>
        </w:rPr>
        <w:t>Es importante desarrollar un formulario que garanti</w:t>
      </w:r>
      <w:r>
        <w:rPr>
          <w:lang w:val="es-ES"/>
        </w:rPr>
        <w:t>ce</w:t>
      </w:r>
      <w:r w:rsidRPr="00772501">
        <w:rPr>
          <w:lang w:val="es-ES"/>
        </w:rPr>
        <w:t xml:space="preserve"> la compatibilidad </w:t>
      </w:r>
      <w:r>
        <w:rPr>
          <w:lang w:val="es-ES"/>
        </w:rPr>
        <w:t xml:space="preserve">con la </w:t>
      </w:r>
      <w:r w:rsidRPr="00772501">
        <w:rPr>
          <w:lang w:val="es-ES"/>
        </w:rPr>
        <w:t xml:space="preserve">base de datos. El formulario se </w:t>
      </w:r>
      <w:r>
        <w:rPr>
          <w:lang w:val="es-ES"/>
        </w:rPr>
        <w:t xml:space="preserve">podrá </w:t>
      </w:r>
      <w:r w:rsidRPr="00772501">
        <w:rPr>
          <w:lang w:val="es-ES"/>
        </w:rPr>
        <w:t xml:space="preserve">imprimir directamente desde la base de datos. </w:t>
      </w:r>
      <w:r>
        <w:rPr>
          <w:lang w:val="es-ES"/>
        </w:rPr>
        <w:t>D</w:t>
      </w:r>
      <w:r w:rsidRPr="00772501">
        <w:rPr>
          <w:lang w:val="es-ES"/>
        </w:rPr>
        <w:t xml:space="preserve">ebe permitir una fácil </w:t>
      </w:r>
      <w:r>
        <w:rPr>
          <w:lang w:val="es-ES"/>
        </w:rPr>
        <w:t xml:space="preserve">cumplimentación </w:t>
      </w:r>
      <w:r w:rsidRPr="00772501">
        <w:rPr>
          <w:lang w:val="es-ES"/>
        </w:rPr>
        <w:t xml:space="preserve">por </w:t>
      </w:r>
      <w:r>
        <w:rPr>
          <w:lang w:val="es-ES"/>
        </w:rPr>
        <w:t xml:space="preserve">parte de los </w:t>
      </w:r>
      <w:r w:rsidRPr="00772501">
        <w:rPr>
          <w:lang w:val="es-ES"/>
        </w:rPr>
        <w:t xml:space="preserve">equipos de registro. Se debe probar, y una vez aprobado, no se debe cambiar. La herramienta Plantilla de la lista de beneficiarios da una idea de </w:t>
      </w:r>
      <w:r>
        <w:rPr>
          <w:lang w:val="es-ES"/>
        </w:rPr>
        <w:t xml:space="preserve">cómo debería ser un formulario </w:t>
      </w:r>
      <w:r w:rsidRPr="00772501">
        <w:rPr>
          <w:lang w:val="es-ES"/>
        </w:rPr>
        <w:t>de este tipo.</w:t>
      </w:r>
      <w:r>
        <w:rPr>
          <w:lang w:val="es-ES"/>
        </w:rPr>
        <w:t xml:space="preserve">  </w:t>
      </w:r>
    </w:p>
    <w:p w14:paraId="0F4365F8" w14:textId="756C7A06" w:rsidR="000A4024" w:rsidRPr="00772501" w:rsidRDefault="00772501" w:rsidP="00B36D76">
      <w:pPr>
        <w:pStyle w:val="Heading3"/>
        <w:rPr>
          <w:lang w:val="es-ES"/>
        </w:rPr>
      </w:pPr>
      <w:r w:rsidRPr="00772501">
        <w:rPr>
          <w:lang w:val="es-ES"/>
        </w:rPr>
        <w:lastRenderedPageBreak/>
        <w:t xml:space="preserve">Organizar el registro  </w:t>
      </w:r>
    </w:p>
    <w:p w14:paraId="27AB843B" w14:textId="2615FE2A" w:rsidR="000A4024" w:rsidRPr="00972D76" w:rsidRDefault="00772501" w:rsidP="007608DC">
      <w:r w:rsidRPr="00772501">
        <w:rPr>
          <w:lang w:val="es-ES"/>
        </w:rPr>
        <w:t xml:space="preserve">El número de beneficiarios que es posible registrar </w:t>
      </w:r>
      <w:r>
        <w:rPr>
          <w:lang w:val="es-ES"/>
        </w:rPr>
        <w:t xml:space="preserve">en </w:t>
      </w:r>
      <w:r w:rsidRPr="00772501">
        <w:rPr>
          <w:lang w:val="es-ES"/>
        </w:rPr>
        <w:t xml:space="preserve">un plazo dado determina la duración </w:t>
      </w:r>
      <w:r>
        <w:rPr>
          <w:lang w:val="es-ES"/>
        </w:rPr>
        <w:t xml:space="preserve">del </w:t>
      </w:r>
      <w:r w:rsidRPr="00772501">
        <w:rPr>
          <w:lang w:val="es-ES"/>
        </w:rPr>
        <w:t xml:space="preserve">proceso, los requisitos de espacio y </w:t>
      </w:r>
      <w:r>
        <w:rPr>
          <w:lang w:val="es-ES"/>
        </w:rPr>
        <w:t xml:space="preserve">el </w:t>
      </w:r>
      <w:r w:rsidRPr="00772501">
        <w:rPr>
          <w:lang w:val="es-ES"/>
        </w:rPr>
        <w:t xml:space="preserve">personal necesario. El tiempo requerido </w:t>
      </w:r>
      <w:r w:rsidRPr="00FA1204">
        <w:rPr>
          <w:lang w:val="es-ES"/>
        </w:rPr>
        <w:t xml:space="preserve">para </w:t>
      </w:r>
      <w:r w:rsidR="00FA1204" w:rsidRPr="00FA1204">
        <w:rPr>
          <w:lang w:val="es-ES"/>
        </w:rPr>
        <w:t>los</w:t>
      </w:r>
      <w:r w:rsidR="008733C7" w:rsidRPr="00FA1204">
        <w:rPr>
          <w:lang w:val="es-ES"/>
        </w:rPr>
        <w:t xml:space="preserve"> </w:t>
      </w:r>
      <w:r w:rsidRPr="00FA1204">
        <w:rPr>
          <w:lang w:val="es-ES"/>
        </w:rPr>
        <w:t xml:space="preserve">diferentes </w:t>
      </w:r>
      <w:r w:rsidR="008733C7" w:rsidRPr="00FA1204">
        <w:rPr>
          <w:lang w:val="es-ES"/>
        </w:rPr>
        <w:t>puntos</w:t>
      </w:r>
      <w:r w:rsidRPr="00FA1204">
        <w:rPr>
          <w:lang w:val="es-ES"/>
        </w:rPr>
        <w:t xml:space="preserve"> de </w:t>
      </w:r>
      <w:r w:rsidR="008733C7">
        <w:rPr>
          <w:lang w:val="es-ES"/>
        </w:rPr>
        <w:t xml:space="preserve">registro </w:t>
      </w:r>
      <w:r w:rsidRPr="00772501">
        <w:rPr>
          <w:lang w:val="es-ES"/>
        </w:rPr>
        <w:t xml:space="preserve">tiene que ser programado y </w:t>
      </w:r>
      <w:r w:rsidR="008733C7">
        <w:rPr>
          <w:lang w:val="es-ES"/>
        </w:rPr>
        <w:t xml:space="preserve">se ha de comprobar qué días son convenientes </w:t>
      </w:r>
      <w:r w:rsidRPr="00772501">
        <w:rPr>
          <w:lang w:val="es-ES"/>
        </w:rPr>
        <w:t xml:space="preserve">para el </w:t>
      </w:r>
      <w:r w:rsidR="00FA1204" w:rsidRPr="00772501">
        <w:rPr>
          <w:lang w:val="es-ES"/>
        </w:rPr>
        <w:t xml:space="preserve">registro </w:t>
      </w:r>
      <w:r w:rsidR="00FA1204">
        <w:rPr>
          <w:lang w:val="es-ES"/>
        </w:rPr>
        <w:t>(</w:t>
      </w:r>
      <w:r w:rsidR="008733C7">
        <w:rPr>
          <w:lang w:val="es-ES"/>
        </w:rPr>
        <w:t>tienen que evitarse las fiestas oficiales/</w:t>
      </w:r>
      <w:r w:rsidRPr="00772501">
        <w:rPr>
          <w:lang w:val="es-ES"/>
        </w:rPr>
        <w:t xml:space="preserve">religiosas o </w:t>
      </w:r>
      <w:r w:rsidR="008733C7">
        <w:rPr>
          <w:lang w:val="es-ES"/>
        </w:rPr>
        <w:t xml:space="preserve">los </w:t>
      </w:r>
      <w:r w:rsidRPr="00772501">
        <w:rPr>
          <w:lang w:val="es-ES"/>
        </w:rPr>
        <w:t>días de mercado). Un</w:t>
      </w:r>
      <w:r w:rsidR="008733C7">
        <w:rPr>
          <w:lang w:val="es-ES"/>
        </w:rPr>
        <w:t xml:space="preserve"> </w:t>
      </w:r>
      <w:r w:rsidR="00FA1204">
        <w:rPr>
          <w:lang w:val="es-ES"/>
        </w:rPr>
        <w:t>ejercicio de</w:t>
      </w:r>
      <w:r w:rsidR="008733C7" w:rsidRPr="00FA1204">
        <w:rPr>
          <w:lang w:val="es-ES"/>
        </w:rPr>
        <w:t xml:space="preserve"> registro de prueba</w:t>
      </w:r>
      <w:r w:rsidR="008733C7">
        <w:rPr>
          <w:lang w:val="es-ES"/>
        </w:rPr>
        <w:t xml:space="preserve"> </w:t>
      </w:r>
      <w:r w:rsidRPr="00772501">
        <w:rPr>
          <w:lang w:val="es-ES"/>
        </w:rPr>
        <w:t>ayudará a definir mejor est</w:t>
      </w:r>
      <w:r w:rsidR="008733C7">
        <w:rPr>
          <w:lang w:val="es-ES"/>
        </w:rPr>
        <w:t>a</w:t>
      </w:r>
      <w:r w:rsidRPr="00772501">
        <w:rPr>
          <w:lang w:val="es-ES"/>
        </w:rPr>
        <w:t xml:space="preserve">s estimaciones. </w:t>
      </w:r>
      <w:r w:rsidR="008733C7">
        <w:rPr>
          <w:lang w:val="es-ES"/>
        </w:rPr>
        <w:t xml:space="preserve">Hay que </w:t>
      </w:r>
      <w:r w:rsidR="008733C7" w:rsidRPr="008733C7">
        <w:rPr>
          <w:lang w:val="es-ES"/>
        </w:rPr>
        <w:t>e</w:t>
      </w:r>
      <w:r w:rsidRPr="008733C7">
        <w:rPr>
          <w:lang w:val="es-ES"/>
        </w:rPr>
        <w:t xml:space="preserve">stablecer una fecha límite para el registro. </w:t>
      </w:r>
    </w:p>
    <w:p w14:paraId="79FC9A8E" w14:textId="715AF208" w:rsidR="000A4024" w:rsidRPr="008733C7" w:rsidRDefault="008733C7" w:rsidP="008733C7">
      <w:pPr>
        <w:pStyle w:val="Bullet2"/>
        <w:rPr>
          <w:i/>
          <w:color w:val="4F81BD" w:themeColor="accent1"/>
          <w:lang w:val="es-ES"/>
        </w:rPr>
      </w:pPr>
      <w:r w:rsidRPr="008733C7">
        <w:rPr>
          <w:i/>
          <w:u w:val="single"/>
          <w:lang w:val="es-ES"/>
        </w:rPr>
        <w:t>Elegir los puntos de registro</w:t>
      </w:r>
      <w:r w:rsidR="000A4024" w:rsidRPr="008733C7">
        <w:rPr>
          <w:i/>
          <w:lang w:val="es-ES"/>
        </w:rPr>
        <w:t>:</w:t>
      </w:r>
      <w:r w:rsidR="000A4024" w:rsidRPr="008733C7">
        <w:rPr>
          <w:lang w:val="es-ES"/>
        </w:rPr>
        <w:t xml:space="preserve"> </w:t>
      </w:r>
      <w:r>
        <w:rPr>
          <w:lang w:val="es-ES"/>
        </w:rPr>
        <w:t xml:space="preserve">tienen que definirse </w:t>
      </w:r>
      <w:r w:rsidRPr="008733C7">
        <w:rPr>
          <w:lang w:val="es-ES"/>
        </w:rPr>
        <w:t xml:space="preserve">áreas apropiadas con números manejables de </w:t>
      </w:r>
      <w:r w:rsidR="00A96BE2">
        <w:rPr>
          <w:lang w:val="es-ES"/>
        </w:rPr>
        <w:t xml:space="preserve">potenciales </w:t>
      </w:r>
      <w:r w:rsidRPr="008733C7">
        <w:rPr>
          <w:lang w:val="es-ES"/>
        </w:rPr>
        <w:t xml:space="preserve">beneficiarios. </w:t>
      </w:r>
      <w:r>
        <w:rPr>
          <w:lang w:val="es-ES"/>
        </w:rPr>
        <w:t xml:space="preserve">La </w:t>
      </w:r>
      <w:r w:rsidRPr="008733C7">
        <w:rPr>
          <w:lang w:val="es-ES"/>
        </w:rPr>
        <w:t>formación de multitud</w:t>
      </w:r>
      <w:r>
        <w:rPr>
          <w:lang w:val="es-ES"/>
        </w:rPr>
        <w:t>es</w:t>
      </w:r>
      <w:r w:rsidRPr="008733C7">
        <w:rPr>
          <w:lang w:val="es-ES"/>
        </w:rPr>
        <w:t xml:space="preserve">, la confusión y la presión pública se pueden prevenir con medidas de organización. </w:t>
      </w:r>
      <w:r>
        <w:rPr>
          <w:lang w:val="es-ES"/>
        </w:rPr>
        <w:t xml:space="preserve">Las </w:t>
      </w:r>
      <w:r w:rsidRPr="008733C7">
        <w:rPr>
          <w:lang w:val="es-ES"/>
        </w:rPr>
        <w:t xml:space="preserve">medidas logísticas </w:t>
      </w:r>
      <w:r>
        <w:rPr>
          <w:lang w:val="es-ES"/>
        </w:rPr>
        <w:t xml:space="preserve">basadas en </w:t>
      </w:r>
      <w:r w:rsidRPr="008733C7">
        <w:rPr>
          <w:lang w:val="es-ES"/>
        </w:rPr>
        <w:t xml:space="preserve">una lista de </w:t>
      </w:r>
      <w:r>
        <w:rPr>
          <w:lang w:val="es-ES"/>
        </w:rPr>
        <w:t xml:space="preserve">verificación </w:t>
      </w:r>
      <w:r w:rsidRPr="008733C7">
        <w:rPr>
          <w:lang w:val="es-ES"/>
        </w:rPr>
        <w:t xml:space="preserve"> deben estar dispuest</w:t>
      </w:r>
      <w:r>
        <w:rPr>
          <w:lang w:val="es-ES"/>
        </w:rPr>
        <w:t>a</w:t>
      </w:r>
      <w:r w:rsidRPr="008733C7">
        <w:rPr>
          <w:lang w:val="es-ES"/>
        </w:rPr>
        <w:t xml:space="preserve">s temprano el día de registro (por ejemplo, la preparación del espacio donde el registro se llevará a cabo, </w:t>
      </w:r>
      <w:r>
        <w:rPr>
          <w:lang w:val="es-ES"/>
        </w:rPr>
        <w:t xml:space="preserve">el </w:t>
      </w:r>
      <w:r w:rsidRPr="008733C7">
        <w:rPr>
          <w:lang w:val="es-ES"/>
        </w:rPr>
        <w:t>transporte de</w:t>
      </w:r>
      <w:r w:rsidR="00A96BE2">
        <w:rPr>
          <w:lang w:val="es-ES"/>
        </w:rPr>
        <w:t>l</w:t>
      </w:r>
      <w:r w:rsidRPr="008733C7">
        <w:rPr>
          <w:lang w:val="es-ES"/>
        </w:rPr>
        <w:t xml:space="preserve"> personal </w:t>
      </w:r>
      <w:r>
        <w:rPr>
          <w:lang w:val="es-ES"/>
        </w:rPr>
        <w:t xml:space="preserve">que realizará el </w:t>
      </w:r>
      <w:r w:rsidRPr="008733C7">
        <w:rPr>
          <w:lang w:val="es-ES"/>
        </w:rPr>
        <w:t xml:space="preserve">registro, la provisión de </w:t>
      </w:r>
      <w:r w:rsidR="00A96BE2">
        <w:rPr>
          <w:lang w:val="es-ES"/>
        </w:rPr>
        <w:t xml:space="preserve">formularios y </w:t>
      </w:r>
      <w:r w:rsidRPr="008733C7">
        <w:rPr>
          <w:lang w:val="es-ES"/>
        </w:rPr>
        <w:t xml:space="preserve">materiales </w:t>
      </w:r>
      <w:r>
        <w:rPr>
          <w:lang w:val="es-ES"/>
        </w:rPr>
        <w:t>necesarios</w:t>
      </w:r>
      <w:r w:rsidRPr="008733C7">
        <w:rPr>
          <w:lang w:val="es-ES"/>
        </w:rPr>
        <w:t xml:space="preserve">, y cualquier </w:t>
      </w:r>
      <w:r>
        <w:rPr>
          <w:lang w:val="es-ES"/>
        </w:rPr>
        <w:t xml:space="preserve">posible </w:t>
      </w:r>
      <w:r w:rsidRPr="008733C7">
        <w:rPr>
          <w:lang w:val="es-ES"/>
        </w:rPr>
        <w:t xml:space="preserve">problema de seguridad </w:t>
      </w:r>
      <w:r>
        <w:rPr>
          <w:lang w:val="es-ES"/>
        </w:rPr>
        <w:t xml:space="preserve">que deba </w:t>
      </w:r>
      <w:r w:rsidRPr="008733C7">
        <w:rPr>
          <w:lang w:val="es-ES"/>
        </w:rPr>
        <w:t xml:space="preserve">tenerse en cuenta). </w:t>
      </w:r>
      <w:r w:rsidR="00A96BE2" w:rsidRPr="00A96BE2">
        <w:rPr>
          <w:color w:val="4F81BD" w:themeColor="accent1"/>
          <w:lang w:val="es-ES"/>
        </w:rPr>
        <w:t xml:space="preserve"> </w:t>
      </w:r>
    </w:p>
    <w:p w14:paraId="6AC23298" w14:textId="00A1093D" w:rsidR="000A4024" w:rsidRPr="00935836" w:rsidRDefault="00A96BE2" w:rsidP="00A96BE2">
      <w:pPr>
        <w:pStyle w:val="Bullet2"/>
      </w:pPr>
      <w:r w:rsidRPr="00A96BE2">
        <w:rPr>
          <w:i/>
          <w:u w:val="single"/>
          <w:lang w:val="es-ES"/>
        </w:rPr>
        <w:t>Establecer y formar los equipos de registro</w:t>
      </w:r>
      <w:r w:rsidR="000A4024" w:rsidRPr="00A96BE2">
        <w:rPr>
          <w:i/>
          <w:lang w:val="es-ES"/>
        </w:rPr>
        <w:t xml:space="preserve">: </w:t>
      </w:r>
      <w:r>
        <w:rPr>
          <w:lang w:val="es-ES"/>
        </w:rPr>
        <w:t>Puede ser necesario emplear personal adicional en base temporal o a tiempo parcial</w:t>
      </w:r>
      <w:r w:rsidRPr="00A96BE2">
        <w:rPr>
          <w:lang w:val="es-ES"/>
        </w:rPr>
        <w:t xml:space="preserve">. La formación es absolutamente necesaria, y debe cubrir la forma de obtener la información pertinente y la forma de introducir los datos en los formularios, las responsabilidades y los procedimientos en caso de dificultades. Un miembro del personal del programa debe ser asignado para </w:t>
      </w:r>
      <w:r>
        <w:rPr>
          <w:lang w:val="es-ES"/>
        </w:rPr>
        <w:t>apoyar</w:t>
      </w:r>
      <w:r w:rsidRPr="00A96BE2">
        <w:rPr>
          <w:lang w:val="es-ES"/>
        </w:rPr>
        <w:t>, coordina</w:t>
      </w:r>
      <w:r>
        <w:rPr>
          <w:lang w:val="es-ES"/>
        </w:rPr>
        <w:t>r</w:t>
      </w:r>
      <w:r w:rsidRPr="00A96BE2">
        <w:rPr>
          <w:lang w:val="es-ES"/>
        </w:rPr>
        <w:t xml:space="preserve"> y </w:t>
      </w:r>
      <w:r>
        <w:rPr>
          <w:lang w:val="es-ES"/>
        </w:rPr>
        <w:t xml:space="preserve">supervisar al </w:t>
      </w:r>
      <w:r w:rsidRPr="00A96BE2">
        <w:rPr>
          <w:lang w:val="es-ES"/>
        </w:rPr>
        <w:t>equipo de registro.</w:t>
      </w:r>
      <w:r>
        <w:rPr>
          <w:lang w:val="es-ES"/>
        </w:rPr>
        <w:t xml:space="preserve"> Los </w:t>
      </w:r>
      <w:r w:rsidRPr="00A96BE2">
        <w:rPr>
          <w:lang w:val="es-ES"/>
        </w:rPr>
        <w:t xml:space="preserve"> formularios de inscripción deben recogerse con regularidad y se debe monitorear y verificar la cantidad, la calidad y cualquier posible observación.</w:t>
      </w:r>
      <w:r>
        <w:rPr>
          <w:i/>
          <w:lang w:val="es-ES"/>
        </w:rPr>
        <w:t xml:space="preserve"> </w:t>
      </w:r>
    </w:p>
    <w:p w14:paraId="424F38D8" w14:textId="34004E0A" w:rsidR="00531048" w:rsidRPr="009D5D3F" w:rsidRDefault="00A96BE2" w:rsidP="00A96BE2">
      <w:pPr>
        <w:pStyle w:val="Bullet2"/>
        <w:rPr>
          <w:i/>
          <w:color w:val="4F81BD" w:themeColor="accent1"/>
          <w:lang w:val="es-ES"/>
        </w:rPr>
      </w:pPr>
      <w:r w:rsidRPr="00A96BE2">
        <w:rPr>
          <w:i/>
          <w:u w:val="single"/>
          <w:lang w:val="es-ES"/>
        </w:rPr>
        <w:t>Preparar a las comunidades</w:t>
      </w:r>
      <w:r w:rsidR="00935836" w:rsidRPr="00A96BE2">
        <w:rPr>
          <w:lang w:val="es-ES"/>
        </w:rPr>
        <w:t xml:space="preserve">: </w:t>
      </w:r>
      <w:r>
        <w:rPr>
          <w:lang w:val="es-ES"/>
        </w:rPr>
        <w:t>E</w:t>
      </w:r>
      <w:r w:rsidRPr="00A96BE2">
        <w:rPr>
          <w:lang w:val="es-ES"/>
        </w:rPr>
        <w:t xml:space="preserve">ste proceso tiene como objetivo reducir las tensiones que el proceso de registro puede producir, sobre todo entre beneficiarios y no beneficiarios. Unos días antes del comienzo del registro, una reunión con la comunidad puede permitir el intercambio de información sobre el proyecto y la metodología utilizada para la identificación de los beneficiarios. </w:t>
      </w:r>
      <w:r>
        <w:rPr>
          <w:lang w:val="es-ES"/>
        </w:rPr>
        <w:t>Hay que e</w:t>
      </w:r>
      <w:r w:rsidRPr="00A96BE2">
        <w:rPr>
          <w:lang w:val="es-ES"/>
        </w:rPr>
        <w:t xml:space="preserve">xplicar que sólo aquellos que son elegibles para recibir la transferencia </w:t>
      </w:r>
      <w:r>
        <w:rPr>
          <w:lang w:val="es-ES"/>
        </w:rPr>
        <w:t xml:space="preserve">serán </w:t>
      </w:r>
      <w:r w:rsidRPr="00A96BE2">
        <w:rPr>
          <w:lang w:val="es-ES"/>
        </w:rPr>
        <w:t>registrado</w:t>
      </w:r>
      <w:r>
        <w:rPr>
          <w:lang w:val="es-ES"/>
        </w:rPr>
        <w:t>s</w:t>
      </w:r>
      <w:r w:rsidRPr="00A96BE2">
        <w:rPr>
          <w:lang w:val="es-ES"/>
        </w:rPr>
        <w:t xml:space="preserve">. Durante la reunión, los nombres de las personas </w:t>
      </w:r>
      <w:r>
        <w:rPr>
          <w:lang w:val="es-ES"/>
        </w:rPr>
        <w:t xml:space="preserve">que van a </w:t>
      </w:r>
      <w:r w:rsidRPr="00A96BE2">
        <w:rPr>
          <w:lang w:val="es-ES"/>
        </w:rPr>
        <w:t>s</w:t>
      </w:r>
      <w:r>
        <w:rPr>
          <w:lang w:val="es-ES"/>
        </w:rPr>
        <w:t>er registrados se pueden leer y</w:t>
      </w:r>
      <w:r w:rsidRPr="00A96BE2">
        <w:rPr>
          <w:lang w:val="es-ES"/>
        </w:rPr>
        <w:t xml:space="preserve">/o mostrar en un lugar apropiado. Esto permite </w:t>
      </w:r>
      <w:r w:rsidR="009D5D3F">
        <w:rPr>
          <w:lang w:val="es-ES"/>
        </w:rPr>
        <w:t xml:space="preserve">que </w:t>
      </w:r>
      <w:r w:rsidRPr="00A96BE2">
        <w:rPr>
          <w:lang w:val="es-ES"/>
        </w:rPr>
        <w:t xml:space="preserve">las personas que </w:t>
      </w:r>
      <w:r w:rsidR="009D5D3F">
        <w:rPr>
          <w:lang w:val="es-ES"/>
        </w:rPr>
        <w:t xml:space="preserve">van a </w:t>
      </w:r>
      <w:r w:rsidRPr="00A96BE2">
        <w:rPr>
          <w:lang w:val="es-ES"/>
        </w:rPr>
        <w:t xml:space="preserve">registrarse </w:t>
      </w:r>
      <w:r w:rsidR="009D5D3F">
        <w:rPr>
          <w:lang w:val="es-ES"/>
        </w:rPr>
        <w:t xml:space="preserve">se preparen </w:t>
      </w:r>
      <w:r w:rsidRPr="00A96BE2">
        <w:rPr>
          <w:lang w:val="es-ES"/>
        </w:rPr>
        <w:t>y reduce la presión sobre el equipo de registro para incluir a personas que no están en la lista. La fecha y el lugar de registro, así como una lista de los documentos requeridos</w:t>
      </w:r>
      <w:r w:rsidR="009D5D3F">
        <w:rPr>
          <w:lang w:val="es-ES"/>
        </w:rPr>
        <w:t>,</w:t>
      </w:r>
      <w:r w:rsidRPr="00A96BE2">
        <w:rPr>
          <w:lang w:val="es-ES"/>
        </w:rPr>
        <w:t xml:space="preserve"> deben darse a conocer a los beneficiarios con mucha antelación.</w:t>
      </w:r>
    </w:p>
    <w:p w14:paraId="744482F8" w14:textId="07B7E203" w:rsidR="000A4024" w:rsidRPr="009D5D3F" w:rsidRDefault="009D5D3F" w:rsidP="00B36D76">
      <w:pPr>
        <w:pStyle w:val="Heading3"/>
        <w:rPr>
          <w:lang w:val="es-ES"/>
        </w:rPr>
      </w:pPr>
      <w:r w:rsidRPr="009D5D3F">
        <w:rPr>
          <w:lang w:val="es-ES"/>
        </w:rPr>
        <w:t>Identificar y autentificar a los benefici</w:t>
      </w:r>
      <w:r>
        <w:rPr>
          <w:lang w:val="es-ES"/>
        </w:rPr>
        <w:t>ario</w:t>
      </w:r>
      <w:r w:rsidRPr="009D5D3F">
        <w:rPr>
          <w:lang w:val="es-ES"/>
        </w:rPr>
        <w:t xml:space="preserve">s </w:t>
      </w:r>
    </w:p>
    <w:p w14:paraId="6E3088BF" w14:textId="14F5364B" w:rsidR="007A4579" w:rsidRPr="00EF13E5" w:rsidRDefault="009D5D3F" w:rsidP="001745BC">
      <w:pPr>
        <w:spacing w:after="360"/>
        <w:rPr>
          <w:color w:val="4F81BD" w:themeColor="accent1"/>
          <w:lang w:val="es-ES"/>
        </w:rPr>
      </w:pPr>
      <w:r w:rsidRPr="009D5D3F">
        <w:rPr>
          <w:lang w:val="es-ES"/>
        </w:rPr>
        <w:t xml:space="preserve">El registro debe permitir crear un vínculo entre cada beneficiario y un identificador único, que puede ser un </w:t>
      </w:r>
      <w:r>
        <w:rPr>
          <w:lang w:val="es-ES"/>
        </w:rPr>
        <w:t xml:space="preserve">documento </w:t>
      </w:r>
      <w:r w:rsidRPr="009D5D3F">
        <w:rPr>
          <w:lang w:val="es-ES"/>
        </w:rPr>
        <w:t>de identidad o una contraseña. Este identificador asegurará más tarde que la persona que se presenta para recibir la transferencia de efectivo es de hecho un beneficiario registrado. Este proceso se conoce como autenti</w:t>
      </w:r>
      <w:r>
        <w:rPr>
          <w:lang w:val="es-ES"/>
        </w:rPr>
        <w:t>fi</w:t>
      </w:r>
      <w:r w:rsidRPr="009D5D3F">
        <w:rPr>
          <w:lang w:val="es-ES"/>
        </w:rPr>
        <w:t xml:space="preserve">cación. La </w:t>
      </w:r>
      <w:r>
        <w:rPr>
          <w:lang w:val="es-ES"/>
        </w:rPr>
        <w:t>herramienta I</w:t>
      </w:r>
      <w:r w:rsidRPr="009D5D3F">
        <w:rPr>
          <w:lang w:val="es-ES"/>
        </w:rPr>
        <w:t>dentificación y autenti</w:t>
      </w:r>
      <w:r>
        <w:rPr>
          <w:lang w:val="es-ES"/>
        </w:rPr>
        <w:t>fi</w:t>
      </w:r>
      <w:r w:rsidRPr="009D5D3F">
        <w:rPr>
          <w:lang w:val="es-ES"/>
        </w:rPr>
        <w:t xml:space="preserve">cación proporciona una breve orientación sobre las diferentes maneras </w:t>
      </w:r>
      <w:r>
        <w:rPr>
          <w:lang w:val="es-ES"/>
        </w:rPr>
        <w:t xml:space="preserve">en que los </w:t>
      </w:r>
      <w:r w:rsidRPr="009D5D3F">
        <w:rPr>
          <w:lang w:val="es-ES"/>
        </w:rPr>
        <w:t>beneficiarios pueden ser identificados</w:t>
      </w:r>
      <w:r>
        <w:rPr>
          <w:lang w:val="es-ES"/>
        </w:rPr>
        <w:t xml:space="preserve">, desde </w:t>
      </w:r>
      <w:r w:rsidRPr="009D5D3F">
        <w:rPr>
          <w:lang w:val="es-ES"/>
        </w:rPr>
        <w:t>listas comuni</w:t>
      </w:r>
      <w:r>
        <w:rPr>
          <w:lang w:val="es-ES"/>
        </w:rPr>
        <w:t>tarias y documentos oficiales de identidad</w:t>
      </w:r>
      <w:r w:rsidRPr="009D5D3F">
        <w:rPr>
          <w:lang w:val="es-ES"/>
        </w:rPr>
        <w:t xml:space="preserve">, a las opciones tecnológicas, incluyendo tarjetas con </w:t>
      </w:r>
      <w:r w:rsidR="00C101F6">
        <w:rPr>
          <w:lang w:val="es-ES"/>
        </w:rPr>
        <w:t>códigos PIN</w:t>
      </w:r>
      <w:r w:rsidRPr="009D5D3F">
        <w:rPr>
          <w:lang w:val="es-ES"/>
        </w:rPr>
        <w:t>, códigos de barras o datos biométricos, y tarjetas SIM</w:t>
      </w:r>
      <w:r w:rsidR="00C101F6">
        <w:rPr>
          <w:lang w:val="es-ES"/>
        </w:rPr>
        <w:t xml:space="preserve"> de </w:t>
      </w:r>
      <w:r w:rsidR="00EF13E5">
        <w:rPr>
          <w:lang w:val="es-ES"/>
        </w:rPr>
        <w:t>telefonía móvil</w:t>
      </w:r>
      <w:r w:rsidRPr="009D5D3F">
        <w:rPr>
          <w:lang w:val="es-ES"/>
        </w:rPr>
        <w:t xml:space="preserve">. La herramienta </w:t>
      </w:r>
      <w:r w:rsidR="00EF13E5" w:rsidRPr="00EF13E5">
        <w:rPr>
          <w:lang w:val="es-ES"/>
        </w:rPr>
        <w:t xml:space="preserve">Plantilla de la tarjeta de beneficiario </w:t>
      </w:r>
      <w:r w:rsidRPr="009D5D3F">
        <w:rPr>
          <w:lang w:val="es-ES"/>
        </w:rPr>
        <w:t xml:space="preserve">proporciona un ejemplo de un posible identificador. </w:t>
      </w:r>
      <w:r w:rsidR="00EF13E5">
        <w:rPr>
          <w:color w:val="4F81BD" w:themeColor="accent1"/>
          <w:lang w:val="es-ES"/>
        </w:rPr>
        <w:t xml:space="preserve"> </w:t>
      </w:r>
    </w:p>
    <w:tbl>
      <w:tblPr>
        <w:tblStyle w:val="TableGray"/>
        <w:tblW w:w="0" w:type="auto"/>
        <w:tblLook w:val="04A0" w:firstRow="1" w:lastRow="0" w:firstColumn="1" w:lastColumn="0" w:noHBand="0" w:noVBand="1"/>
      </w:tblPr>
      <w:tblGrid>
        <w:gridCol w:w="9632"/>
      </w:tblGrid>
      <w:tr w:rsidR="005B6A03" w14:paraId="26501899" w14:textId="77777777" w:rsidTr="005B6A03">
        <w:tc>
          <w:tcPr>
            <w:tcW w:w="9848" w:type="dxa"/>
          </w:tcPr>
          <w:p w14:paraId="7B89F79A" w14:textId="4B397124" w:rsidR="005B6A03" w:rsidRDefault="00EF13E5" w:rsidP="005B6A03">
            <w:pPr>
              <w:pStyle w:val="RefTitre"/>
            </w:pPr>
            <w:r>
              <w:t xml:space="preserve">DOCUEMNTOS DE REFRENCIA </w:t>
            </w:r>
          </w:p>
          <w:p w14:paraId="31FD729B" w14:textId="1408F241" w:rsidR="005B6A03" w:rsidRDefault="005B6A03" w:rsidP="005B6A03">
            <w:pPr>
              <w:pStyle w:val="RefItem1"/>
            </w:pPr>
            <w:r w:rsidRPr="00370BFA">
              <w:t xml:space="preserve">E-transfers in emergencies: implementation support guidelines </w:t>
            </w:r>
            <w:r>
              <w:t xml:space="preserve">(2013) </w:t>
            </w:r>
            <w:r w:rsidRPr="00370BFA">
              <w:t xml:space="preserve">CaLP </w:t>
            </w:r>
            <w:hyperlink r:id="rId7" w:history="1">
              <w:r w:rsidR="00830000" w:rsidRPr="00830000">
                <w:rPr>
                  <w:rStyle w:val="Hyperlink"/>
                </w:rPr>
                <w:t>http://www.cashlearning.org/resources/library/390-e-transfers-in-emergencies-implementation-support-guideline</w:t>
              </w:r>
            </w:hyperlink>
          </w:p>
          <w:p w14:paraId="632263D9" w14:textId="57C29638" w:rsidR="005B6A03" w:rsidRDefault="005B6A03" w:rsidP="005B6A03">
            <w:pPr>
              <w:pStyle w:val="RefItem1"/>
            </w:pPr>
            <w:r w:rsidRPr="00370BFA">
              <w:t>Delivery Money: Cash Transfer Mechanisms in Emergencies</w:t>
            </w:r>
            <w:r>
              <w:t xml:space="preserve"> (2010)</w:t>
            </w:r>
            <w:r w:rsidRPr="00370BFA">
              <w:t xml:space="preserve"> CaLP </w:t>
            </w:r>
            <w:hyperlink r:id="rId8" w:history="1">
              <w:r w:rsidR="00830000">
                <w:rPr>
                  <w:rStyle w:val="Hyperlink"/>
                  <w:rFonts w:ascii="Calibri" w:eastAsia="Times New Roman" w:hAnsi="Calibri"/>
                  <w:sz w:val="22"/>
                  <w:szCs w:val="22"/>
                </w:rPr>
                <w:t>http://www.cashlearning.org/resources/library/6-delivering-money-cash-transfer-mechanisms-in-emergencies</w:t>
              </w:r>
            </w:hyperlink>
          </w:p>
          <w:p w14:paraId="395D56DF" w14:textId="748891C6" w:rsidR="005B6A03" w:rsidRPr="00537B1F" w:rsidRDefault="005B6A03" w:rsidP="005B6A03">
            <w:pPr>
              <w:pStyle w:val="RefItem1"/>
            </w:pPr>
            <w:r w:rsidRPr="00537B1F">
              <w:t>A quick delivery guide: Cheques</w:t>
            </w:r>
            <w:r>
              <w:t xml:space="preserve"> (2011)</w:t>
            </w:r>
            <w:r w:rsidRPr="00537B1F">
              <w:t xml:space="preserve"> CaLP </w:t>
            </w:r>
            <w:r w:rsidR="00F134C2">
              <w:br/>
            </w:r>
            <w:hyperlink r:id="rId9" w:history="1">
              <w:r w:rsidR="00830000" w:rsidRPr="00830000">
                <w:rPr>
                  <w:rStyle w:val="Hyperlink"/>
                </w:rPr>
                <w:t>http://www.cashlearning.org/resources/library/22-cheques---a-quick-delivery-guide-screen-version</w:t>
              </w:r>
            </w:hyperlink>
          </w:p>
          <w:p w14:paraId="4CDA7716" w14:textId="364D3DEF" w:rsidR="005B6A03" w:rsidRPr="00537B1F" w:rsidRDefault="005B6A03" w:rsidP="005B6A03">
            <w:pPr>
              <w:pStyle w:val="RefItem1"/>
            </w:pPr>
            <w:r w:rsidRPr="00537B1F">
              <w:t>A quick delivery guide: Cards</w:t>
            </w:r>
            <w:r>
              <w:t xml:space="preserve"> (2011)</w:t>
            </w:r>
            <w:r w:rsidRPr="00537B1F">
              <w:t xml:space="preserve"> CaLP </w:t>
            </w:r>
            <w:r w:rsidR="00F134C2">
              <w:br/>
            </w:r>
            <w:hyperlink r:id="rId10" w:history="1">
              <w:r w:rsidR="00830000" w:rsidRPr="00830000">
                <w:rPr>
                  <w:rStyle w:val="Hyperlink"/>
                </w:rPr>
                <w:t>http://www.cashlearning.org/resources/library/235-delivering-cash-through-cards---a-quick-delivery-guide-booklet</w:t>
              </w:r>
            </w:hyperlink>
          </w:p>
          <w:p w14:paraId="74176B2B" w14:textId="4C4DCDF8" w:rsidR="005B6A03" w:rsidRPr="00537B1F" w:rsidRDefault="005B6A03" w:rsidP="005B6A03">
            <w:pPr>
              <w:pStyle w:val="RefItem1"/>
            </w:pPr>
            <w:r w:rsidRPr="00537B1F">
              <w:lastRenderedPageBreak/>
              <w:t>A quick delivery guide: Direct Cash</w:t>
            </w:r>
            <w:r>
              <w:t xml:space="preserve"> </w:t>
            </w:r>
            <w:r w:rsidRPr="00537B1F">
              <w:t>(2011)</w:t>
            </w:r>
            <w:r>
              <w:t xml:space="preserve"> </w:t>
            </w:r>
            <w:r w:rsidRPr="00537B1F">
              <w:t xml:space="preserve">CaLP </w:t>
            </w:r>
            <w:r w:rsidR="00F134C2">
              <w:br/>
            </w:r>
            <w:hyperlink r:id="rId11" w:history="1">
              <w:r w:rsidR="00830000" w:rsidRPr="00830000">
                <w:rPr>
                  <w:rStyle w:val="Hyperlink"/>
                </w:rPr>
                <w:t>http://www.cashlearning.org/resources/library/24-direct-cash---a-quick-delivery-guide-screen-version</w:t>
              </w:r>
            </w:hyperlink>
          </w:p>
          <w:p w14:paraId="41774B34" w14:textId="5FE37C42" w:rsidR="005B6A03" w:rsidRPr="00537B1F" w:rsidRDefault="005B6A03" w:rsidP="005B6A03">
            <w:pPr>
              <w:pStyle w:val="RefItem1"/>
            </w:pPr>
            <w:r w:rsidRPr="00537B1F">
              <w:t>A quick delivery guide: Vouchers (2011)</w:t>
            </w:r>
            <w:r>
              <w:t xml:space="preserve"> </w:t>
            </w:r>
            <w:r w:rsidRPr="00537B1F">
              <w:t xml:space="preserve">CaLP </w:t>
            </w:r>
            <w:r w:rsidR="00F134C2">
              <w:br/>
            </w:r>
            <w:hyperlink r:id="rId12" w:history="1">
              <w:r w:rsidR="00830000" w:rsidRPr="00830000">
                <w:rPr>
                  <w:rStyle w:val="Hyperlink"/>
                </w:rPr>
                <w:t>http://www.cashlearning.org/resources/library/25-vouchers---a-quick-delivery-guide-booklet-version</w:t>
              </w:r>
            </w:hyperlink>
          </w:p>
          <w:p w14:paraId="7849124D" w14:textId="3522CFA9" w:rsidR="005B6A03" w:rsidRDefault="005B6A03" w:rsidP="005B6A03">
            <w:pPr>
              <w:pStyle w:val="RefItem1"/>
            </w:pPr>
            <w:r w:rsidRPr="00537B1F">
              <w:t>A quick delivery guide: Voucher fairs</w:t>
            </w:r>
            <w:r>
              <w:t xml:space="preserve"> </w:t>
            </w:r>
            <w:r w:rsidRPr="00537B1F">
              <w:t xml:space="preserve">(2011) CaLP </w:t>
            </w:r>
            <w:r w:rsidR="00F134C2">
              <w:br/>
            </w:r>
            <w:hyperlink r:id="rId13" w:history="1">
              <w:r w:rsidR="00830000" w:rsidRPr="00830000">
                <w:rPr>
                  <w:rStyle w:val="Hyperlink"/>
                </w:rPr>
                <w:t>http://www.cashlearning.org/resources/library/217-voucher-fairs-a-quick-delivery-guide-booklet-version</w:t>
              </w:r>
            </w:hyperlink>
          </w:p>
        </w:tc>
      </w:tr>
    </w:tbl>
    <w:p w14:paraId="702C3D9B" w14:textId="77777777" w:rsidR="005B6A03" w:rsidRDefault="005B6A03" w:rsidP="007608DC"/>
    <w:sectPr w:rsidR="005B6A03" w:rsidSect="005B6A03">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103B" w14:textId="77777777" w:rsidR="000B54E2" w:rsidRDefault="000B54E2" w:rsidP="00680748">
      <w:r>
        <w:separator/>
      </w:r>
    </w:p>
  </w:endnote>
  <w:endnote w:type="continuationSeparator" w:id="0">
    <w:p w14:paraId="14573367" w14:textId="77777777" w:rsidR="000B54E2" w:rsidRDefault="000B54E2" w:rsidP="0068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0E7A" w14:textId="77777777" w:rsidR="00FA1204" w:rsidRDefault="00FA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9AAA" w14:textId="33048A76" w:rsidR="00A96BE2" w:rsidRPr="00B45C74" w:rsidRDefault="00A96BE2" w:rsidP="000A0945">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A1204">
      <w:rPr>
        <w:b/>
        <w:noProof/>
        <w:color w:val="808080" w:themeColor="background1" w:themeShade="80"/>
        <w:sz w:val="18"/>
        <w:szCs w:val="18"/>
      </w:rPr>
      <w:t>3</w:t>
    </w:r>
    <w:r w:rsidRPr="00B45C74">
      <w:rPr>
        <w:b/>
        <w:color w:val="808080" w:themeColor="background1" w:themeShade="80"/>
        <w:sz w:val="18"/>
        <w:szCs w:val="18"/>
      </w:rPr>
      <w:fldChar w:fldCharType="end"/>
    </w:r>
  </w:p>
  <w:p w14:paraId="520F4080" w14:textId="57BFE304" w:rsidR="00A96BE2" w:rsidRPr="003A3500" w:rsidRDefault="00FA1204" w:rsidP="000A0945">
    <w:pPr>
      <w:pStyle w:val="Footer"/>
    </w:pPr>
    <w:r>
      <w:rPr>
        <w:b/>
      </w:rPr>
      <w:t>Módulo</w:t>
    </w:r>
    <w:r w:rsidR="00A96BE2" w:rsidRPr="00107E15">
      <w:rPr>
        <w:b/>
      </w:rPr>
      <w:t xml:space="preserve"> </w:t>
    </w:r>
    <w:r w:rsidR="00A96BE2">
      <w:rPr>
        <w:b/>
      </w:rPr>
      <w:t>4</w:t>
    </w:r>
    <w:r w:rsidR="00A96BE2" w:rsidRPr="00107E15">
      <w:rPr>
        <w:b/>
      </w:rPr>
      <w:t>.</w:t>
    </w:r>
    <w:r w:rsidR="00A96BE2" w:rsidRPr="00107E15">
      <w:t xml:space="preserve"> </w:t>
    </w:r>
    <w:r>
      <w:t>Etapa</w:t>
    </w:r>
    <w:r w:rsidR="00A96BE2" w:rsidRPr="00107E15">
      <w:t xml:space="preserve"> </w:t>
    </w:r>
    <w:r w:rsidR="00A96BE2">
      <w:t>4</w:t>
    </w:r>
    <w:r w:rsidR="00A96BE2" w:rsidRPr="00107E15">
      <w:t>.</w:t>
    </w:r>
    <w:r w:rsidR="00A96BE2">
      <w:t xml:space="preserve"> </w:t>
    </w:r>
    <w:r w:rsidR="00A96BE2" w:rsidRPr="00107E15">
      <w:rPr>
        <w:i/>
      </w:rPr>
      <w:fldChar w:fldCharType="begin"/>
    </w:r>
    <w:r w:rsidR="00A96BE2" w:rsidRPr="00107E15">
      <w:rPr>
        <w:i/>
      </w:rPr>
      <w:instrText xml:space="preserve"> STYLEREF  H1 \t  \* MERGEFORMAT </w:instrText>
    </w:r>
    <w:r w:rsidR="00A96BE2" w:rsidRPr="00107E15">
      <w:rPr>
        <w:i/>
      </w:rPr>
      <w:fldChar w:fldCharType="separate"/>
    </w:r>
    <w:r>
      <w:rPr>
        <w:i/>
        <w:noProof/>
      </w:rPr>
      <w:t>Hoja de ruta para el registro y la identificación</w:t>
    </w:r>
    <w:r w:rsidR="00A96BE2" w:rsidRPr="00107E15">
      <w:rPr>
        <w:i/>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7B0" w14:textId="7B80CD48" w:rsidR="00A96BE2" w:rsidRPr="00B45C74" w:rsidRDefault="00A96BE2" w:rsidP="000A0945">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A1204">
      <w:rPr>
        <w:b/>
        <w:noProof/>
        <w:color w:val="808080" w:themeColor="background1" w:themeShade="80"/>
        <w:sz w:val="18"/>
        <w:szCs w:val="18"/>
      </w:rPr>
      <w:t>1</w:t>
    </w:r>
    <w:r w:rsidRPr="00B45C74">
      <w:rPr>
        <w:b/>
        <w:color w:val="808080" w:themeColor="background1" w:themeShade="80"/>
        <w:sz w:val="18"/>
        <w:szCs w:val="18"/>
      </w:rPr>
      <w:fldChar w:fldCharType="end"/>
    </w:r>
  </w:p>
  <w:p w14:paraId="30A01184" w14:textId="7AA2AFDB" w:rsidR="00A96BE2" w:rsidRPr="005B6A03" w:rsidRDefault="00A96BE2" w:rsidP="000A0945">
    <w:pPr>
      <w:pStyle w:val="Footer"/>
    </w:pPr>
    <w:r>
      <w:rPr>
        <w:b/>
      </w:rPr>
      <w:t>Mó</w:t>
    </w:r>
    <w:r w:rsidRPr="00107E15">
      <w:rPr>
        <w:b/>
      </w:rPr>
      <w:t>dul</w:t>
    </w:r>
    <w:r>
      <w:rPr>
        <w:b/>
      </w:rPr>
      <w:t>o</w:t>
    </w:r>
    <w:r w:rsidRPr="00107E15">
      <w:rPr>
        <w:b/>
      </w:rPr>
      <w:t xml:space="preserve"> </w:t>
    </w:r>
    <w:r>
      <w:rPr>
        <w:b/>
      </w:rPr>
      <w:t>4</w:t>
    </w:r>
    <w:r w:rsidRPr="00107E15">
      <w:rPr>
        <w:b/>
      </w:rPr>
      <w:t>.</w:t>
    </w:r>
    <w:r w:rsidRPr="00107E15">
      <w:t xml:space="preserve"> </w:t>
    </w:r>
    <w:r>
      <w:t>Etapa</w:t>
    </w:r>
    <w:r w:rsidRPr="00107E15">
      <w:t xml:space="preserve"> </w:t>
    </w:r>
    <w:r>
      <w:t>4</w:t>
    </w:r>
    <w:r w:rsidRPr="00107E15">
      <w:t>.</w:t>
    </w:r>
    <w:r>
      <w:t xml:space="preserve"> </w:t>
    </w:r>
    <w:r w:rsidR="000B54E2">
      <w:fldChar w:fldCharType="begin"/>
    </w:r>
    <w:r w:rsidR="000B54E2">
      <w:instrText xml:space="preserve"> STYLEREF  H1 \t  \* MERGEFORMAT </w:instrText>
    </w:r>
    <w:r w:rsidR="000B54E2">
      <w:fldChar w:fldCharType="separate"/>
    </w:r>
    <w:r w:rsidR="00FA1204" w:rsidRPr="00FA1204">
      <w:rPr>
        <w:bCs/>
        <w:noProof/>
      </w:rPr>
      <w:t>Hoja de ruta para el</w:t>
    </w:r>
    <w:r w:rsidR="00FA1204">
      <w:rPr>
        <w:noProof/>
      </w:rPr>
      <w:t xml:space="preserve"> registro y la identificación</w:t>
    </w:r>
    <w:r w:rsidR="000B54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182A8" w14:textId="77777777" w:rsidR="000B54E2" w:rsidRDefault="000B54E2" w:rsidP="00680748">
      <w:r>
        <w:separator/>
      </w:r>
    </w:p>
  </w:footnote>
  <w:footnote w:type="continuationSeparator" w:id="0">
    <w:p w14:paraId="0DDB2BD1" w14:textId="77777777" w:rsidR="000B54E2" w:rsidRDefault="000B54E2" w:rsidP="0068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D425" w14:textId="77777777" w:rsidR="00FA1204" w:rsidRDefault="00FA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8C76" w14:textId="77777777" w:rsidR="00A96BE2" w:rsidRPr="00730879" w:rsidRDefault="00A96BE2" w:rsidP="00FA5B90">
    <w:pPr>
      <w:pStyle w:val="Header"/>
      <w:rPr>
        <w:szCs w:val="16"/>
        <w:lang w:val="es-ES"/>
      </w:rPr>
    </w:pPr>
    <w:r w:rsidRPr="00730879">
      <w:rPr>
        <w:rStyle w:val="Pantone485"/>
        <w:lang w:val="es-ES"/>
      </w:rPr>
      <w:t xml:space="preserve">Movimiento Internacional de la Cruz Roja y de la </w:t>
    </w:r>
    <w:r>
      <w:rPr>
        <w:rStyle w:val="Pantone485"/>
        <w:lang w:val="es-ES"/>
      </w:rPr>
      <w:t xml:space="preserve">Media Luna Roja </w:t>
    </w:r>
    <w:r w:rsidRPr="00730879">
      <w:rPr>
        <w:rStyle w:val="PageNumber"/>
        <w:bCs/>
        <w:szCs w:val="16"/>
        <w:lang w:val="es-ES"/>
      </w:rPr>
      <w:t>I</w:t>
    </w:r>
    <w:r w:rsidRPr="00730879">
      <w:rPr>
        <w:rStyle w:val="PageNumber"/>
        <w:color w:val="FF0000"/>
        <w:szCs w:val="16"/>
        <w:lang w:val="es-ES"/>
      </w:rPr>
      <w:t xml:space="preserve"> </w:t>
    </w:r>
    <w:r>
      <w:rPr>
        <w:b/>
        <w:szCs w:val="16"/>
        <w:lang w:val="es-ES"/>
      </w:rPr>
      <w:t>Caja de herramientas para PTE en emergencias</w:t>
    </w:r>
  </w:p>
  <w:p w14:paraId="7E0A17C7" w14:textId="79016F58" w:rsidR="00A96BE2" w:rsidRPr="00FA5B90" w:rsidRDefault="00A96BE2" w:rsidP="00FA5B90">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1CE1" w14:textId="6DBFEDE6" w:rsidR="00A96BE2" w:rsidRDefault="00A96BE2" w:rsidP="000A0945">
    <w:pPr>
      <w:pStyle w:val="Header1"/>
    </w:pPr>
    <w:r>
      <w:rPr>
        <w:b w:val="0"/>
        <w:noProof/>
        <w:szCs w:val="16"/>
        <w:lang w:val="es-ES_tradnl" w:eastAsia="es-ES_tradnl"/>
      </w:rPr>
      <w:drawing>
        <wp:anchor distT="0" distB="0" distL="114300" distR="114300" simplePos="0" relativeHeight="251661312" behindDoc="0" locked="0" layoutInCell="1" allowOverlap="1" wp14:anchorId="5166014E" wp14:editId="2029A9BC">
          <wp:simplePos x="0" y="0"/>
          <wp:positionH relativeFrom="column">
            <wp:posOffset>376311</wp:posOffset>
          </wp:positionH>
          <wp:positionV relativeFrom="paragraph">
            <wp:posOffset>-78740</wp:posOffset>
          </wp:positionV>
          <wp:extent cx="621665" cy="7131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13105"/>
                  </a:xfrm>
                  <a:prstGeom prst="rect">
                    <a:avLst/>
                  </a:prstGeom>
                  <a:noFill/>
                </pic:spPr>
              </pic:pic>
            </a:graphicData>
          </a:graphic>
          <wp14:sizeRelH relativeFrom="page">
            <wp14:pctWidth>0</wp14:pctWidth>
          </wp14:sizeRelH>
          <wp14:sizeRelV relativeFrom="page">
            <wp14:pctHeight>0</wp14:pctHeight>
          </wp14:sizeRelV>
        </wp:anchor>
      </w:drawing>
    </w:r>
  </w:p>
  <w:p w14:paraId="5D7BC07F" w14:textId="7FC02AC6" w:rsidR="00A96BE2" w:rsidRDefault="00A96BE2" w:rsidP="000A0945">
    <w:pPr>
      <w:pStyle w:val="Header1"/>
    </w:pPr>
    <w:r>
      <w:rPr>
        <w:b w:val="0"/>
        <w:noProof/>
        <w:szCs w:val="16"/>
        <w:lang w:val="es-ES_tradnl" w:eastAsia="es-ES_tradnl"/>
      </w:rPr>
      <w:drawing>
        <wp:anchor distT="0" distB="0" distL="114300" distR="114300" simplePos="0" relativeHeight="251662336" behindDoc="0" locked="0" layoutInCell="1" allowOverlap="1" wp14:anchorId="4C614F54" wp14:editId="163A351F">
          <wp:simplePos x="0" y="0"/>
          <wp:positionH relativeFrom="column">
            <wp:posOffset>2645037</wp:posOffset>
          </wp:positionH>
          <wp:positionV relativeFrom="paragraph">
            <wp:posOffset>99695</wp:posOffset>
          </wp:positionV>
          <wp:extent cx="3279775" cy="323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9775" cy="323215"/>
                  </a:xfrm>
                  <a:prstGeom prst="rect">
                    <a:avLst/>
                  </a:prstGeom>
                  <a:noFill/>
                </pic:spPr>
              </pic:pic>
            </a:graphicData>
          </a:graphic>
          <wp14:sizeRelH relativeFrom="page">
            <wp14:pctWidth>0</wp14:pctWidth>
          </wp14:sizeRelH>
          <wp14:sizeRelV relativeFrom="page">
            <wp14:pctHeight>0</wp14:pctHeight>
          </wp14:sizeRelV>
        </wp:anchor>
      </w:drawing>
    </w:r>
  </w:p>
  <w:p w14:paraId="6F94C364" w14:textId="4BE69F7D" w:rsidR="00A96BE2" w:rsidRDefault="00A96BE2" w:rsidP="000A0945">
    <w:pPr>
      <w:pStyle w:val="Header"/>
      <w:rPr>
        <w:color w:val="DC281E"/>
        <w:sz w:val="24"/>
        <w:szCs w:val="24"/>
      </w:rPr>
    </w:pPr>
    <w:r>
      <w:rPr>
        <w:noProof/>
        <w:lang w:val="es-ES_tradnl" w:eastAsia="es-ES_tradnl"/>
      </w:rPr>
      <w:drawing>
        <wp:anchor distT="0" distB="0" distL="114300" distR="114300" simplePos="0" relativeHeight="251659264" behindDoc="0" locked="0" layoutInCell="1" allowOverlap="1" wp14:anchorId="21FABE8D" wp14:editId="2B6CE09F">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3">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3918CBD0" w14:textId="77777777" w:rsidR="00A96BE2" w:rsidRDefault="00A96BE2" w:rsidP="000A0945">
    <w:pPr>
      <w:pStyle w:val="Header"/>
      <w:spacing w:line="240" w:lineRule="auto"/>
      <w:rPr>
        <w:b/>
        <w:color w:val="DC281E"/>
        <w:sz w:val="24"/>
        <w:szCs w:val="24"/>
      </w:rPr>
    </w:pPr>
  </w:p>
  <w:p w14:paraId="074FC767" w14:textId="77777777" w:rsidR="00A96BE2" w:rsidRDefault="00A96BE2" w:rsidP="000A0945">
    <w:pPr>
      <w:pStyle w:val="Header"/>
      <w:spacing w:line="240" w:lineRule="auto"/>
      <w:rPr>
        <w:b/>
        <w:color w:val="DC281E"/>
        <w:sz w:val="24"/>
        <w:szCs w:val="24"/>
      </w:rPr>
    </w:pPr>
  </w:p>
  <w:p w14:paraId="1AA16FEB" w14:textId="0160583B" w:rsidR="00A96BE2" w:rsidRPr="00B6630D" w:rsidRDefault="00A96BE2" w:rsidP="000A0945">
    <w:pPr>
      <w:pStyle w:val="Header1"/>
      <w:rPr>
        <w:rFonts w:ascii="Arial Bold" w:hAnsi="Arial Bold" w:cs="Arial"/>
        <w:color w:val="DC281E"/>
        <w:lang w:val="es-ES"/>
      </w:rPr>
    </w:pPr>
    <w:r w:rsidRPr="00D22E11">
      <w:rPr>
        <w:rFonts w:ascii="Arial Bold" w:hAnsi="Arial Bold" w:cs="Arial"/>
        <w:color w:val="DC281E"/>
        <w:lang w:val="es-ES"/>
      </w:rPr>
      <w:t>Caja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4C6B"/>
    <w:multiLevelType w:val="hybridMultilevel"/>
    <w:tmpl w:val="E21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5929"/>
    <w:multiLevelType w:val="hybridMultilevel"/>
    <w:tmpl w:val="60B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7A18"/>
    <w:multiLevelType w:val="hybridMultilevel"/>
    <w:tmpl w:val="7C52BF4E"/>
    <w:lvl w:ilvl="0" w:tplc="5A4C77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4512AC"/>
    <w:multiLevelType w:val="hybridMultilevel"/>
    <w:tmpl w:val="08C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96F"/>
    <w:multiLevelType w:val="hybridMultilevel"/>
    <w:tmpl w:val="864CA9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395127E8"/>
    <w:multiLevelType w:val="hybridMultilevel"/>
    <w:tmpl w:val="4B0687D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11121"/>
    <w:multiLevelType w:val="hybridMultilevel"/>
    <w:tmpl w:val="94F8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32DF8"/>
    <w:multiLevelType w:val="hybridMultilevel"/>
    <w:tmpl w:val="879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9B604F"/>
    <w:multiLevelType w:val="hybridMultilevel"/>
    <w:tmpl w:val="8178704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5A7A02"/>
    <w:multiLevelType w:val="hybridMultilevel"/>
    <w:tmpl w:val="03FAC78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936DA0"/>
    <w:multiLevelType w:val="hybridMultilevel"/>
    <w:tmpl w:val="E9F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0302F"/>
    <w:multiLevelType w:val="hybridMultilevel"/>
    <w:tmpl w:val="D6AAD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1182CCC"/>
    <w:multiLevelType w:val="hybridMultilevel"/>
    <w:tmpl w:val="71B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C6EFC"/>
    <w:multiLevelType w:val="hybridMultilevel"/>
    <w:tmpl w:val="FF5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501F1"/>
    <w:multiLevelType w:val="hybridMultilevel"/>
    <w:tmpl w:val="452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7"/>
  </w:num>
  <w:num w:numId="5">
    <w:abstractNumId w:val="2"/>
  </w:num>
  <w:num w:numId="6">
    <w:abstractNumId w:val="19"/>
  </w:num>
  <w:num w:numId="7">
    <w:abstractNumId w:val="8"/>
  </w:num>
  <w:num w:numId="8">
    <w:abstractNumId w:val="9"/>
  </w:num>
  <w:num w:numId="9">
    <w:abstractNumId w:val="11"/>
  </w:num>
  <w:num w:numId="10">
    <w:abstractNumId w:val="7"/>
  </w:num>
  <w:num w:numId="11">
    <w:abstractNumId w:val="10"/>
  </w:num>
  <w:num w:numId="12">
    <w:abstractNumId w:val="12"/>
  </w:num>
  <w:num w:numId="13">
    <w:abstractNumId w:val="1"/>
  </w:num>
  <w:num w:numId="14">
    <w:abstractNumId w:val="4"/>
  </w:num>
  <w:num w:numId="15">
    <w:abstractNumId w:val="0"/>
  </w:num>
  <w:num w:numId="16">
    <w:abstractNumId w:val="14"/>
  </w:num>
  <w:num w:numId="17">
    <w:abstractNumId w:val="3"/>
  </w:num>
  <w:num w:numId="18">
    <w:abstractNumId w:val="15"/>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7"/>
    <w:rsid w:val="00082E59"/>
    <w:rsid w:val="00093C9A"/>
    <w:rsid w:val="000A0945"/>
    <w:rsid w:val="000A4024"/>
    <w:rsid w:val="000B54E2"/>
    <w:rsid w:val="000C4A1A"/>
    <w:rsid w:val="001745BC"/>
    <w:rsid w:val="00185B83"/>
    <w:rsid w:val="001B265B"/>
    <w:rsid w:val="001E31F7"/>
    <w:rsid w:val="001F3C18"/>
    <w:rsid w:val="00286A9F"/>
    <w:rsid w:val="00370BFA"/>
    <w:rsid w:val="00471501"/>
    <w:rsid w:val="00531048"/>
    <w:rsid w:val="005554F5"/>
    <w:rsid w:val="005A2F60"/>
    <w:rsid w:val="005B6A03"/>
    <w:rsid w:val="00680748"/>
    <w:rsid w:val="007608DC"/>
    <w:rsid w:val="00772501"/>
    <w:rsid w:val="007A0532"/>
    <w:rsid w:val="007A4579"/>
    <w:rsid w:val="0080622C"/>
    <w:rsid w:val="00830000"/>
    <w:rsid w:val="008733C7"/>
    <w:rsid w:val="00905760"/>
    <w:rsid w:val="00935836"/>
    <w:rsid w:val="00961279"/>
    <w:rsid w:val="009D5D3F"/>
    <w:rsid w:val="00A733B3"/>
    <w:rsid w:val="00A942CD"/>
    <w:rsid w:val="00A96BE2"/>
    <w:rsid w:val="00B1490E"/>
    <w:rsid w:val="00B36D76"/>
    <w:rsid w:val="00B65C9D"/>
    <w:rsid w:val="00B6630D"/>
    <w:rsid w:val="00B743CF"/>
    <w:rsid w:val="00B94FCD"/>
    <w:rsid w:val="00C101F6"/>
    <w:rsid w:val="00C73717"/>
    <w:rsid w:val="00DA12C0"/>
    <w:rsid w:val="00DE40B4"/>
    <w:rsid w:val="00E414B3"/>
    <w:rsid w:val="00E57DF0"/>
    <w:rsid w:val="00ED3055"/>
    <w:rsid w:val="00EF13E5"/>
    <w:rsid w:val="00F134C2"/>
    <w:rsid w:val="00F61A31"/>
    <w:rsid w:val="00F93200"/>
    <w:rsid w:val="00FA1204"/>
    <w:rsid w:val="00FA5B90"/>
    <w:rsid w:val="00FB061A"/>
    <w:rsid w:val="00FD621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F010E"/>
  <w15:docId w15:val="{06503DAC-E88F-48F6-A8A2-21D4C5B6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34C2"/>
    <w:pPr>
      <w:spacing w:after="120"/>
      <w:jc w:val="both"/>
    </w:pPr>
    <w:rPr>
      <w:rFonts w:ascii="Arial" w:hAnsi="Arial" w:cs="Times New Roman"/>
    </w:rPr>
  </w:style>
  <w:style w:type="paragraph" w:styleId="Heading1">
    <w:name w:val="heading 1"/>
    <w:basedOn w:val="H1"/>
    <w:next w:val="Normal"/>
    <w:link w:val="Heading1Char"/>
    <w:uiPriority w:val="9"/>
    <w:rsid w:val="00F134C2"/>
  </w:style>
  <w:style w:type="paragraph" w:styleId="Heading2">
    <w:name w:val="heading 2"/>
    <w:basedOn w:val="Normal"/>
    <w:next w:val="Normal"/>
    <w:link w:val="Heading2Char"/>
    <w:uiPriority w:val="9"/>
    <w:unhideWhenUsed/>
    <w:qFormat/>
    <w:rsid w:val="00F134C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34C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4C2"/>
    <w:pPr>
      <w:spacing w:after="240"/>
      <w:ind w:left="720"/>
      <w:contextualSpacing/>
    </w:pPr>
    <w:rPr>
      <w:rFonts w:eastAsiaTheme="minorHAnsi" w:cstheme="minorBidi"/>
      <w:szCs w:val="22"/>
    </w:rPr>
  </w:style>
  <w:style w:type="table" w:styleId="TableGrid">
    <w:name w:val="Table Grid"/>
    <w:basedOn w:val="TableNormal"/>
    <w:uiPriority w:val="59"/>
    <w:rsid w:val="00F134C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970"/>
  </w:style>
  <w:style w:type="character" w:styleId="CommentReference">
    <w:name w:val="annotation reference"/>
    <w:basedOn w:val="DefaultParagraphFont"/>
    <w:uiPriority w:val="99"/>
    <w:semiHidden/>
    <w:unhideWhenUsed/>
    <w:rsid w:val="00F134C2"/>
    <w:rPr>
      <w:sz w:val="18"/>
      <w:szCs w:val="18"/>
    </w:rPr>
  </w:style>
  <w:style w:type="paragraph" w:styleId="CommentText">
    <w:name w:val="annotation text"/>
    <w:basedOn w:val="Normal"/>
    <w:link w:val="CommentTextChar"/>
    <w:uiPriority w:val="99"/>
    <w:semiHidden/>
    <w:unhideWhenUsed/>
    <w:rsid w:val="00082E59"/>
  </w:style>
  <w:style w:type="character" w:customStyle="1" w:styleId="CommentTextChar">
    <w:name w:val="Comment Text Char"/>
    <w:basedOn w:val="DefaultParagraphFont"/>
    <w:link w:val="CommentText"/>
    <w:uiPriority w:val="99"/>
    <w:semiHidden/>
    <w:rsid w:val="00082E59"/>
    <w:rPr>
      <w:lang w:val="en-GB"/>
    </w:rPr>
  </w:style>
  <w:style w:type="paragraph" w:styleId="CommentSubject">
    <w:name w:val="annotation subject"/>
    <w:basedOn w:val="Normal"/>
    <w:link w:val="CommentSubjectChar"/>
    <w:uiPriority w:val="99"/>
    <w:semiHidden/>
    <w:unhideWhenUsed/>
    <w:rsid w:val="00F134C2"/>
    <w:rPr>
      <w:b/>
      <w:bCs/>
    </w:rPr>
  </w:style>
  <w:style w:type="character" w:customStyle="1" w:styleId="CommentSubjectChar">
    <w:name w:val="Comment Subject Char"/>
    <w:basedOn w:val="DefaultParagraphFont"/>
    <w:link w:val="CommentSubject"/>
    <w:uiPriority w:val="99"/>
    <w:semiHidden/>
    <w:rsid w:val="00F134C2"/>
    <w:rPr>
      <w:rFonts w:ascii="Arial" w:hAnsi="Arial" w:cs="Times New Roman"/>
      <w:b/>
      <w:bCs/>
    </w:rPr>
  </w:style>
  <w:style w:type="paragraph" w:styleId="BalloonText">
    <w:name w:val="Balloon Text"/>
    <w:basedOn w:val="Normal"/>
    <w:link w:val="BalloonTextChar"/>
    <w:uiPriority w:val="99"/>
    <w:semiHidden/>
    <w:unhideWhenUsed/>
    <w:rsid w:val="00F134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4C2"/>
    <w:rPr>
      <w:rFonts w:ascii="Lucida Grande" w:hAnsi="Lucida Grande" w:cs="Lucida Grande"/>
      <w:sz w:val="18"/>
      <w:szCs w:val="18"/>
    </w:rPr>
  </w:style>
  <w:style w:type="character" w:styleId="Hyperlink">
    <w:name w:val="Hyperlink"/>
    <w:basedOn w:val="DefaultParagraphFont"/>
    <w:uiPriority w:val="99"/>
    <w:unhideWhenUsed/>
    <w:rsid w:val="00F134C2"/>
    <w:rPr>
      <w:color w:val="0000FF" w:themeColor="hyperlink"/>
      <w:u w:val="single"/>
    </w:rPr>
  </w:style>
  <w:style w:type="paragraph" w:styleId="Header">
    <w:name w:val="header"/>
    <w:basedOn w:val="Normal"/>
    <w:link w:val="HeaderChar"/>
    <w:uiPriority w:val="99"/>
    <w:unhideWhenUsed/>
    <w:rsid w:val="00F134C2"/>
    <w:pPr>
      <w:spacing w:after="0" w:line="288" w:lineRule="auto"/>
      <w:jc w:val="left"/>
    </w:pPr>
    <w:rPr>
      <w:sz w:val="16"/>
    </w:rPr>
  </w:style>
  <w:style w:type="character" w:customStyle="1" w:styleId="HeaderChar">
    <w:name w:val="Header Char"/>
    <w:basedOn w:val="DefaultParagraphFont"/>
    <w:link w:val="Header"/>
    <w:uiPriority w:val="99"/>
    <w:rsid w:val="00F134C2"/>
    <w:rPr>
      <w:rFonts w:ascii="Arial" w:hAnsi="Arial" w:cs="Times New Roman"/>
      <w:sz w:val="16"/>
    </w:rPr>
  </w:style>
  <w:style w:type="paragraph" w:styleId="Footer">
    <w:name w:val="footer"/>
    <w:basedOn w:val="Normal"/>
    <w:link w:val="FooterChar"/>
    <w:uiPriority w:val="99"/>
    <w:unhideWhenUsed/>
    <w:rsid w:val="00F134C2"/>
    <w:pPr>
      <w:spacing w:after="0"/>
      <w:jc w:val="left"/>
    </w:pPr>
    <w:rPr>
      <w:sz w:val="16"/>
      <w:szCs w:val="18"/>
    </w:rPr>
  </w:style>
  <w:style w:type="character" w:customStyle="1" w:styleId="FooterChar">
    <w:name w:val="Footer Char"/>
    <w:basedOn w:val="DefaultParagraphFont"/>
    <w:link w:val="Footer"/>
    <w:uiPriority w:val="99"/>
    <w:rsid w:val="00F134C2"/>
    <w:rPr>
      <w:rFonts w:ascii="Arial" w:hAnsi="Arial" w:cs="Times New Roman"/>
      <w:sz w:val="16"/>
      <w:szCs w:val="18"/>
    </w:rPr>
  </w:style>
  <w:style w:type="character" w:customStyle="1" w:styleId="Heading1Char">
    <w:name w:val="Heading 1 Char"/>
    <w:basedOn w:val="DefaultParagraphFont"/>
    <w:link w:val="Heading1"/>
    <w:uiPriority w:val="9"/>
    <w:rsid w:val="00F134C2"/>
    <w:rPr>
      <w:rFonts w:ascii="Arial" w:hAnsi="Arial" w:cs="Times New Roman"/>
      <w:b/>
      <w:sz w:val="40"/>
      <w:szCs w:val="52"/>
    </w:rPr>
  </w:style>
  <w:style w:type="character" w:customStyle="1" w:styleId="Heading2Char">
    <w:name w:val="Heading 2 Char"/>
    <w:basedOn w:val="DefaultParagraphFont"/>
    <w:link w:val="Heading2"/>
    <w:uiPriority w:val="9"/>
    <w:rsid w:val="00F134C2"/>
    <w:rPr>
      <w:rFonts w:ascii="Arial" w:hAnsi="Arial" w:cs="Times New Roman"/>
      <w:b/>
      <w:caps/>
      <w:sz w:val="24"/>
      <w:szCs w:val="26"/>
    </w:rPr>
  </w:style>
  <w:style w:type="character" w:customStyle="1" w:styleId="Heading3Char">
    <w:name w:val="Heading 3 Char"/>
    <w:basedOn w:val="DefaultParagraphFont"/>
    <w:link w:val="Heading3"/>
    <w:uiPriority w:val="9"/>
    <w:rsid w:val="00F134C2"/>
    <w:rPr>
      <w:rFonts w:ascii="Arial" w:hAnsi="Arial" w:cs="Times New Roman"/>
      <w:b/>
      <w:sz w:val="22"/>
      <w:szCs w:val="24"/>
    </w:rPr>
  </w:style>
  <w:style w:type="character" w:customStyle="1" w:styleId="ListParagraphChar">
    <w:name w:val="List Paragraph Char"/>
    <w:basedOn w:val="DefaultParagraphFont"/>
    <w:link w:val="ListParagraph"/>
    <w:uiPriority w:val="34"/>
    <w:rsid w:val="00F134C2"/>
    <w:rPr>
      <w:rFonts w:ascii="Arial" w:eastAsiaTheme="minorHAnsi" w:hAnsi="Arial" w:cstheme="minorBidi"/>
      <w:szCs w:val="22"/>
    </w:rPr>
  </w:style>
  <w:style w:type="paragraph" w:customStyle="1" w:styleId="Default">
    <w:name w:val="Default"/>
    <w:rsid w:val="00F134C2"/>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unhideWhenUsed/>
    <w:rsid w:val="00F134C2"/>
    <w:rPr>
      <w:b/>
    </w:rPr>
  </w:style>
  <w:style w:type="character" w:styleId="FollowedHyperlink">
    <w:name w:val="FollowedHyperlink"/>
    <w:basedOn w:val="DefaultParagraphFont"/>
    <w:uiPriority w:val="99"/>
    <w:semiHidden/>
    <w:unhideWhenUsed/>
    <w:rsid w:val="00F134C2"/>
    <w:rPr>
      <w:color w:val="800080" w:themeColor="followedHyperlink"/>
      <w:u w:val="single"/>
    </w:rPr>
  </w:style>
  <w:style w:type="paragraph" w:styleId="FootnoteText">
    <w:name w:val="footnote text"/>
    <w:basedOn w:val="Normal"/>
    <w:link w:val="FootnoteTextChar"/>
    <w:uiPriority w:val="99"/>
    <w:unhideWhenUsed/>
    <w:rsid w:val="00F134C2"/>
    <w:pPr>
      <w:spacing w:after="0"/>
    </w:pPr>
    <w:rPr>
      <w:sz w:val="16"/>
      <w:szCs w:val="22"/>
    </w:rPr>
  </w:style>
  <w:style w:type="character" w:customStyle="1" w:styleId="FootnoteTextChar">
    <w:name w:val="Footnote Text Char"/>
    <w:basedOn w:val="DefaultParagraphFont"/>
    <w:link w:val="FootnoteText"/>
    <w:uiPriority w:val="99"/>
    <w:rsid w:val="00F134C2"/>
    <w:rPr>
      <w:rFonts w:ascii="Arial" w:hAnsi="Arial" w:cs="Times New Roman"/>
      <w:sz w:val="16"/>
      <w:szCs w:val="22"/>
    </w:rPr>
  </w:style>
  <w:style w:type="character" w:styleId="FootnoteReference">
    <w:name w:val="footnote reference"/>
    <w:basedOn w:val="DefaultParagraphFont"/>
    <w:uiPriority w:val="99"/>
    <w:unhideWhenUsed/>
    <w:rsid w:val="00F134C2"/>
    <w:rPr>
      <w:vertAlign w:val="superscript"/>
    </w:rPr>
  </w:style>
  <w:style w:type="paragraph" w:styleId="Revision">
    <w:name w:val="Revision"/>
    <w:hidden/>
    <w:uiPriority w:val="99"/>
    <w:semiHidden/>
    <w:rsid w:val="00F134C2"/>
    <w:rPr>
      <w:rFonts w:ascii="Arial" w:hAnsi="Arial" w:cs="Arial"/>
      <w:sz w:val="21"/>
      <w:szCs w:val="21"/>
    </w:rPr>
  </w:style>
  <w:style w:type="paragraph" w:customStyle="1" w:styleId="BasicParagraph">
    <w:name w:val="[Basic Paragraph]"/>
    <w:basedOn w:val="Normal"/>
    <w:uiPriority w:val="99"/>
    <w:rsid w:val="00F134C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34C2"/>
    <w:pPr>
      <w:spacing w:before="360" w:after="240"/>
      <w:jc w:val="left"/>
      <w:outlineLvl w:val="0"/>
    </w:pPr>
    <w:rPr>
      <w:b/>
      <w:sz w:val="40"/>
      <w:szCs w:val="52"/>
    </w:rPr>
  </w:style>
  <w:style w:type="paragraph" w:customStyle="1" w:styleId="Bullet1">
    <w:name w:val="Bullet 1"/>
    <w:basedOn w:val="Normal"/>
    <w:rsid w:val="00F134C2"/>
    <w:pPr>
      <w:numPr>
        <w:numId w:val="17"/>
      </w:numPr>
      <w:spacing w:before="60"/>
    </w:pPr>
    <w:rPr>
      <w:rFonts w:eastAsia="Times New Roman"/>
      <w:color w:val="000000"/>
    </w:rPr>
  </w:style>
  <w:style w:type="paragraph" w:customStyle="1" w:styleId="RefItem1">
    <w:name w:val="Ref Item 1"/>
    <w:basedOn w:val="Normal"/>
    <w:rsid w:val="00F134C2"/>
    <w:pPr>
      <w:jc w:val="left"/>
    </w:pPr>
    <w:rPr>
      <w:color w:val="000000"/>
      <w:szCs w:val="24"/>
      <w:lang w:eastAsia="it-IT"/>
    </w:rPr>
  </w:style>
  <w:style w:type="paragraph" w:customStyle="1" w:styleId="RefTitre">
    <w:name w:val="Ref Titre"/>
    <w:basedOn w:val="Normal"/>
    <w:rsid w:val="00F134C2"/>
    <w:pPr>
      <w:jc w:val="left"/>
    </w:pPr>
    <w:rPr>
      <w:rFonts w:eastAsia="Times New Roman"/>
      <w:b/>
      <w:bCs/>
      <w:sz w:val="26"/>
      <w:szCs w:val="26"/>
    </w:rPr>
  </w:style>
  <w:style w:type="paragraph" w:customStyle="1" w:styleId="Header1">
    <w:name w:val="Header 1"/>
    <w:basedOn w:val="Header"/>
    <w:rsid w:val="00F134C2"/>
    <w:rPr>
      <w:b/>
      <w:sz w:val="24"/>
      <w:szCs w:val="24"/>
    </w:rPr>
  </w:style>
  <w:style w:type="character" w:customStyle="1" w:styleId="Pantone485">
    <w:name w:val="Pantone 485"/>
    <w:basedOn w:val="DefaultParagraphFont"/>
    <w:uiPriority w:val="1"/>
    <w:qFormat/>
    <w:rsid w:val="00F134C2"/>
    <w:rPr>
      <w:rFonts w:cs="Caecilia-Light"/>
      <w:color w:val="DC281E"/>
      <w:szCs w:val="16"/>
    </w:rPr>
  </w:style>
  <w:style w:type="character" w:customStyle="1" w:styleId="H1Char">
    <w:name w:val="H1 Char"/>
    <w:basedOn w:val="DefaultParagraphFont"/>
    <w:link w:val="H1"/>
    <w:rsid w:val="00F134C2"/>
    <w:rPr>
      <w:rFonts w:ascii="Arial" w:hAnsi="Arial" w:cs="Times New Roman"/>
      <w:b/>
      <w:sz w:val="40"/>
      <w:szCs w:val="52"/>
    </w:rPr>
  </w:style>
  <w:style w:type="table" w:customStyle="1" w:styleId="TableGray">
    <w:name w:val="Table Gray"/>
    <w:basedOn w:val="TableNormal"/>
    <w:uiPriority w:val="99"/>
    <w:rsid w:val="00F134C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34C2"/>
    <w:pPr>
      <w:numPr>
        <w:numId w:val="18"/>
      </w:numPr>
      <w:tabs>
        <w:tab w:val="left" w:pos="7230"/>
      </w:tabs>
      <w:spacing w:before="120" w:after="120"/>
      <w:contextualSpacing w:val="0"/>
    </w:pPr>
    <w:rPr>
      <w:rFonts w:cs="Arial"/>
    </w:rPr>
  </w:style>
  <w:style w:type="paragraph" w:customStyle="1" w:styleId="ListNumber1">
    <w:name w:val="List Number 1"/>
    <w:basedOn w:val="Normal"/>
    <w:rsid w:val="00F134C2"/>
    <w:pPr>
      <w:numPr>
        <w:ilvl w:val="1"/>
        <w:numId w:val="15"/>
      </w:numPr>
      <w:contextualSpacing/>
    </w:pPr>
    <w:rPr>
      <w:rFonts w:eastAsiaTheme="minorHAnsi" w:cstheme="minorHAnsi"/>
      <w:szCs w:val="22"/>
    </w:rPr>
  </w:style>
  <w:style w:type="paragraph" w:customStyle="1" w:styleId="NormalNo">
    <w:name w:val="Normal + No"/>
    <w:basedOn w:val="Normal"/>
    <w:qFormat/>
    <w:rsid w:val="00F134C2"/>
    <w:pPr>
      <w:numPr>
        <w:numId w:val="16"/>
      </w:numPr>
    </w:pPr>
    <w:rPr>
      <w:rFonts w:eastAsia="MS Mincho"/>
      <w:b/>
      <w:sz w:val="22"/>
    </w:rPr>
  </w:style>
  <w:style w:type="paragraph" w:customStyle="1" w:styleId="Bullet3">
    <w:name w:val="Bullet 3"/>
    <w:basedOn w:val="ListParagraph"/>
    <w:qFormat/>
    <w:rsid w:val="00F134C2"/>
    <w:pPr>
      <w:numPr>
        <w:numId w:val="19"/>
      </w:numPr>
      <w:spacing w:before="120" w:after="120"/>
      <w:ind w:right="425"/>
    </w:pPr>
    <w:rPr>
      <w:rFonts w:cs="Arial"/>
      <w:i/>
      <w:iCs/>
    </w:rPr>
  </w:style>
  <w:style w:type="paragraph" w:customStyle="1" w:styleId="Indent">
    <w:name w:val="Indent"/>
    <w:basedOn w:val="Normal"/>
    <w:qFormat/>
    <w:rsid w:val="00F134C2"/>
    <w:pPr>
      <w:ind w:left="567"/>
    </w:pPr>
    <w:rPr>
      <w:rFonts w:cs="Arial"/>
      <w:b/>
    </w:rPr>
  </w:style>
  <w:style w:type="paragraph" w:customStyle="1" w:styleId="TitreTableau">
    <w:name w:val="Titre Tableau"/>
    <w:basedOn w:val="Normal"/>
    <w:qFormat/>
    <w:rsid w:val="00F134C2"/>
    <w:pPr>
      <w:spacing w:before="120"/>
      <w:jc w:val="center"/>
    </w:pPr>
    <w:rPr>
      <w:rFonts w:cs="Arial"/>
      <w:b/>
      <w:bCs/>
      <w:color w:val="FFFFFF" w:themeColor="background1"/>
      <w:lang w:val="en-CA"/>
    </w:rPr>
  </w:style>
  <w:style w:type="paragraph" w:customStyle="1" w:styleId="BulletTableau">
    <w:name w:val="Bullet Tableau"/>
    <w:basedOn w:val="Bullet2"/>
    <w:qFormat/>
    <w:rsid w:val="00F134C2"/>
    <w:pPr>
      <w:keepNext/>
      <w:keepLines/>
      <w:framePr w:hSpace="141" w:wrap="around" w:vAnchor="text" w:hAnchor="margin" w:y="402"/>
      <w:numPr>
        <w:numId w:val="2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890">
      <w:bodyDiv w:val="1"/>
      <w:marLeft w:val="0"/>
      <w:marRight w:val="0"/>
      <w:marTop w:val="0"/>
      <w:marBottom w:val="0"/>
      <w:divBdr>
        <w:top w:val="none" w:sz="0" w:space="0" w:color="auto"/>
        <w:left w:val="none" w:sz="0" w:space="0" w:color="auto"/>
        <w:bottom w:val="none" w:sz="0" w:space="0" w:color="auto"/>
        <w:right w:val="none" w:sz="0" w:space="0" w:color="auto"/>
      </w:divBdr>
    </w:div>
    <w:div w:id="606623012">
      <w:bodyDiv w:val="1"/>
      <w:marLeft w:val="0"/>
      <w:marRight w:val="0"/>
      <w:marTop w:val="0"/>
      <w:marBottom w:val="0"/>
      <w:divBdr>
        <w:top w:val="none" w:sz="0" w:space="0" w:color="auto"/>
        <w:left w:val="none" w:sz="0" w:space="0" w:color="auto"/>
        <w:bottom w:val="none" w:sz="0" w:space="0" w:color="auto"/>
        <w:right w:val="none" w:sz="0" w:space="0" w:color="auto"/>
      </w:divBdr>
    </w:div>
    <w:div w:id="1387992108">
      <w:bodyDiv w:val="1"/>
      <w:marLeft w:val="0"/>
      <w:marRight w:val="0"/>
      <w:marTop w:val="0"/>
      <w:marBottom w:val="0"/>
      <w:divBdr>
        <w:top w:val="none" w:sz="0" w:space="0" w:color="auto"/>
        <w:left w:val="none" w:sz="0" w:space="0" w:color="auto"/>
        <w:bottom w:val="none" w:sz="0" w:space="0" w:color="auto"/>
        <w:right w:val="none" w:sz="0" w:space="0" w:color="auto"/>
      </w:divBdr>
    </w:div>
    <w:div w:id="1451050736">
      <w:bodyDiv w:val="1"/>
      <w:marLeft w:val="0"/>
      <w:marRight w:val="0"/>
      <w:marTop w:val="0"/>
      <w:marBottom w:val="0"/>
      <w:divBdr>
        <w:top w:val="none" w:sz="0" w:space="0" w:color="auto"/>
        <w:left w:val="none" w:sz="0" w:space="0" w:color="auto"/>
        <w:bottom w:val="none" w:sz="0" w:space="0" w:color="auto"/>
        <w:right w:val="none" w:sz="0" w:space="0" w:color="auto"/>
      </w:divBdr>
    </w:div>
    <w:div w:id="1668362805">
      <w:bodyDiv w:val="1"/>
      <w:marLeft w:val="0"/>
      <w:marRight w:val="0"/>
      <w:marTop w:val="0"/>
      <w:marBottom w:val="0"/>
      <w:divBdr>
        <w:top w:val="none" w:sz="0" w:space="0" w:color="auto"/>
        <w:left w:val="none" w:sz="0" w:space="0" w:color="auto"/>
        <w:bottom w:val="none" w:sz="0" w:space="0" w:color="auto"/>
        <w:right w:val="none" w:sz="0" w:space="0" w:color="auto"/>
      </w:divBdr>
      <w:divsChild>
        <w:div w:id="573710026">
          <w:marLeft w:val="0"/>
          <w:marRight w:val="0"/>
          <w:marTop w:val="105"/>
          <w:marBottom w:val="30"/>
          <w:divBdr>
            <w:top w:val="none" w:sz="0" w:space="0" w:color="auto"/>
            <w:left w:val="none" w:sz="0" w:space="0" w:color="auto"/>
            <w:bottom w:val="none" w:sz="0" w:space="0" w:color="auto"/>
            <w:right w:val="none" w:sz="0" w:space="0" w:color="auto"/>
          </w:divBdr>
          <w:divsChild>
            <w:div w:id="584267884">
              <w:marLeft w:val="0"/>
              <w:marRight w:val="0"/>
              <w:marTop w:val="0"/>
              <w:marBottom w:val="0"/>
              <w:divBdr>
                <w:top w:val="none" w:sz="0" w:space="0" w:color="auto"/>
                <w:left w:val="none" w:sz="0" w:space="0" w:color="auto"/>
                <w:bottom w:val="none" w:sz="0" w:space="0" w:color="auto"/>
                <w:right w:val="none" w:sz="0" w:space="0" w:color="auto"/>
              </w:divBdr>
              <w:divsChild>
                <w:div w:id="382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243">
          <w:marLeft w:val="0"/>
          <w:marRight w:val="0"/>
          <w:marTop w:val="0"/>
          <w:marBottom w:val="0"/>
          <w:divBdr>
            <w:top w:val="none" w:sz="0" w:space="0" w:color="auto"/>
            <w:left w:val="none" w:sz="0" w:space="0" w:color="auto"/>
            <w:bottom w:val="none" w:sz="0" w:space="0" w:color="auto"/>
            <w:right w:val="none" w:sz="0" w:space="0" w:color="auto"/>
          </w:divBdr>
          <w:divsChild>
            <w:div w:id="260338528">
              <w:marLeft w:val="0"/>
              <w:marRight w:val="0"/>
              <w:marTop w:val="0"/>
              <w:marBottom w:val="0"/>
              <w:divBdr>
                <w:top w:val="none" w:sz="0" w:space="0" w:color="auto"/>
                <w:left w:val="none" w:sz="0" w:space="0" w:color="auto"/>
                <w:bottom w:val="none" w:sz="0" w:space="0" w:color="auto"/>
                <w:right w:val="none" w:sz="0" w:space="0" w:color="auto"/>
              </w:divBdr>
              <w:divsChild>
                <w:div w:id="1222135984">
                  <w:marLeft w:val="0"/>
                  <w:marRight w:val="60"/>
                  <w:marTop w:val="0"/>
                  <w:marBottom w:val="0"/>
                  <w:divBdr>
                    <w:top w:val="none" w:sz="0" w:space="0" w:color="auto"/>
                    <w:left w:val="none" w:sz="0" w:space="0" w:color="auto"/>
                    <w:bottom w:val="none" w:sz="0" w:space="0" w:color="auto"/>
                    <w:right w:val="none" w:sz="0" w:space="0" w:color="auto"/>
                  </w:divBdr>
                  <w:divsChild>
                    <w:div w:id="1174568267">
                      <w:marLeft w:val="0"/>
                      <w:marRight w:val="0"/>
                      <w:marTop w:val="0"/>
                      <w:marBottom w:val="120"/>
                      <w:divBdr>
                        <w:top w:val="single" w:sz="6" w:space="0" w:color="C0C0C0"/>
                        <w:left w:val="single" w:sz="6" w:space="0" w:color="D9D9D9"/>
                        <w:bottom w:val="single" w:sz="6" w:space="0" w:color="D9D9D9"/>
                        <w:right w:val="single" w:sz="6" w:space="0" w:color="D9D9D9"/>
                      </w:divBdr>
                      <w:divsChild>
                        <w:div w:id="7635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8605">
              <w:marLeft w:val="0"/>
              <w:marRight w:val="0"/>
              <w:marTop w:val="0"/>
              <w:marBottom w:val="0"/>
              <w:divBdr>
                <w:top w:val="none" w:sz="0" w:space="0" w:color="auto"/>
                <w:left w:val="none" w:sz="0" w:space="0" w:color="auto"/>
                <w:bottom w:val="none" w:sz="0" w:space="0" w:color="auto"/>
                <w:right w:val="none" w:sz="0" w:space="0" w:color="auto"/>
              </w:divBdr>
              <w:divsChild>
                <w:div w:id="1542090445">
                  <w:marLeft w:val="60"/>
                  <w:marRight w:val="0"/>
                  <w:marTop w:val="0"/>
                  <w:marBottom w:val="0"/>
                  <w:divBdr>
                    <w:top w:val="none" w:sz="0" w:space="0" w:color="auto"/>
                    <w:left w:val="none" w:sz="0" w:space="0" w:color="auto"/>
                    <w:bottom w:val="none" w:sz="0" w:space="0" w:color="auto"/>
                    <w:right w:val="none" w:sz="0" w:space="0" w:color="auto"/>
                  </w:divBdr>
                  <w:divsChild>
                    <w:div w:id="1913202116">
                      <w:marLeft w:val="0"/>
                      <w:marRight w:val="0"/>
                      <w:marTop w:val="0"/>
                      <w:marBottom w:val="0"/>
                      <w:divBdr>
                        <w:top w:val="none" w:sz="0" w:space="0" w:color="auto"/>
                        <w:left w:val="none" w:sz="0" w:space="0" w:color="auto"/>
                        <w:bottom w:val="none" w:sz="0" w:space="0" w:color="auto"/>
                        <w:right w:val="none" w:sz="0" w:space="0" w:color="auto"/>
                      </w:divBdr>
                      <w:divsChild>
                        <w:div w:id="1366322957">
                          <w:marLeft w:val="0"/>
                          <w:marRight w:val="0"/>
                          <w:marTop w:val="0"/>
                          <w:marBottom w:val="120"/>
                          <w:divBdr>
                            <w:top w:val="single" w:sz="6" w:space="0" w:color="F5F5F5"/>
                            <w:left w:val="single" w:sz="6" w:space="0" w:color="F5F5F5"/>
                            <w:bottom w:val="single" w:sz="6" w:space="0" w:color="F5F5F5"/>
                            <w:right w:val="single" w:sz="6" w:space="0" w:color="F5F5F5"/>
                          </w:divBdr>
                          <w:divsChild>
                            <w:div w:id="893782082">
                              <w:marLeft w:val="0"/>
                              <w:marRight w:val="0"/>
                              <w:marTop w:val="0"/>
                              <w:marBottom w:val="0"/>
                              <w:divBdr>
                                <w:top w:val="none" w:sz="0" w:space="0" w:color="auto"/>
                                <w:left w:val="none" w:sz="0" w:space="0" w:color="auto"/>
                                <w:bottom w:val="none" w:sz="0" w:space="0" w:color="auto"/>
                                <w:right w:val="none" w:sz="0" w:space="0" w:color="auto"/>
                              </w:divBdr>
                              <w:divsChild>
                                <w:div w:id="13094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18412">
      <w:bodyDiv w:val="1"/>
      <w:marLeft w:val="0"/>
      <w:marRight w:val="0"/>
      <w:marTop w:val="0"/>
      <w:marBottom w:val="0"/>
      <w:divBdr>
        <w:top w:val="none" w:sz="0" w:space="0" w:color="auto"/>
        <w:left w:val="none" w:sz="0" w:space="0" w:color="auto"/>
        <w:bottom w:val="none" w:sz="0" w:space="0" w:color="auto"/>
        <w:right w:val="none" w:sz="0" w:space="0" w:color="auto"/>
      </w:divBdr>
    </w:div>
    <w:div w:id="2113548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6-delivering-money-cash-transfer-mechanisms-in-emergencies" TargetMode="External"/><Relationship Id="rId13" Type="http://schemas.openxmlformats.org/officeDocument/2006/relationships/hyperlink" Target="http://www.cashlearning.org/resources/library/217-voucher-fairs-a-quick-delivery-guide-booklet-vers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shlearning.org/resources/library/390-e-transfers-in-emergencies-implementation-support-guideline" TargetMode="External"/><Relationship Id="rId12" Type="http://schemas.openxmlformats.org/officeDocument/2006/relationships/hyperlink" Target="http://www.cashlearning.org/resources/library/25-vouchers---a-quick-delivery-guide-booklet-vers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hlearning.org/resources/library/24-direct-cash---a-quick-delivery-guide-screen-vers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ashlearning.org/resources/library/235-delivering-cash-through-cards---a-quick-delivery-guide-bookl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ashlearning.org/resources/library/22-cheques---a-quick-delivery-guide-screen-versio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TotalTime>
  <Pages>4</Pages>
  <Words>1845</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2</cp:revision>
  <cp:lastPrinted>2015-10-01T14:53:00Z</cp:lastPrinted>
  <dcterms:created xsi:type="dcterms:W3CDTF">2016-02-22T21:35:00Z</dcterms:created>
  <dcterms:modified xsi:type="dcterms:W3CDTF">2016-02-22T21:35:00Z</dcterms:modified>
</cp:coreProperties>
</file>