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70CBB" w14:textId="39B719A5" w:rsidR="00996780" w:rsidRPr="00DF5ABE" w:rsidRDefault="00DF5ABE" w:rsidP="00EB4702">
      <w:pPr>
        <w:pStyle w:val="H1"/>
        <w:rPr>
          <w:lang w:val="es-ES"/>
        </w:rPr>
      </w:pPr>
      <w:r w:rsidRPr="00DF5ABE">
        <w:rPr>
          <w:lang w:val="es-ES"/>
        </w:rPr>
        <w:t xml:space="preserve">Hoja de ruta para </w:t>
      </w:r>
      <w:r w:rsidR="001577EB">
        <w:rPr>
          <w:lang w:val="es-ES"/>
        </w:rPr>
        <w:t xml:space="preserve">el diseño y </w:t>
      </w:r>
      <w:r w:rsidR="006314C8">
        <w:rPr>
          <w:lang w:val="es-ES"/>
        </w:rPr>
        <w:t>la implementación</w:t>
      </w:r>
      <w:r w:rsidR="001577EB">
        <w:rPr>
          <w:lang w:val="es-ES"/>
        </w:rPr>
        <w:t xml:space="preserve"> </w:t>
      </w:r>
    </w:p>
    <w:p w14:paraId="086AD6D3" w14:textId="77777777" w:rsidR="009B38D8" w:rsidRPr="00DF5ABE" w:rsidRDefault="009B38D8" w:rsidP="00EB4702">
      <w:pPr>
        <w:pStyle w:val="Heading2"/>
        <w:rPr>
          <w:lang w:val="es-ES"/>
        </w:rPr>
      </w:pPr>
    </w:p>
    <w:p w14:paraId="7C80564B" w14:textId="7946BA6F" w:rsidR="007D1A58" w:rsidRPr="007E5C60" w:rsidRDefault="007D1A58" w:rsidP="00EB4702">
      <w:pPr>
        <w:pStyle w:val="Heading2"/>
        <w:rPr>
          <w:lang w:val="es-ES"/>
        </w:rPr>
      </w:pPr>
      <w:r w:rsidRPr="007E5C60">
        <w:rPr>
          <w:lang w:val="es-ES"/>
        </w:rPr>
        <w:t>INTRODUC</w:t>
      </w:r>
      <w:r w:rsidR="001577EB" w:rsidRPr="007E5C60">
        <w:rPr>
          <w:lang w:val="es-ES"/>
        </w:rPr>
        <w:t xml:space="preserve">CIÓN </w:t>
      </w:r>
    </w:p>
    <w:p w14:paraId="3456F66E" w14:textId="656FCB49" w:rsidR="00C22194" w:rsidRPr="007E5C60" w:rsidRDefault="001577EB" w:rsidP="001A66AE">
      <w:pPr>
        <w:rPr>
          <w:color w:val="4F81BD" w:themeColor="accent1"/>
          <w:lang w:val="es-ES"/>
        </w:rPr>
      </w:pPr>
      <w:r w:rsidRPr="007E5C60">
        <w:rPr>
          <w:lang w:val="es-ES"/>
        </w:rPr>
        <w:t xml:space="preserve">Tras seleccionar la respuesta más factible y apropiada para la intervención, </w:t>
      </w:r>
      <w:r w:rsidR="006314C8" w:rsidRPr="007E5C60">
        <w:rPr>
          <w:lang w:val="es-ES"/>
        </w:rPr>
        <w:t>habrá que diseñarl</w:t>
      </w:r>
      <w:r w:rsidR="00A65F4A" w:rsidRPr="007E5C60">
        <w:rPr>
          <w:lang w:val="es-ES"/>
        </w:rPr>
        <w:t>a</w:t>
      </w:r>
      <w:r w:rsidR="006314C8" w:rsidRPr="007E5C60">
        <w:rPr>
          <w:lang w:val="es-ES"/>
        </w:rPr>
        <w:t xml:space="preserve"> e implementarl</w:t>
      </w:r>
      <w:r w:rsidR="00A65F4A" w:rsidRPr="007E5C60">
        <w:rPr>
          <w:lang w:val="es-ES"/>
        </w:rPr>
        <w:t>a</w:t>
      </w:r>
      <w:r w:rsidR="006314C8" w:rsidRPr="007E5C60">
        <w:rPr>
          <w:lang w:val="es-ES"/>
        </w:rPr>
        <w:t xml:space="preserve">. Este proceso se inicia con la planificación de la intervención, la definición de los métodos de trabajo, el establecimiento de mecanismos de coordinación interna y externa, así como la comunicación con los beneficiarios. La fase de implementación incluye la contratación de proveedores de servicios, la identificación y registro de los beneficiarios, así como la realización de distribuciones y </w:t>
      </w:r>
      <w:r w:rsidR="002757AF" w:rsidRPr="007E5C60">
        <w:rPr>
          <w:lang w:val="es-ES"/>
        </w:rPr>
        <w:t xml:space="preserve">la </w:t>
      </w:r>
      <w:r w:rsidR="006314C8" w:rsidRPr="007E5C60">
        <w:rPr>
          <w:lang w:val="es-ES"/>
        </w:rPr>
        <w:t>conversión a efectivo.</w:t>
      </w:r>
      <w:r w:rsidR="00A65F4A" w:rsidRPr="007E5C60">
        <w:rPr>
          <w:lang w:val="es-ES"/>
        </w:rPr>
        <w:t xml:space="preserve"> </w:t>
      </w:r>
      <w:r w:rsidR="007E5C60" w:rsidRPr="007E5C60">
        <w:rPr>
          <w:color w:val="4F81BD" w:themeColor="accent1"/>
          <w:lang w:val="es-ES"/>
        </w:rPr>
        <w:t xml:space="preserve"> </w:t>
      </w:r>
    </w:p>
    <w:p w14:paraId="74C40139" w14:textId="77777777" w:rsidR="006314C8" w:rsidRPr="007E5C60" w:rsidRDefault="006314C8" w:rsidP="001A66AE">
      <w:pPr>
        <w:rPr>
          <w:lang w:val="es-ES"/>
        </w:rPr>
      </w:pPr>
    </w:p>
    <w:p w14:paraId="48A2AC3D" w14:textId="366B0857" w:rsidR="000C4E88" w:rsidRPr="007E5C60" w:rsidRDefault="006314C8" w:rsidP="001A66AE">
      <w:pPr>
        <w:rPr>
          <w:color w:val="4F81BD" w:themeColor="accent1"/>
        </w:rPr>
      </w:pPr>
      <w:r w:rsidRPr="007E5C60">
        <w:rPr>
          <w:shd w:val="clear" w:color="auto" w:fill="FFFFFF"/>
          <w:lang w:val="es-ES" w:eastAsia="it-IT"/>
        </w:rPr>
        <w:t xml:space="preserve">A efectos de la </w:t>
      </w:r>
      <w:r w:rsidR="00A65F4A" w:rsidRPr="007E5C60">
        <w:rPr>
          <w:shd w:val="clear" w:color="auto" w:fill="FFFFFF"/>
          <w:lang w:val="es-ES" w:eastAsia="it-IT"/>
        </w:rPr>
        <w:t>c</w:t>
      </w:r>
      <w:r w:rsidRPr="007E5C60">
        <w:rPr>
          <w:shd w:val="clear" w:color="auto" w:fill="FFFFFF"/>
          <w:lang w:val="es-ES" w:eastAsia="it-IT"/>
        </w:rPr>
        <w:t xml:space="preserve">aja de herramientas para PTE, el proceso de diseño e implementación se ha dividido en etapas y sub-etapas. Cada sub-etapa se ha asociado con herramientas seleccionadas por su potencial para ser adaptadas y utilizadas en diferentes contextos y programas de transferencias de efectivo, por distintas organizaciones. Para adaptar las herramientas a un determinado contexto y necesidades, puede obtenerse </w:t>
      </w:r>
      <w:r w:rsidR="007E5C60" w:rsidRPr="007E5C60">
        <w:rPr>
          <w:shd w:val="clear" w:color="auto" w:fill="FFFFFF"/>
          <w:lang w:val="es-ES" w:eastAsia="it-IT"/>
        </w:rPr>
        <w:t xml:space="preserve"> o</w:t>
      </w:r>
      <w:r w:rsidRPr="007E5C60">
        <w:rPr>
          <w:shd w:val="clear" w:color="auto" w:fill="FFFFFF"/>
          <w:lang w:val="es-ES" w:eastAsia="it-IT"/>
        </w:rPr>
        <w:t xml:space="preserve">rientación en los documentos de referencia sugeridos tanto a nivel de módulo como de etapa. </w:t>
      </w:r>
    </w:p>
    <w:p w14:paraId="314FC05D" w14:textId="77777777" w:rsidR="006314C8" w:rsidRPr="007E5C60" w:rsidRDefault="006314C8" w:rsidP="001A66AE"/>
    <w:p w14:paraId="7D634801" w14:textId="432BBAA9" w:rsidR="00557AB7" w:rsidRPr="007E5C60" w:rsidRDefault="006314C8" w:rsidP="007E5C60">
      <w:pPr>
        <w:rPr>
          <w:color w:val="4F81BD" w:themeColor="accent1"/>
        </w:rPr>
      </w:pPr>
      <w:r w:rsidRPr="007E5C60">
        <w:rPr>
          <w:lang w:val="es-ES"/>
        </w:rPr>
        <w:t xml:space="preserve">Las etapas y sub-etapas son indicativas y no necesariamente consecutivas. Puede ser necesario moverse hacia atrás y hacia delante para lograr los resultados deseados. En ocasiones, puede incluso ser necesario saltarse etapas o sub-etapas, debido a limitaciones de tiempo o de recursos, frecuentes en contextos de emergencia. En todo caso, deben cumplirse al menos los estándares mínimos fijados en el módulo de diseño e implementación. Para cada etapa se proponen también unos estándares mínimos que sirven de guía para ayudar a decidir en qué centrarse. </w:t>
      </w:r>
    </w:p>
    <w:p w14:paraId="6E05D942" w14:textId="77777777" w:rsidR="00D82803" w:rsidRPr="007E5C60" w:rsidRDefault="00D82803" w:rsidP="00D82803">
      <w:pPr>
        <w:pStyle w:val="Heading2"/>
        <w:rPr>
          <w:rFonts w:cs="Arial"/>
          <w:color w:val="4F81BD" w:themeColor="accent1"/>
        </w:rPr>
      </w:pPr>
      <w:r w:rsidRPr="007E5C60">
        <w:rPr>
          <w:rFonts w:cs="Arial"/>
        </w:rPr>
        <w:t xml:space="preserve">ESTÁNDARES MÍNIMOS </w:t>
      </w:r>
      <w:r w:rsidRPr="007E5C60">
        <w:rPr>
          <w:rFonts w:cs="Arial"/>
          <w:color w:val="4F81BD" w:themeColor="accent1"/>
        </w:rPr>
        <w:t xml:space="preserve"> </w:t>
      </w:r>
    </w:p>
    <w:p w14:paraId="59E25FD6" w14:textId="7FA4C30D" w:rsidR="00A16981" w:rsidRPr="00452E18" w:rsidRDefault="00D82803" w:rsidP="00D82803">
      <w:pPr>
        <w:pStyle w:val="Bullet1"/>
        <w:rPr>
          <w:color w:val="auto"/>
        </w:rPr>
      </w:pPr>
      <w:r w:rsidRPr="00452E18">
        <w:rPr>
          <w:color w:val="auto"/>
          <w:lang w:val="es-ES"/>
        </w:rPr>
        <w:t xml:space="preserve">Desarrollar </w:t>
      </w:r>
      <w:r w:rsidR="00821BEB" w:rsidRPr="00452E18">
        <w:rPr>
          <w:color w:val="auto"/>
          <w:lang w:val="es-ES"/>
        </w:rPr>
        <w:t xml:space="preserve">un </w:t>
      </w:r>
      <w:r w:rsidRPr="00452E18">
        <w:rPr>
          <w:color w:val="auto"/>
          <w:lang w:val="es-ES"/>
        </w:rPr>
        <w:t xml:space="preserve">plan de acción detallado que incluya un marco lógico con indicadores verificables para cada resultado esperado y para el objetivo. </w:t>
      </w:r>
    </w:p>
    <w:p w14:paraId="5C836F67" w14:textId="6EDBCBDF" w:rsidR="00A16981" w:rsidRPr="00452E18" w:rsidRDefault="00A855BE" w:rsidP="001A66AE">
      <w:pPr>
        <w:pStyle w:val="Bullet1"/>
        <w:rPr>
          <w:color w:val="auto"/>
        </w:rPr>
      </w:pPr>
      <w:r w:rsidRPr="00452E18">
        <w:rPr>
          <w:color w:val="auto"/>
          <w:lang w:val="es-ES"/>
        </w:rPr>
        <w:t>Definir los roles y responsabilidades en línea con los pro</w:t>
      </w:r>
      <w:r w:rsidR="006F3D34" w:rsidRPr="00452E18">
        <w:rPr>
          <w:color w:val="auto"/>
          <w:lang w:val="es-ES"/>
        </w:rPr>
        <w:t xml:space="preserve">cedimientos operativos estándares </w:t>
      </w:r>
      <w:r w:rsidRPr="00452E18">
        <w:rPr>
          <w:color w:val="auto"/>
          <w:lang w:val="es-ES"/>
        </w:rPr>
        <w:t xml:space="preserve"> existentes y de acuerdo con </w:t>
      </w:r>
      <w:r w:rsidR="00821BEB" w:rsidRPr="00452E18">
        <w:rPr>
          <w:color w:val="auto"/>
          <w:lang w:val="es-ES"/>
        </w:rPr>
        <w:t xml:space="preserve">los </w:t>
      </w:r>
      <w:r w:rsidRPr="00452E18">
        <w:rPr>
          <w:color w:val="auto"/>
          <w:lang w:val="es-ES"/>
        </w:rPr>
        <w:t>asociados</w:t>
      </w:r>
      <w:r w:rsidR="00821BEB" w:rsidRPr="00452E18">
        <w:rPr>
          <w:color w:val="auto"/>
          <w:lang w:val="es-ES"/>
        </w:rPr>
        <w:t xml:space="preserve"> externos</w:t>
      </w:r>
      <w:r w:rsidRPr="00452E18">
        <w:rPr>
          <w:color w:val="auto"/>
          <w:lang w:val="es-ES"/>
        </w:rPr>
        <w:t>, incluido el gobierno. </w:t>
      </w:r>
    </w:p>
    <w:p w14:paraId="08320757" w14:textId="2076B210" w:rsidR="007353CA" w:rsidRPr="00452E18" w:rsidRDefault="00A855BE" w:rsidP="00A855B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Puesta en marcha de un mecanismo de coordinación interna a fin de implicar activamente a cada unidad en el proceso de diseño e implementación de PTE. </w:t>
      </w:r>
      <w:r w:rsidR="007E5C60" w:rsidRPr="00452E18">
        <w:rPr>
          <w:color w:val="auto"/>
          <w:lang w:val="es-ES"/>
        </w:rPr>
        <w:t xml:space="preserve"> </w:t>
      </w:r>
    </w:p>
    <w:p w14:paraId="716B4D2B" w14:textId="1A0B2961" w:rsidR="00514690" w:rsidRPr="00452E18" w:rsidRDefault="00A855BE" w:rsidP="00A855B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Asegurar la participación en los mecanismos de coordinación externos existentes, a fin de armonizar enfoques, evitar duplicidades y omisiones, y compartir experiencias. </w:t>
      </w:r>
      <w:r w:rsidR="007E5C60" w:rsidRPr="00452E18">
        <w:rPr>
          <w:color w:val="auto"/>
          <w:lang w:val="es-ES"/>
        </w:rPr>
        <w:t xml:space="preserve"> </w:t>
      </w:r>
    </w:p>
    <w:p w14:paraId="4B8F7488" w14:textId="45D66CE6" w:rsidR="00A16981" w:rsidRPr="00452E18" w:rsidRDefault="00A855BE" w:rsidP="001A66A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Desarrollar un sistema de comunicación y rendición de cuentas a los beneficiarios con una clara definición de roles y responsabilidades. </w:t>
      </w:r>
      <w:r w:rsidR="007E5C60" w:rsidRPr="00452E18">
        <w:rPr>
          <w:color w:val="auto"/>
          <w:lang w:val="es-ES"/>
        </w:rPr>
        <w:t xml:space="preserve"> </w:t>
      </w:r>
    </w:p>
    <w:p w14:paraId="79CC2D47" w14:textId="38101160" w:rsidR="00BF0392" w:rsidRPr="00452E18" w:rsidRDefault="00D63BDE" w:rsidP="00A855B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A la hora de seleccionar y contratar a los proveedores de servicios, implicar a los equipos de finanzas y logística, </w:t>
      </w:r>
      <w:r w:rsidR="00A855BE" w:rsidRPr="00452E18">
        <w:rPr>
          <w:color w:val="auto"/>
          <w:lang w:val="es-ES"/>
        </w:rPr>
        <w:t xml:space="preserve">y respetar los términos contractuales y condiciones generales de la organización. </w:t>
      </w:r>
      <w:r w:rsidR="007E5C60" w:rsidRPr="00452E18">
        <w:rPr>
          <w:color w:val="auto"/>
          <w:lang w:val="es-ES"/>
        </w:rPr>
        <w:t xml:space="preserve"> </w:t>
      </w:r>
    </w:p>
    <w:p w14:paraId="3112E9E8" w14:textId="0B34304A" w:rsidR="00A16981" w:rsidRPr="00452E18" w:rsidRDefault="00D63BDE" w:rsidP="00D63BD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lastRenderedPageBreak/>
        <w:t xml:space="preserve">Registrar sólo aquellos que son elegibles para recibir la transferencia y asegurar que la identificación de beneficiarios cumple con la regulación financiera nacional. </w:t>
      </w:r>
      <w:r w:rsidR="007E5C60" w:rsidRPr="00452E18">
        <w:rPr>
          <w:color w:val="auto"/>
          <w:lang w:val="es-ES"/>
        </w:rPr>
        <w:t xml:space="preserve"> </w:t>
      </w:r>
    </w:p>
    <w:p w14:paraId="53FFBC4A" w14:textId="20E4ED69" w:rsidR="00C00CF4" w:rsidRPr="00452E18" w:rsidRDefault="00D63BDE" w:rsidP="00D63BD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Verificar la lista de beneficiarios mediante visitas aleatorias a los hogares o cualquier otro medio apropiado. </w:t>
      </w:r>
      <w:r w:rsidR="007E5C60" w:rsidRPr="00452E18">
        <w:rPr>
          <w:color w:val="auto"/>
          <w:lang w:val="es-ES"/>
        </w:rPr>
        <w:t xml:space="preserve"> </w:t>
      </w:r>
    </w:p>
    <w:p w14:paraId="480B8A1C" w14:textId="5A86E0F2" w:rsidR="00A16981" w:rsidRPr="00452E18" w:rsidRDefault="00D63BDE" w:rsidP="00D63BDE">
      <w:pPr>
        <w:pStyle w:val="Bullet1"/>
        <w:rPr>
          <w:color w:val="auto"/>
          <w:lang w:val="es-ES"/>
        </w:rPr>
      </w:pPr>
      <w:r w:rsidRPr="00452E18">
        <w:rPr>
          <w:color w:val="auto"/>
          <w:lang w:val="es-ES"/>
        </w:rPr>
        <w:t xml:space="preserve">Verificar a nivel local que los planes de conversión a efectivo son consistentes con la ubicación y capacidad del proveedor de servicios. </w:t>
      </w:r>
      <w:r w:rsidR="007E5C60" w:rsidRPr="00452E18">
        <w:rPr>
          <w:color w:val="auto"/>
          <w:lang w:val="es-ES"/>
        </w:rPr>
        <w:t xml:space="preserve"> </w:t>
      </w:r>
    </w:p>
    <w:p w14:paraId="5DB00A23" w14:textId="0DC8E476" w:rsidR="00E922F6" w:rsidRPr="007E5C60" w:rsidRDefault="00D63BDE" w:rsidP="00D63BDE">
      <w:pPr>
        <w:pStyle w:val="Bullet1"/>
        <w:rPr>
          <w:lang w:val="es-ES"/>
        </w:rPr>
      </w:pPr>
      <w:r w:rsidRPr="00452E18">
        <w:rPr>
          <w:color w:val="auto"/>
          <w:lang w:val="es-ES"/>
        </w:rPr>
        <w:t xml:space="preserve">En el caso de dinero por trabajo, es necesario garantizar que las condiciones de trabajo son culturalmente apropiadas y están en consonancia con la capacidad “física” de los trabajadores, y que los salarios </w:t>
      </w:r>
      <w:r w:rsidRPr="007E5C60">
        <w:rPr>
          <w:lang w:val="es-ES"/>
        </w:rPr>
        <w:t xml:space="preserve">reflejan la legislación local. </w:t>
      </w:r>
      <w:r w:rsidR="007E5C60" w:rsidRPr="007E5C60">
        <w:rPr>
          <w:color w:val="4F81BD" w:themeColor="accent1"/>
          <w:lang w:val="es-ES"/>
        </w:rPr>
        <w:t xml:space="preserve"> </w:t>
      </w:r>
    </w:p>
    <w:p w14:paraId="6A500DB5" w14:textId="26167900" w:rsidR="00D528AB" w:rsidRPr="007E5C60" w:rsidRDefault="00757207" w:rsidP="00EB4702">
      <w:pPr>
        <w:pStyle w:val="Heading2"/>
        <w:rPr>
          <w:lang w:val="es-ES"/>
        </w:rPr>
      </w:pPr>
      <w:r w:rsidRPr="007E5C60">
        <w:rPr>
          <w:lang w:val="es-ES"/>
        </w:rPr>
        <w:t xml:space="preserve">ETAPAS Y SUB-ETAPAS </w:t>
      </w:r>
    </w:p>
    <w:p w14:paraId="59B2C4E8" w14:textId="699335DA" w:rsidR="007E5C60" w:rsidRPr="007E5C60" w:rsidRDefault="00757207" w:rsidP="001A66AE">
      <w:pPr>
        <w:rPr>
          <w:color w:val="4F81BD" w:themeColor="accent1"/>
          <w:lang w:val="es-ES"/>
        </w:rPr>
      </w:pPr>
      <w:r w:rsidRPr="007E5C60">
        <w:rPr>
          <w:lang w:val="es-ES"/>
        </w:rPr>
        <w:t>La caja de herramientas para PTE en emergencias propone cinco pasos para diseñar e implementar PTE en emergencias</w:t>
      </w:r>
      <w:r w:rsidRPr="007E5C60">
        <w:rPr>
          <w:color w:val="4F81BD" w:themeColor="accent1"/>
          <w:lang w:val="es-ES"/>
        </w:rPr>
        <w:t xml:space="preserve">. </w:t>
      </w:r>
      <w:r w:rsidRPr="007E5C60">
        <w:rPr>
          <w:rFonts w:ascii="Arial Bold" w:hAnsi="Arial Bold" w:cs="Arial"/>
          <w:lang w:val="es-ES"/>
        </w:rPr>
        <w:t xml:space="preserve">Esta caja de herramientas pone a disposición del usuario recursos que pueden ayudar a: </w:t>
      </w:r>
      <w:r w:rsidR="007E5C60" w:rsidRPr="007E5C60">
        <w:rPr>
          <w:color w:val="4F81BD" w:themeColor="accent1"/>
          <w:lang w:val="es-ES"/>
        </w:rPr>
        <w:t xml:space="preserve"> </w:t>
      </w:r>
    </w:p>
    <w:p w14:paraId="2DA1FC6D" w14:textId="30B6A2E0" w:rsidR="00D528AB" w:rsidRPr="007E5C60" w:rsidRDefault="00757207" w:rsidP="001A66AE">
      <w:pPr>
        <w:rPr>
          <w:color w:val="4F81BD" w:themeColor="accent1"/>
          <w:lang w:val="es-ES"/>
        </w:rPr>
      </w:pPr>
      <w:r w:rsidRPr="007E5C60">
        <w:rPr>
          <w:b/>
          <w:lang w:val="es-ES"/>
        </w:rPr>
        <w:t xml:space="preserve">Diseñar el programa de PTE, </w:t>
      </w:r>
      <w:r w:rsidRPr="007E5C60">
        <w:rPr>
          <w:lang w:val="es-ES"/>
        </w:rPr>
        <w:t xml:space="preserve">empezando por el desarrollo de un plan operativo consistente, una estrategia general detallada, objetivos, estructura sobre el terreno, recursos, costes, resultados esperados y objetivos. En esta fase, también se deben establecer </w:t>
      </w:r>
      <w:r w:rsidR="00E00C3E" w:rsidRPr="007E5C60">
        <w:rPr>
          <w:lang w:val="es-ES"/>
        </w:rPr>
        <w:t xml:space="preserve">los </w:t>
      </w:r>
      <w:r w:rsidRPr="007E5C60">
        <w:rPr>
          <w:lang w:val="es-ES"/>
        </w:rPr>
        <w:t xml:space="preserve">sistemas de coordinación interna y externa, que son clave para el éxito de </w:t>
      </w:r>
      <w:r w:rsidR="00E00C3E" w:rsidRPr="007E5C60">
        <w:rPr>
          <w:lang w:val="es-ES"/>
        </w:rPr>
        <w:t>los PTE</w:t>
      </w:r>
      <w:r w:rsidRPr="007E5C60">
        <w:rPr>
          <w:b/>
          <w:lang w:val="es-ES"/>
        </w:rPr>
        <w:t>.</w:t>
      </w:r>
      <w:r w:rsidR="00E00C3E" w:rsidRPr="007E5C60">
        <w:rPr>
          <w:b/>
          <w:lang w:val="es-ES"/>
        </w:rPr>
        <w:t xml:space="preserve"> </w:t>
      </w:r>
      <w:r w:rsidR="007E5C60" w:rsidRPr="007E5C60">
        <w:rPr>
          <w:b/>
          <w:color w:val="4F81BD" w:themeColor="accent1"/>
          <w:lang w:val="es-ES"/>
        </w:rPr>
        <w:t xml:space="preserve"> </w:t>
      </w:r>
    </w:p>
    <w:p w14:paraId="3A5DACC0" w14:textId="5D35B478" w:rsidR="000F0CF2" w:rsidRPr="007E5C60" w:rsidRDefault="00E00C3E" w:rsidP="001A66AE">
      <w:pPr>
        <w:rPr>
          <w:color w:val="4F81BD" w:themeColor="accent1"/>
          <w:lang w:val="es-ES"/>
        </w:rPr>
      </w:pPr>
      <w:r w:rsidRPr="007E5C60">
        <w:rPr>
          <w:rFonts w:cs="Franklin Gothic Book"/>
          <w:b/>
          <w:color w:val="000000"/>
          <w:lang w:val="es-ES"/>
        </w:rPr>
        <w:t xml:space="preserve">Comunicarse con y rendir cuentas a los beneficiarios.  </w:t>
      </w:r>
      <w:r w:rsidR="00B015B3" w:rsidRPr="007E5C60">
        <w:rPr>
          <w:rFonts w:cs="Franklin Gothic Book"/>
          <w:color w:val="000000"/>
          <w:lang w:val="es-ES"/>
        </w:rPr>
        <w:t>De nuevo</w:t>
      </w:r>
      <w:r w:rsidRPr="007E5C60">
        <w:rPr>
          <w:rFonts w:cs="Franklin Gothic Book"/>
          <w:color w:val="000000"/>
          <w:lang w:val="es-ES"/>
        </w:rPr>
        <w:t xml:space="preserve">, se inicia con el desarrollo de un plan para definir el enfoque que el PTE empleará para comunicarse con las comunidades. Este plan debe incluir la capacitación del personal y la selección de los canales y herramientas de comunicación, el desarrollo de mensajes para cada una de las diferentes audiencias diana, así como el diseño y puesta en marcha de un mecanismo de retroalimentación. La revisión y el aprendizaje también deben ser parte de la comunicación y rendición de cuentas a los beneficiarios, ya sea como una actividad independiente o como parte de una revisión general del programa. </w:t>
      </w:r>
      <w:r w:rsidR="007E5C60" w:rsidRPr="007E5C60">
        <w:rPr>
          <w:rFonts w:cs="Franklin Gothic Book"/>
          <w:b/>
          <w:color w:val="4F81BD" w:themeColor="accent1"/>
          <w:lang w:val="es-ES"/>
        </w:rPr>
        <w:t xml:space="preserve"> </w:t>
      </w:r>
    </w:p>
    <w:p w14:paraId="36B922B5" w14:textId="2DFC7AF5" w:rsidR="00D528AB" w:rsidRPr="007E5C60" w:rsidRDefault="00E00C3E" w:rsidP="001A66AE">
      <w:pPr>
        <w:rPr>
          <w:color w:val="4F81BD" w:themeColor="accent1"/>
          <w:lang w:val="es-ES"/>
        </w:rPr>
      </w:pPr>
      <w:r w:rsidRPr="007E5C60">
        <w:rPr>
          <w:b/>
          <w:lang w:val="es-ES"/>
        </w:rPr>
        <w:t xml:space="preserve">Seleccionar y contratar proveedores de servicios </w:t>
      </w:r>
      <w:r w:rsidR="004C56A9" w:rsidRPr="007E5C60">
        <w:rPr>
          <w:lang w:val="es-ES"/>
        </w:rPr>
        <w:t>para distribuir el efectivo a los beneficiarios. Est</w:t>
      </w:r>
      <w:r w:rsidR="00B015B3" w:rsidRPr="007E5C60">
        <w:rPr>
          <w:lang w:val="es-ES"/>
        </w:rPr>
        <w:t>a etapa</w:t>
      </w:r>
      <w:r w:rsidR="004C56A9" w:rsidRPr="007E5C60">
        <w:rPr>
          <w:lang w:val="es-ES"/>
        </w:rPr>
        <w:t xml:space="preserve"> puede requerir un análisis en profundidad y personal experto que trabaje en colaboración con los equipos de finanzas y logística. Dependiendo de la complejidad del sector de proveedores de servicios, </w:t>
      </w:r>
      <w:r w:rsidR="00B015B3" w:rsidRPr="007E5C60">
        <w:rPr>
          <w:lang w:val="es-ES"/>
        </w:rPr>
        <w:t xml:space="preserve">esta etapa </w:t>
      </w:r>
      <w:r w:rsidR="004C56A9" w:rsidRPr="007E5C60">
        <w:rPr>
          <w:lang w:val="es-ES"/>
        </w:rPr>
        <w:t xml:space="preserve">puede comenzar durante la fase de evaluación, ya que se podrían aprovechar los conocimientos adquiridos entonces.  El proceso incluye investigar y estrechar la lista de los posibles proveedores de servicios de acuerdo con los criterios establecidos, la realización de un proceso de licitación y selección, para finalmente proceder a la contratación y la definición </w:t>
      </w:r>
      <w:r w:rsidR="00B015B3" w:rsidRPr="007E5C60">
        <w:rPr>
          <w:lang w:val="es-ES"/>
        </w:rPr>
        <w:t xml:space="preserve">del modo de trabajo </w:t>
      </w:r>
      <w:r w:rsidR="004C56A9" w:rsidRPr="007E5C60">
        <w:rPr>
          <w:lang w:val="es-ES"/>
        </w:rPr>
        <w:t>con los proveedores de servicios. Una cuestión importante que tiene que ser tratad</w:t>
      </w:r>
      <w:r w:rsidR="00B015B3" w:rsidRPr="007E5C60">
        <w:rPr>
          <w:lang w:val="es-ES"/>
        </w:rPr>
        <w:t>a</w:t>
      </w:r>
      <w:r w:rsidR="004C56A9" w:rsidRPr="007E5C60">
        <w:rPr>
          <w:lang w:val="es-ES"/>
        </w:rPr>
        <w:t xml:space="preserve"> a lo largo de </w:t>
      </w:r>
      <w:r w:rsidR="00B015B3" w:rsidRPr="007E5C60">
        <w:rPr>
          <w:lang w:val="es-ES"/>
        </w:rPr>
        <w:t xml:space="preserve">esta etapa </w:t>
      </w:r>
      <w:r w:rsidR="004C56A9" w:rsidRPr="007E5C60">
        <w:rPr>
          <w:lang w:val="es-ES"/>
        </w:rPr>
        <w:t xml:space="preserve">se refiere a la gestión y protección de datos de los beneficiarios, con el fin de hacer frente a los posibles riesgos relacionados con la privacidad de los beneficiarios, así como </w:t>
      </w:r>
      <w:r w:rsidR="00B015B3" w:rsidRPr="007E5C60">
        <w:rPr>
          <w:lang w:val="es-ES"/>
        </w:rPr>
        <w:t>al fraude y a</w:t>
      </w:r>
      <w:r w:rsidR="004C56A9" w:rsidRPr="007E5C60">
        <w:rPr>
          <w:lang w:val="es-ES"/>
        </w:rPr>
        <w:t>l abuso.</w:t>
      </w:r>
      <w:r w:rsidR="004C56A9" w:rsidRPr="007E5C60">
        <w:rPr>
          <w:b/>
          <w:lang w:val="es-ES"/>
        </w:rPr>
        <w:t xml:space="preserve"> </w:t>
      </w:r>
      <w:r w:rsidR="007E5C60" w:rsidRPr="007E5C60">
        <w:rPr>
          <w:b/>
          <w:color w:val="4F81BD" w:themeColor="accent1"/>
          <w:lang w:val="es-ES"/>
        </w:rPr>
        <w:t xml:space="preserve"> </w:t>
      </w:r>
    </w:p>
    <w:p w14:paraId="5F168529" w14:textId="5D669AF4" w:rsidR="00914B51" w:rsidRPr="007E5C60" w:rsidRDefault="00B015B3" w:rsidP="001A66AE">
      <w:pPr>
        <w:rPr>
          <w:color w:val="4F81BD" w:themeColor="accent1"/>
          <w:lang w:val="es-ES"/>
        </w:rPr>
      </w:pPr>
      <w:r w:rsidRPr="007E5C60">
        <w:rPr>
          <w:b/>
          <w:lang w:val="es-ES"/>
        </w:rPr>
        <w:t xml:space="preserve">Registrar e identificar a los </w:t>
      </w:r>
      <w:r w:rsidR="009A1764" w:rsidRPr="007E5C60">
        <w:rPr>
          <w:b/>
          <w:lang w:val="es-ES"/>
        </w:rPr>
        <w:t>beneficiarios</w:t>
      </w:r>
      <w:r w:rsidRPr="007E5C60">
        <w:rPr>
          <w:lang w:val="es-ES"/>
        </w:rPr>
        <w:t xml:space="preserve">. Estos dos procesos están estrechamente interconectados, ya que es durante el registro cuando se crea un vínculo entre cada beneficiario y un identificador único. Antes de llevar a cabo el registro, se ha de verificar la lista de beneficiarios, por ejemplo, por medio de visitas aleatorias a los hogares, a fin de minimizar errores </w:t>
      </w:r>
      <w:r w:rsidR="00F41830" w:rsidRPr="007E5C60">
        <w:rPr>
          <w:lang w:val="es-ES"/>
        </w:rPr>
        <w:t>en la selección de beneficiarios</w:t>
      </w:r>
      <w:r w:rsidRPr="007E5C60">
        <w:rPr>
          <w:lang w:val="es-ES"/>
        </w:rPr>
        <w:t>. Con el fin de garantizar un proceso de registro</w:t>
      </w:r>
      <w:r w:rsidR="00F41830" w:rsidRPr="007E5C60">
        <w:rPr>
          <w:lang w:val="es-ES"/>
        </w:rPr>
        <w:t xml:space="preserve"> fluido</w:t>
      </w:r>
      <w:r w:rsidRPr="007E5C60">
        <w:rPr>
          <w:lang w:val="es-ES"/>
        </w:rPr>
        <w:t xml:space="preserve">, </w:t>
      </w:r>
      <w:r w:rsidR="00F41830" w:rsidRPr="007E5C60">
        <w:rPr>
          <w:lang w:val="es-ES"/>
        </w:rPr>
        <w:t xml:space="preserve">deben tomarse algunas </w:t>
      </w:r>
      <w:r w:rsidRPr="007E5C60">
        <w:rPr>
          <w:lang w:val="es-ES"/>
        </w:rPr>
        <w:t>medidas preparatorias</w:t>
      </w:r>
      <w:r w:rsidR="00F41830" w:rsidRPr="007E5C60">
        <w:rPr>
          <w:lang w:val="es-ES"/>
        </w:rPr>
        <w:t>, entre las que se incluyen</w:t>
      </w:r>
      <w:r w:rsidRPr="007E5C60">
        <w:rPr>
          <w:lang w:val="es-ES"/>
        </w:rPr>
        <w:t xml:space="preserve">: </w:t>
      </w:r>
      <w:r w:rsidR="00F41830" w:rsidRPr="007E5C60">
        <w:rPr>
          <w:lang w:val="es-ES"/>
        </w:rPr>
        <w:t xml:space="preserve">decidir sobre las </w:t>
      </w:r>
      <w:r w:rsidRPr="007E5C60">
        <w:rPr>
          <w:lang w:val="es-ES"/>
        </w:rPr>
        <w:t xml:space="preserve">funciones, responsabilidades y </w:t>
      </w:r>
      <w:r w:rsidR="00F41830" w:rsidRPr="007E5C60">
        <w:rPr>
          <w:lang w:val="es-ES"/>
        </w:rPr>
        <w:t xml:space="preserve">modo </w:t>
      </w:r>
      <w:r w:rsidRPr="007E5C60">
        <w:rPr>
          <w:lang w:val="es-ES"/>
        </w:rPr>
        <w:t xml:space="preserve">de trabajo; definir el tipo y el nivel de información que debe recogerse; </w:t>
      </w:r>
      <w:r w:rsidR="00F41830" w:rsidRPr="007E5C60">
        <w:rPr>
          <w:lang w:val="es-ES"/>
        </w:rPr>
        <w:t xml:space="preserve">creación de </w:t>
      </w:r>
      <w:r w:rsidRPr="007E5C60">
        <w:rPr>
          <w:lang w:val="es-ES"/>
        </w:rPr>
        <w:t xml:space="preserve">una base de datos; </w:t>
      </w:r>
      <w:r w:rsidR="00F41830" w:rsidRPr="007E5C60">
        <w:rPr>
          <w:lang w:val="es-ES"/>
        </w:rPr>
        <w:t xml:space="preserve">desarrollo de formularios </w:t>
      </w:r>
      <w:r w:rsidRPr="007E5C60">
        <w:rPr>
          <w:lang w:val="es-ES"/>
        </w:rPr>
        <w:t xml:space="preserve">de registro; </w:t>
      </w:r>
      <w:r w:rsidR="00F41830" w:rsidRPr="007E5C60">
        <w:rPr>
          <w:lang w:val="es-ES"/>
        </w:rPr>
        <w:t xml:space="preserve">organización del </w:t>
      </w:r>
      <w:r w:rsidRPr="007E5C60">
        <w:rPr>
          <w:lang w:val="es-ES"/>
        </w:rPr>
        <w:t xml:space="preserve">registro. Durante </w:t>
      </w:r>
      <w:r w:rsidR="00F41830" w:rsidRPr="007E5C60">
        <w:rPr>
          <w:lang w:val="es-ES"/>
        </w:rPr>
        <w:t xml:space="preserve">las </w:t>
      </w:r>
      <w:r w:rsidRPr="007E5C60">
        <w:rPr>
          <w:lang w:val="es-ES"/>
        </w:rPr>
        <w:t xml:space="preserve">distribuciones </w:t>
      </w:r>
      <w:r w:rsidR="00F41830" w:rsidRPr="007E5C60">
        <w:rPr>
          <w:lang w:val="es-ES"/>
        </w:rPr>
        <w:t>o</w:t>
      </w:r>
      <w:r w:rsidRPr="007E5C60">
        <w:rPr>
          <w:lang w:val="es-ES"/>
        </w:rPr>
        <w:t xml:space="preserve"> </w:t>
      </w:r>
      <w:r w:rsidR="00F41830" w:rsidRPr="007E5C60">
        <w:rPr>
          <w:lang w:val="es-ES"/>
        </w:rPr>
        <w:t>la conversión a efectivo</w:t>
      </w:r>
      <w:r w:rsidRPr="007E5C60">
        <w:rPr>
          <w:lang w:val="es-ES"/>
        </w:rPr>
        <w:t>, los beneficiarios y</w:t>
      </w:r>
      <w:r w:rsidR="00F41830" w:rsidRPr="007E5C60">
        <w:rPr>
          <w:lang w:val="es-ES"/>
        </w:rPr>
        <w:t>/</w:t>
      </w:r>
      <w:r w:rsidRPr="007E5C60">
        <w:rPr>
          <w:lang w:val="es-ES"/>
        </w:rPr>
        <w:t>o sus representantes</w:t>
      </w:r>
      <w:r w:rsidR="009A1764" w:rsidRPr="007E5C60">
        <w:rPr>
          <w:vertAlign w:val="superscript"/>
        </w:rPr>
        <w:footnoteReference w:id="1"/>
      </w:r>
      <w:r w:rsidR="009A1764" w:rsidRPr="007E5C60">
        <w:rPr>
          <w:vertAlign w:val="superscript"/>
          <w:lang w:val="es-ES"/>
        </w:rPr>
        <w:t xml:space="preserve"> </w:t>
      </w:r>
      <w:r w:rsidR="009A1764" w:rsidRPr="007E5C60">
        <w:rPr>
          <w:lang w:val="es-ES"/>
        </w:rPr>
        <w:t xml:space="preserve"> </w:t>
      </w:r>
      <w:r w:rsidRPr="007E5C60">
        <w:rPr>
          <w:lang w:val="es-ES"/>
        </w:rPr>
        <w:t>tendrán que ser identificad</w:t>
      </w:r>
      <w:r w:rsidR="00F41830" w:rsidRPr="007E5C60">
        <w:rPr>
          <w:lang w:val="es-ES"/>
        </w:rPr>
        <w:t>o</w:t>
      </w:r>
      <w:r w:rsidRPr="007E5C60">
        <w:rPr>
          <w:lang w:val="es-ES"/>
        </w:rPr>
        <w:t xml:space="preserve">s por medio de listas </w:t>
      </w:r>
      <w:r w:rsidR="009A1764" w:rsidRPr="007E5C60">
        <w:rPr>
          <w:lang w:val="es-ES"/>
        </w:rPr>
        <w:t>comunitarias</w:t>
      </w:r>
      <w:r w:rsidRPr="007E5C60">
        <w:rPr>
          <w:lang w:val="es-ES"/>
        </w:rPr>
        <w:t xml:space="preserve">, </w:t>
      </w:r>
      <w:r w:rsidR="009A1764" w:rsidRPr="007E5C60">
        <w:rPr>
          <w:lang w:val="es-ES"/>
        </w:rPr>
        <w:t xml:space="preserve">tarjetas de </w:t>
      </w:r>
      <w:r w:rsidRPr="007E5C60">
        <w:rPr>
          <w:lang w:val="es-ES"/>
        </w:rPr>
        <w:t>identidad y otras opciones tecnológicas</w:t>
      </w:r>
      <w:r w:rsidR="009A1764" w:rsidRPr="007E5C60">
        <w:rPr>
          <w:lang w:val="es-ES"/>
        </w:rPr>
        <w:t xml:space="preserve"> disponibles</w:t>
      </w:r>
      <w:r w:rsidRPr="007E5C60">
        <w:rPr>
          <w:lang w:val="es-ES"/>
        </w:rPr>
        <w:t xml:space="preserve">. Esto asegura que la persona que se presenta para recibir la transferencia de efectivo es </w:t>
      </w:r>
      <w:r w:rsidR="009A1764" w:rsidRPr="007E5C60">
        <w:rPr>
          <w:lang w:val="es-ES"/>
        </w:rPr>
        <w:t xml:space="preserve">efectivamente </w:t>
      </w:r>
      <w:r w:rsidRPr="007E5C60">
        <w:rPr>
          <w:lang w:val="es-ES"/>
        </w:rPr>
        <w:t>un beneficiario registrado y</w:t>
      </w:r>
      <w:r w:rsidR="009A1764" w:rsidRPr="007E5C60">
        <w:rPr>
          <w:lang w:val="es-ES"/>
        </w:rPr>
        <w:t>/</w:t>
      </w:r>
      <w:r w:rsidRPr="007E5C60">
        <w:rPr>
          <w:lang w:val="es-ES"/>
        </w:rPr>
        <w:t>o su</w:t>
      </w:r>
      <w:r w:rsidR="009A1764" w:rsidRPr="007E5C60">
        <w:rPr>
          <w:lang w:val="es-ES"/>
        </w:rPr>
        <w:t xml:space="preserve"> </w:t>
      </w:r>
      <w:r w:rsidRPr="007E5C60">
        <w:rPr>
          <w:lang w:val="es-ES"/>
        </w:rPr>
        <w:t xml:space="preserve">representante. </w:t>
      </w:r>
      <w:r w:rsidR="007E5C60" w:rsidRPr="007E5C60">
        <w:rPr>
          <w:b/>
          <w:color w:val="4F81BD" w:themeColor="accent1"/>
          <w:lang w:val="es-ES"/>
        </w:rPr>
        <w:t xml:space="preserve"> </w:t>
      </w:r>
    </w:p>
    <w:p w14:paraId="7775553D" w14:textId="4CCAAF75" w:rsidR="001C34F7" w:rsidRPr="007E5C60" w:rsidRDefault="00744F86" w:rsidP="001A66AE">
      <w:pPr>
        <w:rPr>
          <w:lang w:val="es-ES"/>
        </w:rPr>
      </w:pPr>
      <w:r w:rsidRPr="007E5C60">
        <w:rPr>
          <w:b/>
          <w:lang w:val="es-ES"/>
        </w:rPr>
        <w:t>Llevar a cabo las distribuciones y</w:t>
      </w:r>
      <w:r w:rsidR="00821BEB" w:rsidRPr="007E5C60">
        <w:rPr>
          <w:b/>
          <w:lang w:val="es-ES"/>
        </w:rPr>
        <w:t xml:space="preserve"> la</w:t>
      </w:r>
      <w:r w:rsidRPr="007E5C60">
        <w:rPr>
          <w:b/>
          <w:lang w:val="es-ES"/>
        </w:rPr>
        <w:t xml:space="preserve"> conversión a efectivo.</w:t>
      </w:r>
      <w:r w:rsidRPr="007E5C60">
        <w:rPr>
          <w:lang w:val="es-ES"/>
        </w:rPr>
        <w:t xml:space="preserve"> Es conveniente capacitar y comunicarse con el personal directamente involucrado, ya sea propio o de terceros. Las distribuciones se deben planificar con antelación. Los artículos que se vayan a distribuir (cupones, tarjetas, móviles, etc.) variarán de acuerdo con el mecanismo de entrega elegido. La planificación de la conversión a efectivo debe incluir la movilización de los agentes en función de su ubicación y capacidad. Los procedimientos de ejecución de la conversión a efectivo deben basarse en los </w:t>
      </w:r>
      <w:r w:rsidR="007E5C60" w:rsidRPr="007E5C60">
        <w:rPr>
          <w:lang w:val="es-ES"/>
        </w:rPr>
        <w:t xml:space="preserve">procedimientos operativos estándares  </w:t>
      </w:r>
      <w:r w:rsidRPr="007E5C60">
        <w:rPr>
          <w:lang w:val="es-ES"/>
        </w:rPr>
        <w:t>de la agencia. La documentación requerida incluye un</w:t>
      </w:r>
      <w:r w:rsidR="00EF229F" w:rsidRPr="007E5C60">
        <w:rPr>
          <w:lang w:val="es-ES"/>
        </w:rPr>
        <w:t>a</w:t>
      </w:r>
      <w:r w:rsidRPr="007E5C60">
        <w:rPr>
          <w:lang w:val="es-ES"/>
        </w:rPr>
        <w:t xml:space="preserve"> orden </w:t>
      </w:r>
      <w:r w:rsidR="00EF229F" w:rsidRPr="007E5C60">
        <w:rPr>
          <w:lang w:val="es-ES"/>
        </w:rPr>
        <w:t xml:space="preserve">inicial de </w:t>
      </w:r>
      <w:r w:rsidRPr="007E5C60">
        <w:rPr>
          <w:lang w:val="es-ES"/>
        </w:rPr>
        <w:t xml:space="preserve">transferencia de efectivo </w:t>
      </w:r>
      <w:r w:rsidR="00EF229F" w:rsidRPr="007E5C60">
        <w:rPr>
          <w:lang w:val="es-ES"/>
        </w:rPr>
        <w:t xml:space="preserve">y los informes </w:t>
      </w:r>
      <w:r w:rsidRPr="007E5C60">
        <w:rPr>
          <w:lang w:val="es-ES"/>
        </w:rPr>
        <w:t xml:space="preserve">de conversión </w:t>
      </w:r>
      <w:r w:rsidR="00EF229F" w:rsidRPr="007E5C60">
        <w:rPr>
          <w:lang w:val="es-ES"/>
        </w:rPr>
        <w:t xml:space="preserve">a </w:t>
      </w:r>
      <w:r w:rsidRPr="007E5C60">
        <w:rPr>
          <w:lang w:val="es-ES"/>
        </w:rPr>
        <w:t xml:space="preserve">efectivo. </w:t>
      </w:r>
      <w:r w:rsidR="00EF229F" w:rsidRPr="007E5C60">
        <w:rPr>
          <w:lang w:val="es-ES"/>
        </w:rPr>
        <w:t xml:space="preserve">El </w:t>
      </w:r>
      <w:r w:rsidR="00EF229F" w:rsidRPr="007E5C60">
        <w:rPr>
          <w:lang w:val="es-ES"/>
        </w:rPr>
        <w:lastRenderedPageBreak/>
        <w:t xml:space="preserve">cierre </w:t>
      </w:r>
      <w:r w:rsidRPr="007E5C60">
        <w:rPr>
          <w:lang w:val="es-ES"/>
        </w:rPr>
        <w:t xml:space="preserve">de </w:t>
      </w:r>
      <w:r w:rsidR="00EF229F" w:rsidRPr="007E5C60">
        <w:rPr>
          <w:lang w:val="es-ES"/>
        </w:rPr>
        <w:t xml:space="preserve">la conversión a efectivo o conciliación de fondos </w:t>
      </w:r>
      <w:r w:rsidRPr="007E5C60">
        <w:rPr>
          <w:lang w:val="es-ES"/>
        </w:rPr>
        <w:t>es obligatori</w:t>
      </w:r>
      <w:r w:rsidR="00EF229F" w:rsidRPr="007E5C60">
        <w:rPr>
          <w:lang w:val="es-ES"/>
        </w:rPr>
        <w:t>a</w:t>
      </w:r>
      <w:r w:rsidRPr="007E5C60">
        <w:rPr>
          <w:lang w:val="es-ES"/>
        </w:rPr>
        <w:t xml:space="preserve"> y </w:t>
      </w:r>
      <w:r w:rsidR="00EF229F" w:rsidRPr="007E5C60">
        <w:rPr>
          <w:lang w:val="es-ES"/>
        </w:rPr>
        <w:t xml:space="preserve">se </w:t>
      </w:r>
      <w:r w:rsidRPr="007E5C60">
        <w:rPr>
          <w:lang w:val="es-ES"/>
        </w:rPr>
        <w:t xml:space="preserve">debe </w:t>
      </w:r>
      <w:r w:rsidR="00EF229F" w:rsidRPr="007E5C60">
        <w:rPr>
          <w:lang w:val="es-ES"/>
        </w:rPr>
        <w:t xml:space="preserve">realizar conjuntamente </w:t>
      </w:r>
      <w:r w:rsidRPr="007E5C60">
        <w:rPr>
          <w:lang w:val="es-ES"/>
        </w:rPr>
        <w:t xml:space="preserve">entre el </w:t>
      </w:r>
      <w:r w:rsidR="00EF229F" w:rsidRPr="007E5C60">
        <w:rPr>
          <w:lang w:val="es-ES"/>
        </w:rPr>
        <w:t xml:space="preserve">equipo del </w:t>
      </w:r>
      <w:r w:rsidRPr="007E5C60">
        <w:rPr>
          <w:lang w:val="es-ES"/>
        </w:rPr>
        <w:t>programa</w:t>
      </w:r>
      <w:r w:rsidR="00EF229F" w:rsidRPr="007E5C60">
        <w:rPr>
          <w:lang w:val="es-ES"/>
        </w:rPr>
        <w:t xml:space="preserve"> y los de </w:t>
      </w:r>
      <w:r w:rsidRPr="007E5C60">
        <w:rPr>
          <w:lang w:val="es-ES"/>
        </w:rPr>
        <w:t xml:space="preserve">finanzas </w:t>
      </w:r>
      <w:r w:rsidR="00EF229F" w:rsidRPr="007E5C60">
        <w:rPr>
          <w:lang w:val="es-ES"/>
        </w:rPr>
        <w:t xml:space="preserve">y </w:t>
      </w:r>
      <w:r w:rsidRPr="007E5C60">
        <w:rPr>
          <w:lang w:val="es-ES"/>
        </w:rPr>
        <w:t>logística.</w:t>
      </w:r>
      <w:r>
        <w:rPr>
          <w:b/>
          <w:lang w:val="es-ES"/>
        </w:rPr>
        <w:t xml:space="preserve"> </w:t>
      </w:r>
      <w:r w:rsidR="007E5C60" w:rsidRPr="007E5C60">
        <w:rPr>
          <w:b/>
          <w:color w:val="4F81BD" w:themeColor="accent1"/>
          <w:lang w:val="es-ES"/>
        </w:rPr>
        <w:t xml:space="preserve"> </w:t>
      </w:r>
    </w:p>
    <w:p w14:paraId="6AFC497B" w14:textId="77777777" w:rsidR="005B24AE" w:rsidRPr="007E5C60" w:rsidRDefault="005B24AE" w:rsidP="006642BE">
      <w:pPr>
        <w:rPr>
          <w:lang w:val="es-ES"/>
        </w:rPr>
      </w:pPr>
    </w:p>
    <w:tbl>
      <w:tblPr>
        <w:tblStyle w:val="TableGray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B24AE" w14:paraId="421CD177" w14:textId="77777777" w:rsidTr="005B24AE">
        <w:tc>
          <w:tcPr>
            <w:tcW w:w="9848" w:type="dxa"/>
          </w:tcPr>
          <w:p w14:paraId="320328BD" w14:textId="76CCA9BB" w:rsidR="005B24AE" w:rsidRPr="00EF229F" w:rsidRDefault="00EF229F" w:rsidP="005B24AE">
            <w:pPr>
              <w:pStyle w:val="RefTitre"/>
              <w:keepNext/>
              <w:keepLines/>
              <w:pageBreakBefore/>
              <w:rPr>
                <w:color w:val="FF0000"/>
                <w:lang w:val="es-ES"/>
              </w:rPr>
            </w:pPr>
            <w:r w:rsidRPr="00EF229F">
              <w:rPr>
                <w:lang w:val="es-ES"/>
              </w:rPr>
              <w:lastRenderedPageBreak/>
              <w:t xml:space="preserve">DOCUMENTOS DE REFERENCIA  </w:t>
            </w:r>
            <w:r w:rsidR="007E5C60">
              <w:rPr>
                <w:color w:val="FF0000"/>
                <w:lang w:val="es-ES"/>
              </w:rPr>
              <w:t xml:space="preserve"> </w:t>
            </w:r>
          </w:p>
          <w:p w14:paraId="3E3EAE0E" w14:textId="77777777" w:rsidR="005B24AE" w:rsidRPr="00514690" w:rsidRDefault="005B24AE" w:rsidP="005B24AE">
            <w:pPr>
              <w:pStyle w:val="RefItem1"/>
              <w:keepNext/>
              <w:keepLines/>
              <w:pageBreakBefore/>
            </w:pPr>
            <w:r w:rsidRPr="00514690">
              <w:t xml:space="preserve">Guidelines for Cash Transfer Programming - International Red Cross and Red Crescent Movement. </w:t>
            </w:r>
            <w:hyperlink r:id="rId8" w:history="1">
              <w:r w:rsidRPr="00EB4702">
                <w:rPr>
                  <w:rStyle w:val="Hyperlink"/>
                </w:rPr>
                <w:t>http://www.ifrc.org/Global/Publications/disasters/finance/cash-guidelines-en.pdf</w:t>
              </w:r>
            </w:hyperlink>
          </w:p>
          <w:p w14:paraId="05A82F4C" w14:textId="77777777" w:rsidR="005B24AE" w:rsidRPr="00C45C63" w:rsidRDefault="005B24AE" w:rsidP="005B24AE">
            <w:pPr>
              <w:pStyle w:val="RefItem1"/>
              <w:keepNext/>
              <w:keepLines/>
              <w:pageBreakBefore/>
            </w:pPr>
            <w:r w:rsidRPr="00514690">
              <w:t xml:space="preserve">Implementing Cash-Based Interventions. </w:t>
            </w:r>
            <w:r w:rsidRPr="00C45C63">
              <w:t>Action Contre la Faim (2007)</w:t>
            </w:r>
            <w:r w:rsidRPr="00C45C63">
              <w:rPr>
                <w:color w:val="0000FF"/>
                <w:u w:val="single"/>
              </w:rPr>
              <w:t xml:space="preserve"> </w:t>
            </w:r>
            <w:hyperlink r:id="rId9" w:history="1">
              <w:r w:rsidRPr="00C45C63">
                <w:rPr>
                  <w:rStyle w:val="Hyperlink"/>
                </w:rPr>
                <w:t>http://www.actionagainsthunger.org.uk/resource-centre/online-library/detail/media/implementing-cash-based-interventions-a-guideline-for-aid-workers/</w:t>
              </w:r>
            </w:hyperlink>
          </w:p>
          <w:p w14:paraId="202B32C7" w14:textId="77777777" w:rsidR="005B24AE" w:rsidRPr="00514690" w:rsidRDefault="005B24AE" w:rsidP="005B24AE">
            <w:pPr>
              <w:pStyle w:val="RefItem1"/>
              <w:keepNext/>
              <w:keepLines/>
              <w:pageBreakBefore/>
            </w:pPr>
            <w:r w:rsidRPr="00514690">
              <w:t xml:space="preserve">Guidelines for Cash Interventions in Somalia. Horn Relief (2010) </w:t>
            </w:r>
            <w:hyperlink r:id="rId10" w:history="1">
              <w:r>
                <w:rPr>
                  <w:rStyle w:val="Hyperlink"/>
                </w:rPr>
                <w:t>http://www.adesoafrica.org/wp-content/uploads/2012/01/horn-relief-guidelines-for-cash-interventions-in-somalia-september-2010.pdf</w:t>
              </w:r>
            </w:hyperlink>
          </w:p>
          <w:p w14:paraId="3447D0AA" w14:textId="53CFEB28" w:rsidR="005B24AE" w:rsidRDefault="00452E18" w:rsidP="005B24AE">
            <w:pPr>
              <w:pStyle w:val="RefItem1"/>
              <w:keepNext/>
              <w:keepLines/>
              <w:pageBreakBefore/>
            </w:pPr>
            <w:r w:rsidRPr="00452E18">
              <w:t xml:space="preserve">Programas de transferencias de efectivo: Informe de buenas prácticas. Humanitarian Practice Network (2011) </w:t>
            </w:r>
            <w:r w:rsidRPr="00452E18">
              <w:rPr>
                <w:rStyle w:val="Hyperlink"/>
              </w:rPr>
              <w:t>http://cashlearning.org/downloads/resources/guidelines/GPR%2011%20crc%20ES%20V1%20.pdf</w:t>
            </w:r>
          </w:p>
        </w:tc>
      </w:tr>
    </w:tbl>
    <w:p w14:paraId="6B9BEABE" w14:textId="77777777" w:rsidR="005B24AE" w:rsidRDefault="005B24AE" w:rsidP="005B24AE">
      <w:pPr>
        <w:keepNext/>
        <w:keepLines/>
      </w:pPr>
    </w:p>
    <w:p w14:paraId="57896CFD" w14:textId="77777777" w:rsidR="005B24AE" w:rsidRDefault="005B24AE" w:rsidP="005B24AE">
      <w:pPr>
        <w:keepNext/>
        <w:keepLines/>
      </w:pPr>
      <w:bookmarkStart w:id="0" w:name="_GoBack"/>
      <w:bookmarkEnd w:id="0"/>
    </w:p>
    <w:sectPr w:rsidR="005B24AE" w:rsidSect="001A66A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CE24" w14:textId="77777777" w:rsidR="00AE446C" w:rsidRDefault="00AE446C" w:rsidP="00752615">
      <w:pPr>
        <w:spacing w:after="0"/>
      </w:pPr>
      <w:r>
        <w:separator/>
      </w:r>
    </w:p>
  </w:endnote>
  <w:endnote w:type="continuationSeparator" w:id="0">
    <w:p w14:paraId="37749CC4" w14:textId="77777777" w:rsidR="00AE446C" w:rsidRDefault="00AE446C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79F2" w14:textId="77777777" w:rsidR="008843FD" w:rsidRDefault="008843FD" w:rsidP="00752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DF8E7" w14:textId="77777777" w:rsidR="008843FD" w:rsidRDefault="008843FD" w:rsidP="007526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4527" w14:textId="5FA0AB87" w:rsidR="001A66AE" w:rsidRPr="00B45C74" w:rsidRDefault="001A66A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C2503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5D54B6B" w14:textId="27BE34B5" w:rsidR="008843FD" w:rsidRDefault="001A66AE" w:rsidP="001A66AE">
    <w:pPr>
      <w:pStyle w:val="Footer"/>
    </w:pPr>
    <w:r w:rsidRPr="00107E15">
      <w:rPr>
        <w:b/>
      </w:rPr>
      <w:t>M</w:t>
    </w:r>
    <w:r w:rsidR="009A1764">
      <w:rPr>
        <w:b/>
      </w:rPr>
      <w:t>ó</w:t>
    </w:r>
    <w:r w:rsidRPr="00107E15">
      <w:rPr>
        <w:b/>
      </w:rPr>
      <w:t>dul</w:t>
    </w:r>
    <w:r w:rsidR="009A1764">
      <w:rPr>
        <w:b/>
      </w:rPr>
      <w:t>o</w:t>
    </w:r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8C2503" w:rsidRPr="008C2503">
      <w:rPr>
        <w:bCs/>
        <w:noProof/>
      </w:rPr>
      <w:t>Hoja de ruta para el</w:t>
    </w:r>
    <w:r w:rsidR="008C2503">
      <w:rPr>
        <w:i/>
        <w:noProof/>
      </w:rPr>
      <w:t xml:space="preserve"> diseño y la implementación</w:t>
    </w:r>
    <w:r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DAEE" w14:textId="56CD6252" w:rsidR="001A66AE" w:rsidRPr="00B45C74" w:rsidRDefault="001A66AE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C250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61E980A" w14:textId="1639CDF9" w:rsidR="001A66AE" w:rsidRDefault="001A66AE">
    <w:pPr>
      <w:pStyle w:val="Footer"/>
    </w:pPr>
    <w:r w:rsidRPr="00107E15">
      <w:rPr>
        <w:b/>
      </w:rPr>
      <w:t>M</w:t>
    </w:r>
    <w:r w:rsidR="006314C8">
      <w:rPr>
        <w:b/>
      </w:rPr>
      <w:t>ó</w:t>
    </w:r>
    <w:r w:rsidRPr="00107E15">
      <w:rPr>
        <w:b/>
      </w:rPr>
      <w:t>dul</w:t>
    </w:r>
    <w:r w:rsidR="006314C8">
      <w:rPr>
        <w:b/>
      </w:rPr>
      <w:t>o</w:t>
    </w:r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8C2503" w:rsidRPr="008C2503">
      <w:rPr>
        <w:bCs/>
        <w:noProof/>
      </w:rPr>
      <w:t>Hoja de ruta para el</w:t>
    </w:r>
    <w:r w:rsidR="008C2503">
      <w:rPr>
        <w:i/>
        <w:noProof/>
      </w:rPr>
      <w:t xml:space="preserve"> diseño y la implementación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0461B" w14:textId="77777777" w:rsidR="00AE446C" w:rsidRDefault="00AE446C" w:rsidP="00752615">
      <w:pPr>
        <w:spacing w:after="0"/>
      </w:pPr>
      <w:r>
        <w:separator/>
      </w:r>
    </w:p>
  </w:footnote>
  <w:footnote w:type="continuationSeparator" w:id="0">
    <w:p w14:paraId="72E8575E" w14:textId="77777777" w:rsidR="00AE446C" w:rsidRDefault="00AE446C" w:rsidP="00752615">
      <w:pPr>
        <w:spacing w:after="0"/>
      </w:pPr>
      <w:r>
        <w:continuationSeparator/>
      </w:r>
    </w:p>
  </w:footnote>
  <w:footnote w:id="1">
    <w:p w14:paraId="3B311243" w14:textId="7A479D22" w:rsidR="009A1764" w:rsidRPr="007E5C60" w:rsidRDefault="009A1764" w:rsidP="009A1764">
      <w:pPr>
        <w:pStyle w:val="FootnoteText"/>
        <w:rPr>
          <w:szCs w:val="16"/>
          <w:lang w:val="es-ES"/>
        </w:rPr>
      </w:pPr>
      <w:r w:rsidRPr="001A66AE">
        <w:rPr>
          <w:rStyle w:val="FootnoteReference"/>
          <w:szCs w:val="16"/>
        </w:rPr>
        <w:footnoteRef/>
      </w:r>
      <w:r w:rsidRPr="009A1764">
        <w:rPr>
          <w:szCs w:val="16"/>
          <w:lang w:val="es-ES"/>
        </w:rPr>
        <w:t xml:space="preserve"> Es posible </w:t>
      </w:r>
      <w:r>
        <w:rPr>
          <w:szCs w:val="16"/>
          <w:lang w:val="es-ES"/>
        </w:rPr>
        <w:t xml:space="preserve">registrar a </w:t>
      </w:r>
      <w:r w:rsidRPr="009A1764">
        <w:rPr>
          <w:szCs w:val="16"/>
          <w:lang w:val="es-ES"/>
        </w:rPr>
        <w:t xml:space="preserve">uno o más representantes de los </w:t>
      </w:r>
      <w:r w:rsidRPr="007E5C60">
        <w:rPr>
          <w:szCs w:val="16"/>
          <w:lang w:val="es-ES"/>
        </w:rPr>
        <w:t>beneficiarios (por ejemplo, miembros de la familia) para reemplazar a los beneficiarios durante la distribución/conversión a efectivo, en caso de que no</w:t>
      </w:r>
      <w:r w:rsidRPr="009A1764">
        <w:rPr>
          <w:szCs w:val="16"/>
          <w:lang w:val="es-ES"/>
        </w:rPr>
        <w:t xml:space="preserve"> puedan asistir.</w:t>
      </w:r>
      <w:r>
        <w:rPr>
          <w:szCs w:val="16"/>
          <w:lang w:val="es-ES"/>
        </w:rPr>
        <w:t xml:space="preserve"> </w:t>
      </w:r>
      <w:r w:rsidR="007E5C60" w:rsidRPr="007E5C60">
        <w:rPr>
          <w:color w:val="4F81BD" w:themeColor="accent1"/>
          <w:szCs w:val="16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05CF" w14:textId="77777777" w:rsidR="006314C8" w:rsidRPr="00730879" w:rsidRDefault="006314C8" w:rsidP="006314C8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1F9A69E1" w14:textId="4DD2A4E0" w:rsidR="001A66AE" w:rsidRPr="006314C8" w:rsidRDefault="001A66AE" w:rsidP="00173FF2">
    <w:pPr>
      <w:pStyle w:val="Header"/>
      <w:rPr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74AA" w14:textId="0668A3FB" w:rsidR="00DF5ABE" w:rsidRDefault="00452E18" w:rsidP="00DF5ABE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77BEB66" wp14:editId="2BF3237A">
          <wp:simplePos x="0" y="0"/>
          <wp:positionH relativeFrom="column">
            <wp:posOffset>2689860</wp:posOffset>
          </wp:positionH>
          <wp:positionV relativeFrom="paragraph">
            <wp:posOffset>436245</wp:posOffset>
          </wp:positionV>
          <wp:extent cx="2878455" cy="298450"/>
          <wp:effectExtent l="0" t="0" r="0" b="6350"/>
          <wp:wrapTight wrapText="bothSides">
            <wp:wrapPolygon edited="0">
              <wp:start x="0" y="0"/>
              <wp:lineTo x="0" y="20681"/>
              <wp:lineTo x="21443" y="20681"/>
              <wp:lineTo x="214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  <w:r>
      <w:rPr>
        <w:noProof/>
        <w:color w:val="DC281E"/>
        <w:lang w:val="en-GB" w:eastAsia="en-GB"/>
      </w:rPr>
      <w:drawing>
        <wp:inline distT="0" distB="0" distL="0" distR="0" wp14:anchorId="0E870B0E" wp14:editId="3DB0DB8D">
          <wp:extent cx="628015" cy="780415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5F7B7D" w14:textId="554CF706" w:rsidR="00DF5ABE" w:rsidRDefault="00DF5ABE" w:rsidP="00DF5ABE">
    <w:pPr>
      <w:pStyle w:val="Header1"/>
    </w:pPr>
  </w:p>
  <w:p w14:paraId="25117388" w14:textId="05D43792" w:rsidR="00DF5ABE" w:rsidRDefault="00452E18" w:rsidP="00DF5ABE">
    <w:pPr>
      <w:pStyle w:val="Header"/>
      <w:rPr>
        <w:color w:val="DC281E"/>
        <w:sz w:val="24"/>
        <w:szCs w:val="24"/>
      </w:rPr>
    </w:pPr>
    <w:r>
      <w:rPr>
        <w:color w:val="DC281E"/>
        <w:sz w:val="24"/>
        <w:szCs w:val="24"/>
      </w:rPr>
      <w:t xml:space="preserve">            </w:t>
    </w:r>
  </w:p>
  <w:p w14:paraId="2989EB52" w14:textId="77777777" w:rsidR="00DF5ABE" w:rsidRDefault="00DF5ABE" w:rsidP="00DF5ABE">
    <w:pPr>
      <w:pStyle w:val="Header"/>
      <w:spacing w:line="240" w:lineRule="auto"/>
      <w:rPr>
        <w:b/>
        <w:color w:val="DC281E"/>
        <w:sz w:val="24"/>
        <w:szCs w:val="24"/>
      </w:rPr>
    </w:pPr>
  </w:p>
  <w:p w14:paraId="2B156422" w14:textId="77777777" w:rsidR="00DF5ABE" w:rsidRDefault="00DF5ABE" w:rsidP="00DF5ABE">
    <w:pPr>
      <w:pStyle w:val="Header"/>
      <w:spacing w:line="240" w:lineRule="auto"/>
      <w:rPr>
        <w:b/>
        <w:color w:val="DC281E"/>
        <w:sz w:val="24"/>
        <w:szCs w:val="24"/>
      </w:rPr>
    </w:pPr>
  </w:p>
  <w:p w14:paraId="6EAF40CB" w14:textId="77777777" w:rsidR="00DF5ABE" w:rsidRPr="0072329C" w:rsidRDefault="00DF5ABE" w:rsidP="00DF5ABE">
    <w:pPr>
      <w:pStyle w:val="Header1"/>
      <w:rPr>
        <w:rFonts w:ascii="Arial Bold" w:hAnsi="Arial Bold" w:cs="Arial"/>
        <w:color w:val="DC281E"/>
        <w:lang w:val="es-ES"/>
      </w:rPr>
    </w:pPr>
    <w:r w:rsidRPr="0072329C">
      <w:rPr>
        <w:rFonts w:ascii="Arial Bold" w:hAnsi="Arial Bold" w:cs="Arial"/>
        <w:color w:val="DC281E"/>
        <w:lang w:val="es-ES"/>
      </w:rPr>
      <w:t>Caja de herramientas para PTE en emergencias</w:t>
    </w:r>
  </w:p>
  <w:p w14:paraId="0C3ACE7A" w14:textId="7413E84B" w:rsidR="001A66AE" w:rsidRPr="00DF5ABE" w:rsidRDefault="001A66AE" w:rsidP="00DF5ABE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0825"/>
    <w:multiLevelType w:val="hybridMultilevel"/>
    <w:tmpl w:val="857691E8"/>
    <w:lvl w:ilvl="0" w:tplc="3000D49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3072F"/>
    <w:multiLevelType w:val="hybridMultilevel"/>
    <w:tmpl w:val="956CB68C"/>
    <w:lvl w:ilvl="0" w:tplc="7CDA50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366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7860"/>
    <w:multiLevelType w:val="hybridMultilevel"/>
    <w:tmpl w:val="B73C0800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2202E"/>
    <w:multiLevelType w:val="hybridMultilevel"/>
    <w:tmpl w:val="9F087486"/>
    <w:lvl w:ilvl="0" w:tplc="FFCE2EEA">
      <w:start w:val="1"/>
      <w:numFmt w:val="bullet"/>
      <w:lvlText w:val=""/>
      <w:lvlJc w:val="left"/>
      <w:pPr>
        <w:ind w:left="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19C015D5"/>
    <w:multiLevelType w:val="hybridMultilevel"/>
    <w:tmpl w:val="6D36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A7A18"/>
    <w:multiLevelType w:val="hybridMultilevel"/>
    <w:tmpl w:val="7C52BF4E"/>
    <w:lvl w:ilvl="0" w:tplc="5A4C774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706"/>
    <w:multiLevelType w:val="hybridMultilevel"/>
    <w:tmpl w:val="2CA0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60C8C"/>
    <w:multiLevelType w:val="hybridMultilevel"/>
    <w:tmpl w:val="2CC4C442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"/>
  </w:num>
  <w:num w:numId="4">
    <w:abstractNumId w:val="19"/>
  </w:num>
  <w:num w:numId="5">
    <w:abstractNumId w:val="33"/>
  </w:num>
  <w:num w:numId="6">
    <w:abstractNumId w:val="17"/>
  </w:num>
  <w:num w:numId="7">
    <w:abstractNumId w:val="22"/>
  </w:num>
  <w:num w:numId="8">
    <w:abstractNumId w:val="12"/>
  </w:num>
  <w:num w:numId="9">
    <w:abstractNumId w:val="36"/>
  </w:num>
  <w:num w:numId="10">
    <w:abstractNumId w:val="25"/>
  </w:num>
  <w:num w:numId="11">
    <w:abstractNumId w:val="26"/>
  </w:num>
  <w:num w:numId="12">
    <w:abstractNumId w:val="30"/>
  </w:num>
  <w:num w:numId="13">
    <w:abstractNumId w:val="32"/>
  </w:num>
  <w:num w:numId="14">
    <w:abstractNumId w:val="8"/>
  </w:num>
  <w:num w:numId="15">
    <w:abstractNumId w:val="31"/>
  </w:num>
  <w:num w:numId="16">
    <w:abstractNumId w:val="3"/>
  </w:num>
  <w:num w:numId="17">
    <w:abstractNumId w:val="1"/>
  </w:num>
  <w:num w:numId="18">
    <w:abstractNumId w:val="34"/>
  </w:num>
  <w:num w:numId="19">
    <w:abstractNumId w:val="21"/>
  </w:num>
  <w:num w:numId="20">
    <w:abstractNumId w:val="13"/>
  </w:num>
  <w:num w:numId="21">
    <w:abstractNumId w:val="5"/>
  </w:num>
  <w:num w:numId="22">
    <w:abstractNumId w:val="15"/>
  </w:num>
  <w:num w:numId="23">
    <w:abstractNumId w:val="20"/>
  </w:num>
  <w:num w:numId="24">
    <w:abstractNumId w:val="6"/>
  </w:num>
  <w:num w:numId="25">
    <w:abstractNumId w:val="9"/>
  </w:num>
  <w:num w:numId="26">
    <w:abstractNumId w:val="11"/>
  </w:num>
  <w:num w:numId="27">
    <w:abstractNumId w:val="7"/>
  </w:num>
  <w:num w:numId="28">
    <w:abstractNumId w:val="35"/>
  </w:num>
  <w:num w:numId="29">
    <w:abstractNumId w:val="10"/>
  </w:num>
  <w:num w:numId="30">
    <w:abstractNumId w:val="14"/>
  </w:num>
  <w:num w:numId="31">
    <w:abstractNumId w:val="18"/>
  </w:num>
  <w:num w:numId="32">
    <w:abstractNumId w:val="2"/>
  </w:num>
  <w:num w:numId="33">
    <w:abstractNumId w:val="0"/>
  </w:num>
  <w:num w:numId="34">
    <w:abstractNumId w:val="23"/>
  </w:num>
  <w:num w:numId="35">
    <w:abstractNumId w:val="27"/>
  </w:num>
  <w:num w:numId="36">
    <w:abstractNumId w:val="2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40"/>
    <w:rsid w:val="00046C14"/>
    <w:rsid w:val="00063EAE"/>
    <w:rsid w:val="00080CF1"/>
    <w:rsid w:val="000B1137"/>
    <w:rsid w:val="000C4E88"/>
    <w:rsid w:val="000D763F"/>
    <w:rsid w:val="000F0CF2"/>
    <w:rsid w:val="000F104A"/>
    <w:rsid w:val="000F7A5E"/>
    <w:rsid w:val="00132856"/>
    <w:rsid w:val="00133890"/>
    <w:rsid w:val="0014280B"/>
    <w:rsid w:val="001577EB"/>
    <w:rsid w:val="00186613"/>
    <w:rsid w:val="00193980"/>
    <w:rsid w:val="001A66AE"/>
    <w:rsid w:val="001B79C9"/>
    <w:rsid w:val="001C34F7"/>
    <w:rsid w:val="001F6441"/>
    <w:rsid w:val="00213BDA"/>
    <w:rsid w:val="00220EEB"/>
    <w:rsid w:val="00240F38"/>
    <w:rsid w:val="00256A0A"/>
    <w:rsid w:val="00270630"/>
    <w:rsid w:val="00271B43"/>
    <w:rsid w:val="002757AF"/>
    <w:rsid w:val="00277BA7"/>
    <w:rsid w:val="002A0CA3"/>
    <w:rsid w:val="002D7BEC"/>
    <w:rsid w:val="002F689F"/>
    <w:rsid w:val="00325F32"/>
    <w:rsid w:val="00333AC6"/>
    <w:rsid w:val="00333EA9"/>
    <w:rsid w:val="00347951"/>
    <w:rsid w:val="00357105"/>
    <w:rsid w:val="00372775"/>
    <w:rsid w:val="00374633"/>
    <w:rsid w:val="00374C30"/>
    <w:rsid w:val="003B458D"/>
    <w:rsid w:val="003D2C1E"/>
    <w:rsid w:val="003D55BC"/>
    <w:rsid w:val="003F3116"/>
    <w:rsid w:val="0041274E"/>
    <w:rsid w:val="004416F8"/>
    <w:rsid w:val="004445CA"/>
    <w:rsid w:val="00452E18"/>
    <w:rsid w:val="0048526F"/>
    <w:rsid w:val="004A0A24"/>
    <w:rsid w:val="004C56A9"/>
    <w:rsid w:val="004E5BB5"/>
    <w:rsid w:val="004F3661"/>
    <w:rsid w:val="00514690"/>
    <w:rsid w:val="00527882"/>
    <w:rsid w:val="0055713B"/>
    <w:rsid w:val="00557AB7"/>
    <w:rsid w:val="005A126D"/>
    <w:rsid w:val="005B24AE"/>
    <w:rsid w:val="005C7B87"/>
    <w:rsid w:val="005E4709"/>
    <w:rsid w:val="0062030E"/>
    <w:rsid w:val="006314C8"/>
    <w:rsid w:val="00632313"/>
    <w:rsid w:val="006371A7"/>
    <w:rsid w:val="006642BE"/>
    <w:rsid w:val="006710DB"/>
    <w:rsid w:val="0068259E"/>
    <w:rsid w:val="006A390D"/>
    <w:rsid w:val="006A53B7"/>
    <w:rsid w:val="006C133E"/>
    <w:rsid w:val="006C2161"/>
    <w:rsid w:val="006C5DB9"/>
    <w:rsid w:val="006D05D3"/>
    <w:rsid w:val="006D3A93"/>
    <w:rsid w:val="006D4CF0"/>
    <w:rsid w:val="006F3D34"/>
    <w:rsid w:val="0070173B"/>
    <w:rsid w:val="007202A1"/>
    <w:rsid w:val="007353CA"/>
    <w:rsid w:val="00744F86"/>
    <w:rsid w:val="00752615"/>
    <w:rsid w:val="00756188"/>
    <w:rsid w:val="00757207"/>
    <w:rsid w:val="00764C94"/>
    <w:rsid w:val="00771093"/>
    <w:rsid w:val="0079752F"/>
    <w:rsid w:val="007B7D41"/>
    <w:rsid w:val="007C25AD"/>
    <w:rsid w:val="007C32C8"/>
    <w:rsid w:val="007D1A58"/>
    <w:rsid w:val="007E5C60"/>
    <w:rsid w:val="007E5C7B"/>
    <w:rsid w:val="007F022B"/>
    <w:rsid w:val="00810AE9"/>
    <w:rsid w:val="00821BEB"/>
    <w:rsid w:val="008233E8"/>
    <w:rsid w:val="0084433D"/>
    <w:rsid w:val="00853516"/>
    <w:rsid w:val="0088306F"/>
    <w:rsid w:val="008843FD"/>
    <w:rsid w:val="008C2503"/>
    <w:rsid w:val="008F402F"/>
    <w:rsid w:val="009020D7"/>
    <w:rsid w:val="0090363F"/>
    <w:rsid w:val="00906ED2"/>
    <w:rsid w:val="00914B51"/>
    <w:rsid w:val="00917268"/>
    <w:rsid w:val="00920E38"/>
    <w:rsid w:val="00927A83"/>
    <w:rsid w:val="00941A73"/>
    <w:rsid w:val="00972EAA"/>
    <w:rsid w:val="009837E5"/>
    <w:rsid w:val="00996780"/>
    <w:rsid w:val="009A1764"/>
    <w:rsid w:val="009A3070"/>
    <w:rsid w:val="009B38D8"/>
    <w:rsid w:val="009D6AD6"/>
    <w:rsid w:val="00A16981"/>
    <w:rsid w:val="00A30508"/>
    <w:rsid w:val="00A324E8"/>
    <w:rsid w:val="00A65F4A"/>
    <w:rsid w:val="00A81E21"/>
    <w:rsid w:val="00A855BE"/>
    <w:rsid w:val="00A92250"/>
    <w:rsid w:val="00A93BF4"/>
    <w:rsid w:val="00AA069E"/>
    <w:rsid w:val="00AB56A7"/>
    <w:rsid w:val="00AE446C"/>
    <w:rsid w:val="00AF1AA0"/>
    <w:rsid w:val="00B015B3"/>
    <w:rsid w:val="00B0620E"/>
    <w:rsid w:val="00B22A17"/>
    <w:rsid w:val="00B43740"/>
    <w:rsid w:val="00B707FE"/>
    <w:rsid w:val="00B8238E"/>
    <w:rsid w:val="00BA4236"/>
    <w:rsid w:val="00BC6767"/>
    <w:rsid w:val="00BD0038"/>
    <w:rsid w:val="00BE1677"/>
    <w:rsid w:val="00BF0392"/>
    <w:rsid w:val="00C00CF4"/>
    <w:rsid w:val="00C22194"/>
    <w:rsid w:val="00C45C63"/>
    <w:rsid w:val="00C46114"/>
    <w:rsid w:val="00C637B5"/>
    <w:rsid w:val="00C74F09"/>
    <w:rsid w:val="00CA7C53"/>
    <w:rsid w:val="00CC068F"/>
    <w:rsid w:val="00CF258F"/>
    <w:rsid w:val="00D06F92"/>
    <w:rsid w:val="00D16AA1"/>
    <w:rsid w:val="00D422E5"/>
    <w:rsid w:val="00D436BF"/>
    <w:rsid w:val="00D45780"/>
    <w:rsid w:val="00D528AB"/>
    <w:rsid w:val="00D62AC5"/>
    <w:rsid w:val="00D63BDE"/>
    <w:rsid w:val="00D712BF"/>
    <w:rsid w:val="00D82803"/>
    <w:rsid w:val="00D9189E"/>
    <w:rsid w:val="00D91C67"/>
    <w:rsid w:val="00DB06A1"/>
    <w:rsid w:val="00DC1372"/>
    <w:rsid w:val="00DD1804"/>
    <w:rsid w:val="00DD2E6A"/>
    <w:rsid w:val="00DD662A"/>
    <w:rsid w:val="00DE13F0"/>
    <w:rsid w:val="00DF3B71"/>
    <w:rsid w:val="00DF5ABE"/>
    <w:rsid w:val="00E00C3E"/>
    <w:rsid w:val="00E01226"/>
    <w:rsid w:val="00E57E3F"/>
    <w:rsid w:val="00E73DA5"/>
    <w:rsid w:val="00E77E9D"/>
    <w:rsid w:val="00E80338"/>
    <w:rsid w:val="00E922F6"/>
    <w:rsid w:val="00EB4702"/>
    <w:rsid w:val="00EF00C8"/>
    <w:rsid w:val="00EF229F"/>
    <w:rsid w:val="00F3315F"/>
    <w:rsid w:val="00F41830"/>
    <w:rsid w:val="00F47E68"/>
    <w:rsid w:val="00F80A2D"/>
    <w:rsid w:val="00FA16A0"/>
    <w:rsid w:val="00FA3FB6"/>
    <w:rsid w:val="00FD6F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EB78D"/>
  <w15:docId w15:val="{4559ABA3-677E-4AAF-A096-BA2CCCE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02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EB47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70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70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470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4702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EB4702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7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B470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B4702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0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0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470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4702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EB4702"/>
    <w:rPr>
      <w:b/>
    </w:rPr>
  </w:style>
  <w:style w:type="paragraph" w:styleId="Header">
    <w:name w:val="header"/>
    <w:basedOn w:val="Normal"/>
    <w:link w:val="HeaderChar"/>
    <w:uiPriority w:val="99"/>
    <w:unhideWhenUsed/>
    <w:rsid w:val="00EB470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B4702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EB47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70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B470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702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B4702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paragraph" w:customStyle="1" w:styleId="Pa8">
    <w:name w:val="Pa8"/>
    <w:basedOn w:val="Normal"/>
    <w:next w:val="Normal"/>
    <w:uiPriority w:val="99"/>
    <w:rsid w:val="00A16981"/>
    <w:pPr>
      <w:widowControl w:val="0"/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4702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B4702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4702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EB470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B470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B470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B4702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B470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B470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B470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B470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B470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B4702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B4702"/>
    <w:pPr>
      <w:numPr>
        <w:numId w:val="35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B4702"/>
    <w:pPr>
      <w:numPr>
        <w:ilvl w:val="1"/>
        <w:numId w:val="3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B4702"/>
    <w:pPr>
      <w:numPr>
        <w:numId w:val="3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B4702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B470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B470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B4702"/>
    <w:pPr>
      <w:keepNext/>
      <w:keepLines/>
      <w:framePr w:hSpace="141" w:wrap="around" w:vAnchor="text" w:hAnchor="margin" w:y="402"/>
      <w:numPr>
        <w:numId w:val="37"/>
      </w:numPr>
      <w:spacing w:beforeLines="60" w:before="60" w:afterLines="20" w:after="20"/>
    </w:pPr>
  </w:style>
  <w:style w:type="character" w:customStyle="1" w:styleId="tagtrans">
    <w:name w:val="tag_trans"/>
    <w:basedOn w:val="DefaultParagraphFont"/>
    <w:rsid w:val="00A855BE"/>
  </w:style>
  <w:style w:type="paragraph" w:styleId="EndnoteText">
    <w:name w:val="endnote text"/>
    <w:basedOn w:val="Normal"/>
    <w:link w:val="EndnoteTextChar"/>
    <w:uiPriority w:val="99"/>
    <w:semiHidden/>
    <w:unhideWhenUsed/>
    <w:rsid w:val="009A1764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764"/>
    <w:rPr>
      <w:rFonts w:ascii="Arial" w:hAnsi="Arial" w:cs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A1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Global/Publications/disasters/finance/cash-guidelines-e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ctionagainsthunger.org.uk/resource-centre/online-library/detail/media/implementing-cash-based-interventions-a-guideline-for-aid-work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tionagainsthunger.org.uk/resource-centre/online-library/detail/media/implementing-cash-based-interventions-a-guideline-for-aid-worker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782A-250E-4DE7-81B9-A0B291E2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Ines DALMAU i GUTSENS</cp:lastModifiedBy>
  <cp:revision>3</cp:revision>
  <cp:lastPrinted>2015-10-11T21:58:00Z</cp:lastPrinted>
  <dcterms:created xsi:type="dcterms:W3CDTF">2016-02-07T18:50:00Z</dcterms:created>
  <dcterms:modified xsi:type="dcterms:W3CDTF">2016-02-07T18:50:00Z</dcterms:modified>
</cp:coreProperties>
</file>