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FBFEA" w14:textId="236A607D" w:rsidR="00310F7F" w:rsidRPr="005D631B" w:rsidRDefault="00551FBB" w:rsidP="00C40D97">
      <w:pPr>
        <w:pStyle w:val="H1"/>
      </w:pPr>
      <w:r w:rsidRPr="005D631B">
        <w:t xml:space="preserve">Roadmap for </w:t>
      </w:r>
      <w:r w:rsidR="00415457">
        <w:rPr>
          <w:shd w:val="clear" w:color="auto" w:fill="FFFFFF"/>
          <w:lang w:eastAsia="it-IT"/>
        </w:rPr>
        <w:t>service providers</w:t>
      </w:r>
      <w:r w:rsidR="005D631B" w:rsidRPr="005D631B">
        <w:rPr>
          <w:shd w:val="clear" w:color="auto" w:fill="FFFFFF"/>
          <w:lang w:eastAsia="it-IT"/>
        </w:rPr>
        <w:t xml:space="preserve">, </w:t>
      </w:r>
      <w:r w:rsidR="005D631B">
        <w:rPr>
          <w:shd w:val="clear" w:color="auto" w:fill="FFFFFF"/>
          <w:lang w:eastAsia="it-IT"/>
        </w:rPr>
        <w:br/>
      </w:r>
      <w:r w:rsidR="005D631B" w:rsidRPr="005D631B">
        <w:rPr>
          <w:shd w:val="clear" w:color="auto" w:fill="FFFFFF"/>
          <w:lang w:eastAsia="it-IT"/>
        </w:rPr>
        <w:t>organizational capacity and risk analysis</w:t>
      </w:r>
    </w:p>
    <w:p w14:paraId="0D3251E5" w14:textId="4767A080" w:rsidR="00E66A9A" w:rsidRDefault="006F2ECC" w:rsidP="00C40D97">
      <w:pPr>
        <w:ind w:left="-170"/>
        <w:rPr>
          <w:sz w:val="22"/>
        </w:rPr>
      </w:pPr>
      <w:r>
        <w:rPr>
          <w:sz w:val="22"/>
        </w:rPr>
        <w:pict w14:anchorId="50A9F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05pt;height:249.75pt">
            <v:imagedata r:id="rId9" o:title="02-Assessment-rodmap-EN4"/>
          </v:shape>
        </w:pict>
      </w:r>
    </w:p>
    <w:p w14:paraId="49B0E027" w14:textId="730665B0" w:rsidR="00C83F9A" w:rsidRPr="00B95393" w:rsidRDefault="00E66A9A" w:rsidP="006607B1">
      <w:pPr>
        <w:pStyle w:val="Heading2"/>
        <w:spacing w:before="480"/>
      </w:pPr>
      <w:r w:rsidRPr="007E00C6">
        <w:t>INTRODUCTION</w:t>
      </w:r>
    </w:p>
    <w:p w14:paraId="049831F7" w14:textId="5CCFF1C8" w:rsidR="006327BB" w:rsidRDefault="00360643" w:rsidP="006607B1">
      <w:r>
        <w:t xml:space="preserve">When conducting an assessment, it is important to </w:t>
      </w:r>
      <w:r w:rsidR="006327BB">
        <w:t>understand the capacities</w:t>
      </w:r>
      <w:r w:rsidR="00A80D09">
        <w:t xml:space="preserve"> in p</w:t>
      </w:r>
      <w:r w:rsidR="00DF5B20">
        <w:t>lace to implement cash transfer</w:t>
      </w:r>
      <w:r w:rsidR="00A80D09">
        <w:t xml:space="preserve"> interventions and the risks associated with this type of response. </w:t>
      </w:r>
      <w:r w:rsidR="006327BB">
        <w:t xml:space="preserve">This implies broadening the assessment to include these issues </w:t>
      </w:r>
      <w:r w:rsidR="00F00D42">
        <w:t>and</w:t>
      </w:r>
      <w:r w:rsidR="006327BB">
        <w:t xml:space="preserve">, when necessary, conducting separate capacity assessments. </w:t>
      </w:r>
      <w:r w:rsidR="00F00D42">
        <w:t>At this stage, relevant b</w:t>
      </w:r>
      <w:r w:rsidR="00CD33FB">
        <w:t xml:space="preserve">ackground information </w:t>
      </w:r>
      <w:r w:rsidR="00F00D42">
        <w:t xml:space="preserve">collected during </w:t>
      </w:r>
      <w:r w:rsidR="00DF5B20">
        <w:t>the preparedness phase</w:t>
      </w:r>
      <w:r w:rsidR="00F00D42">
        <w:t xml:space="preserve"> can be useful, but it</w:t>
      </w:r>
      <w:r w:rsidR="00DF5B20">
        <w:t xml:space="preserve"> sh</w:t>
      </w:r>
      <w:r w:rsidR="00A25A0C">
        <w:t>ould be updated and contextualiz</w:t>
      </w:r>
      <w:r w:rsidR="00DF5B20">
        <w:t>ed.</w:t>
      </w:r>
    </w:p>
    <w:p w14:paraId="3514BFAA" w14:textId="56EEDCDD" w:rsidR="00E66677" w:rsidRDefault="00E66677" w:rsidP="006607B1">
      <w:r>
        <w:t>C</w:t>
      </w:r>
      <w:r w:rsidRPr="00DF5B20">
        <w:t xml:space="preserve">apacity and risk </w:t>
      </w:r>
      <w:r>
        <w:t xml:space="preserve">assessment will provide </w:t>
      </w:r>
      <w:r w:rsidRPr="00DF5B20">
        <w:t>response analysis, set-up and implementation phases</w:t>
      </w:r>
      <w:r>
        <w:t xml:space="preserve"> with crucial information. Therefore, you should always conduct some level of capacity and risk analysis, but its depth can vary depending on the information and resources available, the context and the scale of the potential response. This road</w:t>
      </w:r>
      <w:r w:rsidR="00A25A0C">
        <w:t xml:space="preserve"> </w:t>
      </w:r>
      <w:r>
        <w:t>map sets some minimum standards for this purpose.</w:t>
      </w:r>
    </w:p>
    <w:p w14:paraId="0B9D647D" w14:textId="74E2C9DF" w:rsidR="00CE1C9B" w:rsidRDefault="00F00D42" w:rsidP="006607B1">
      <w:r>
        <w:t xml:space="preserve">The different components of capacity and risk assessment have been grouped in three sub-steps. </w:t>
      </w:r>
      <w:r w:rsidR="00E66677">
        <w:rPr>
          <w:rFonts w:cs="O¯øœ!Ÿ"/>
        </w:rPr>
        <w:t>Y</w:t>
      </w:r>
      <w:r w:rsidR="00E66677" w:rsidRPr="00303B3A">
        <w:rPr>
          <w:rFonts w:cs="O¯øœ!Ÿ"/>
        </w:rPr>
        <w:t xml:space="preserve">ou will find a set of tools for each sub-step. </w:t>
      </w:r>
      <w:r w:rsidR="006327BB" w:rsidRPr="00DF5B20">
        <w:t xml:space="preserve">The first sub-step focuses on </w:t>
      </w:r>
      <w:r w:rsidR="00CD33FB" w:rsidRPr="00DF5B20">
        <w:t xml:space="preserve">understanding whether the </w:t>
      </w:r>
      <w:r w:rsidR="005D631B">
        <w:t>service providers have the capacity to support a</w:t>
      </w:r>
      <w:r w:rsidR="00CD33FB" w:rsidRPr="00DF5B20">
        <w:t xml:space="preserve"> cash</w:t>
      </w:r>
      <w:r w:rsidR="005D631B">
        <w:t>-based response</w:t>
      </w:r>
      <w:r w:rsidR="00CD33FB" w:rsidRPr="00DF5B20">
        <w:t xml:space="preserve">. The second sub-step focuses on </w:t>
      </w:r>
      <w:r>
        <w:t>assessing</w:t>
      </w:r>
      <w:r w:rsidR="00A80D09" w:rsidRPr="00DF5B20">
        <w:t xml:space="preserve"> the capacity of </w:t>
      </w:r>
      <w:r w:rsidR="00CD33FB" w:rsidRPr="00DF5B20">
        <w:t>your</w:t>
      </w:r>
      <w:r w:rsidR="00360643" w:rsidRPr="00DF5B20">
        <w:t xml:space="preserve"> agency and partners</w:t>
      </w:r>
      <w:r w:rsidR="00A80D09" w:rsidRPr="00DF5B20">
        <w:t xml:space="preserve"> </w:t>
      </w:r>
      <w:r w:rsidR="00360643" w:rsidRPr="00DF5B20">
        <w:t xml:space="preserve">to implement </w:t>
      </w:r>
      <w:r w:rsidR="00A25A0C">
        <w:t xml:space="preserve">a </w:t>
      </w:r>
      <w:r w:rsidR="00360643" w:rsidRPr="00DF5B20">
        <w:t>cash</w:t>
      </w:r>
      <w:r w:rsidR="00CD33FB" w:rsidRPr="00DF5B20">
        <w:t xml:space="preserve"> </w:t>
      </w:r>
      <w:r w:rsidR="00A25A0C">
        <w:t xml:space="preserve">response in a </w:t>
      </w:r>
      <w:r w:rsidR="00CD33FB" w:rsidRPr="00DF5B20">
        <w:t xml:space="preserve">timely </w:t>
      </w:r>
      <w:r w:rsidR="00A25A0C">
        <w:t xml:space="preserve">manner </w:t>
      </w:r>
      <w:r w:rsidR="00CD33FB" w:rsidRPr="00DF5B20">
        <w:t>and at scale</w:t>
      </w:r>
      <w:r w:rsidR="00360643" w:rsidRPr="00DF5B20">
        <w:t xml:space="preserve">. </w:t>
      </w:r>
      <w:r w:rsidR="00CD33FB" w:rsidRPr="00DF5B20">
        <w:t xml:space="preserve">The third sub-step </w:t>
      </w:r>
      <w:r>
        <w:t>focuses on exploring the</w:t>
      </w:r>
      <w:r w:rsidR="00CD33FB" w:rsidRPr="00DF5B20">
        <w:t xml:space="preserve"> </w:t>
      </w:r>
      <w:r w:rsidR="00A80D09" w:rsidRPr="00DF5B20">
        <w:t xml:space="preserve">risks </w:t>
      </w:r>
      <w:r w:rsidR="00CD33FB" w:rsidRPr="00DF5B20">
        <w:t>potentially associated with a cash response</w:t>
      </w:r>
      <w:r w:rsidR="00A80D09" w:rsidRPr="00DF5B20">
        <w:t>.</w:t>
      </w:r>
      <w:r w:rsidR="00360643" w:rsidRPr="00DF5B20">
        <w:t xml:space="preserve"> </w:t>
      </w:r>
    </w:p>
    <w:p w14:paraId="3C85DAB3" w14:textId="249BF7FB" w:rsidR="000B0222" w:rsidRPr="00303B3A" w:rsidRDefault="000B0222" w:rsidP="006607B1">
      <w:r w:rsidRPr="00303B3A">
        <w:t>If you need more detailed guidance on</w:t>
      </w:r>
      <w:r w:rsidR="00E66677">
        <w:t xml:space="preserve"> capacity and risk assessment</w:t>
      </w:r>
      <w:r w:rsidRPr="00303B3A">
        <w:t xml:space="preserve">, consult the </w:t>
      </w:r>
      <w:r w:rsidRPr="006607B1">
        <w:t>reference documents</w:t>
      </w:r>
      <w:r w:rsidRPr="00303B3A">
        <w:t xml:space="preserve"> suggested at the end of this road</w:t>
      </w:r>
      <w:r w:rsidR="00A25A0C">
        <w:t xml:space="preserve"> </w:t>
      </w:r>
      <w:r w:rsidRPr="00303B3A">
        <w:t xml:space="preserve">map. </w:t>
      </w:r>
    </w:p>
    <w:p w14:paraId="4E297FEC" w14:textId="77777777" w:rsidR="00E66A9A" w:rsidRPr="007E00C6" w:rsidRDefault="00E66A9A" w:rsidP="006607B1">
      <w:pPr>
        <w:pStyle w:val="Heading2"/>
      </w:pPr>
      <w:r w:rsidRPr="007E00C6">
        <w:lastRenderedPageBreak/>
        <w:t>MINIMUM STANDARDS</w:t>
      </w:r>
    </w:p>
    <w:p w14:paraId="6C736B90" w14:textId="72BE3343" w:rsidR="00E66677" w:rsidRPr="0087216E" w:rsidRDefault="00E66677" w:rsidP="006607B1">
      <w:pPr>
        <w:pStyle w:val="ListParagraph"/>
        <w:keepNext/>
        <w:numPr>
          <w:ilvl w:val="0"/>
          <w:numId w:val="28"/>
        </w:numPr>
        <w:autoSpaceDE w:val="0"/>
        <w:autoSpaceDN w:val="0"/>
        <w:adjustRightInd w:val="0"/>
        <w:spacing w:after="120"/>
        <w:ind w:left="714" w:hanging="357"/>
        <w:contextualSpacing w:val="0"/>
        <w:rPr>
          <w:rFonts w:cs="Arial"/>
          <w:szCs w:val="20"/>
        </w:rPr>
      </w:pPr>
      <w:r w:rsidRPr="0087216E">
        <w:rPr>
          <w:rFonts w:cs="Arial"/>
          <w:szCs w:val="20"/>
        </w:rPr>
        <w:t>Conduct some level of capacity and risk assessment</w:t>
      </w:r>
      <w:r w:rsidR="005D631B" w:rsidRPr="0087216E">
        <w:rPr>
          <w:rFonts w:cs="Arial"/>
          <w:szCs w:val="20"/>
        </w:rPr>
        <w:t xml:space="preserve">, involving the different </w:t>
      </w:r>
      <w:r w:rsidR="009E1DB2" w:rsidRPr="0087216E">
        <w:rPr>
          <w:rFonts w:cs="Arial"/>
          <w:szCs w:val="20"/>
        </w:rPr>
        <w:t>departments (especially Logistics and F</w:t>
      </w:r>
      <w:r w:rsidR="005D631B" w:rsidRPr="0087216E">
        <w:rPr>
          <w:rFonts w:cs="Arial"/>
          <w:szCs w:val="20"/>
        </w:rPr>
        <w:t>inance),</w:t>
      </w:r>
      <w:r w:rsidRPr="0087216E">
        <w:rPr>
          <w:rFonts w:cs="Arial"/>
          <w:szCs w:val="20"/>
        </w:rPr>
        <w:t xml:space="preserve"> before moving into response analysis</w:t>
      </w:r>
    </w:p>
    <w:p w14:paraId="0EDE036B" w14:textId="03D06305" w:rsidR="00C53138" w:rsidRPr="0087216E" w:rsidRDefault="00E66677" w:rsidP="006607B1">
      <w:pPr>
        <w:pStyle w:val="ListParagraph"/>
        <w:keepNext/>
        <w:numPr>
          <w:ilvl w:val="0"/>
          <w:numId w:val="28"/>
        </w:numPr>
        <w:autoSpaceDE w:val="0"/>
        <w:autoSpaceDN w:val="0"/>
        <w:adjustRightInd w:val="0"/>
        <w:spacing w:after="120"/>
        <w:ind w:left="714" w:hanging="357"/>
        <w:contextualSpacing w:val="0"/>
        <w:rPr>
          <w:rFonts w:cs="Arial"/>
          <w:szCs w:val="20"/>
        </w:rPr>
      </w:pPr>
      <w:r w:rsidRPr="0087216E">
        <w:rPr>
          <w:rFonts w:cs="Arial"/>
          <w:bCs/>
          <w:szCs w:val="20"/>
        </w:rPr>
        <w:t xml:space="preserve">Information </w:t>
      </w:r>
      <w:r w:rsidR="00BB3322" w:rsidRPr="0087216E">
        <w:rPr>
          <w:rFonts w:cs="Arial"/>
          <w:bCs/>
          <w:szCs w:val="20"/>
        </w:rPr>
        <w:t xml:space="preserve">gathered from service providers </w:t>
      </w:r>
      <w:r w:rsidRPr="0087216E">
        <w:rPr>
          <w:rFonts w:cs="Arial"/>
          <w:bCs/>
          <w:szCs w:val="20"/>
        </w:rPr>
        <w:t xml:space="preserve">should be triangulated </w:t>
      </w:r>
      <w:r w:rsidR="00BB3322" w:rsidRPr="0087216E">
        <w:rPr>
          <w:rFonts w:cs="Arial"/>
          <w:bCs/>
          <w:szCs w:val="20"/>
        </w:rPr>
        <w:t xml:space="preserve">with </w:t>
      </w:r>
      <w:r w:rsidRPr="0087216E">
        <w:rPr>
          <w:rFonts w:cs="Arial"/>
          <w:bCs/>
          <w:szCs w:val="20"/>
        </w:rPr>
        <w:t xml:space="preserve">secondary data and </w:t>
      </w:r>
      <w:r w:rsidR="00BB3322" w:rsidRPr="0087216E">
        <w:rPr>
          <w:rFonts w:cs="Arial"/>
          <w:bCs/>
          <w:szCs w:val="20"/>
        </w:rPr>
        <w:t>information</w:t>
      </w:r>
      <w:bookmarkStart w:id="0" w:name="_GoBack"/>
      <w:bookmarkEnd w:id="0"/>
      <w:r w:rsidR="00BB3322" w:rsidRPr="0087216E">
        <w:rPr>
          <w:rFonts w:cs="Arial"/>
          <w:bCs/>
          <w:szCs w:val="20"/>
        </w:rPr>
        <w:t xml:space="preserve"> gathered at community level</w:t>
      </w:r>
    </w:p>
    <w:p w14:paraId="4A4CD0AA" w14:textId="37BDAD02" w:rsidR="005D631B" w:rsidRPr="0087216E" w:rsidRDefault="00E66677" w:rsidP="00120D2C">
      <w:pPr>
        <w:pStyle w:val="ListParagraph"/>
        <w:widowControl w:val="0"/>
        <w:numPr>
          <w:ilvl w:val="0"/>
          <w:numId w:val="28"/>
        </w:numPr>
        <w:autoSpaceDE w:val="0"/>
        <w:autoSpaceDN w:val="0"/>
        <w:adjustRightInd w:val="0"/>
        <w:spacing w:after="120"/>
        <w:ind w:left="714" w:hanging="357"/>
        <w:contextualSpacing w:val="0"/>
        <w:rPr>
          <w:rFonts w:cs="Arial"/>
          <w:szCs w:val="20"/>
        </w:rPr>
      </w:pPr>
      <w:r w:rsidRPr="0087216E">
        <w:rPr>
          <w:rFonts w:cs="Arial"/>
          <w:bCs/>
          <w:szCs w:val="20"/>
        </w:rPr>
        <w:t>When assessing financial services, consider both formal and informal service</w:t>
      </w:r>
      <w:r w:rsidR="005D631B" w:rsidRPr="0087216E">
        <w:rPr>
          <w:rFonts w:cs="Arial"/>
          <w:bCs/>
          <w:szCs w:val="20"/>
        </w:rPr>
        <w:t>s</w:t>
      </w:r>
      <w:r w:rsidRPr="0087216E">
        <w:rPr>
          <w:rFonts w:cs="Arial"/>
          <w:bCs/>
          <w:szCs w:val="20"/>
        </w:rPr>
        <w:t xml:space="preserve"> accessed by the shock-affected population</w:t>
      </w:r>
    </w:p>
    <w:p w14:paraId="62C5A3C1" w14:textId="3F5EDB67" w:rsidR="00E66677" w:rsidRPr="0087216E" w:rsidRDefault="005D631B" w:rsidP="00120D2C">
      <w:pPr>
        <w:pStyle w:val="ListParagraph"/>
        <w:widowControl w:val="0"/>
        <w:numPr>
          <w:ilvl w:val="0"/>
          <w:numId w:val="28"/>
        </w:numPr>
        <w:autoSpaceDE w:val="0"/>
        <w:autoSpaceDN w:val="0"/>
        <w:adjustRightInd w:val="0"/>
        <w:spacing w:after="120"/>
        <w:ind w:left="714" w:hanging="357"/>
        <w:contextualSpacing w:val="0"/>
        <w:rPr>
          <w:rFonts w:cs="Arial"/>
          <w:szCs w:val="20"/>
        </w:rPr>
      </w:pPr>
      <w:r w:rsidRPr="0087216E">
        <w:rPr>
          <w:rFonts w:cs="Arial"/>
          <w:bCs/>
          <w:szCs w:val="20"/>
        </w:rPr>
        <w:t>When assessing the capacity of service providers, make sure that legal and data protection issues are taken into account</w:t>
      </w:r>
    </w:p>
    <w:p w14:paraId="5C5C8734" w14:textId="05532BD8" w:rsidR="00BB3322" w:rsidRPr="0087216E" w:rsidRDefault="00E66677" w:rsidP="00120D2C">
      <w:pPr>
        <w:pStyle w:val="ListParagraph"/>
        <w:numPr>
          <w:ilvl w:val="0"/>
          <w:numId w:val="28"/>
        </w:numPr>
        <w:spacing w:after="120"/>
        <w:ind w:left="714" w:hanging="357"/>
        <w:contextualSpacing w:val="0"/>
        <w:rPr>
          <w:rFonts w:eastAsia="Times New Roman" w:cs="Arial"/>
          <w:szCs w:val="20"/>
        </w:rPr>
      </w:pPr>
      <w:r w:rsidRPr="0087216E">
        <w:rPr>
          <w:rFonts w:eastAsia="Times New Roman" w:cs="Arial"/>
          <w:szCs w:val="20"/>
        </w:rPr>
        <w:t>Discussions around organiz</w:t>
      </w:r>
      <w:r w:rsidR="00BB3322" w:rsidRPr="0087216E">
        <w:rPr>
          <w:rFonts w:eastAsia="Times New Roman" w:cs="Arial"/>
          <w:szCs w:val="20"/>
        </w:rPr>
        <w:t xml:space="preserve">ational </w:t>
      </w:r>
      <w:r w:rsidRPr="0087216E">
        <w:rPr>
          <w:rFonts w:eastAsia="Times New Roman" w:cs="Arial"/>
          <w:szCs w:val="20"/>
        </w:rPr>
        <w:t xml:space="preserve">and partners’ </w:t>
      </w:r>
      <w:r w:rsidR="00BB3322" w:rsidRPr="0087216E">
        <w:rPr>
          <w:rFonts w:eastAsia="Times New Roman" w:cs="Arial"/>
          <w:szCs w:val="20"/>
        </w:rPr>
        <w:t xml:space="preserve">capacity </w:t>
      </w:r>
      <w:r w:rsidRPr="0087216E">
        <w:rPr>
          <w:rFonts w:eastAsia="Times New Roman" w:cs="Arial"/>
          <w:szCs w:val="20"/>
        </w:rPr>
        <w:t xml:space="preserve">should </w:t>
      </w:r>
      <w:r w:rsidR="00BB3322" w:rsidRPr="0087216E">
        <w:rPr>
          <w:rFonts w:eastAsia="Times New Roman" w:cs="Arial"/>
          <w:szCs w:val="20"/>
        </w:rPr>
        <w:t>include senior management to ensure t</w:t>
      </w:r>
      <w:r w:rsidRPr="0087216E">
        <w:rPr>
          <w:rFonts w:eastAsia="Times New Roman" w:cs="Arial"/>
          <w:szCs w:val="20"/>
        </w:rPr>
        <w:t xml:space="preserve">horough consideration of </w:t>
      </w:r>
      <w:r w:rsidR="00BB3322" w:rsidRPr="0087216E">
        <w:rPr>
          <w:rFonts w:eastAsia="Times New Roman" w:cs="Arial"/>
          <w:szCs w:val="20"/>
        </w:rPr>
        <w:t>opportunities, risks and strategic orientation.</w:t>
      </w:r>
    </w:p>
    <w:p w14:paraId="1C935CD1" w14:textId="444C2564" w:rsidR="00BB3322" w:rsidRPr="0087216E" w:rsidRDefault="00120D2C" w:rsidP="00120D2C">
      <w:pPr>
        <w:pStyle w:val="ListParagraph"/>
        <w:widowControl w:val="0"/>
        <w:numPr>
          <w:ilvl w:val="0"/>
          <w:numId w:val="28"/>
        </w:numPr>
        <w:autoSpaceDE w:val="0"/>
        <w:autoSpaceDN w:val="0"/>
        <w:adjustRightInd w:val="0"/>
        <w:spacing w:after="120"/>
        <w:ind w:left="714" w:hanging="357"/>
        <w:contextualSpacing w:val="0"/>
        <w:rPr>
          <w:rFonts w:cs="Arial"/>
          <w:szCs w:val="20"/>
        </w:rPr>
      </w:pPr>
      <w:r w:rsidRPr="0087216E">
        <w:rPr>
          <w:rFonts w:cs="Arial"/>
          <w:szCs w:val="20"/>
        </w:rPr>
        <w:t>Risk analysis should start with the identification of macro-level risks and include risks directly associated with cash responses in the given context</w:t>
      </w:r>
    </w:p>
    <w:p w14:paraId="36BC10D5" w14:textId="77777777" w:rsidR="00A22FB8" w:rsidRPr="007E00C6" w:rsidRDefault="00A22FB8" w:rsidP="00C40D97">
      <w:pPr>
        <w:pStyle w:val="Heading2"/>
      </w:pPr>
      <w:r w:rsidRPr="007E00C6">
        <w:t>SUB-STEPS AND TOOLS</w:t>
      </w:r>
    </w:p>
    <w:p w14:paraId="1F69763B" w14:textId="01412A81" w:rsidR="00681C45" w:rsidRDefault="00903F5D" w:rsidP="006607B1">
      <w:pPr>
        <w:pStyle w:val="Heading3"/>
        <w:rPr>
          <w:rFonts w:cs="O¯øœ!Ÿ"/>
          <w:szCs w:val="22"/>
        </w:rPr>
      </w:pPr>
      <w:r>
        <w:t>Assess financial services</w:t>
      </w:r>
    </w:p>
    <w:p w14:paraId="40EDD16B" w14:textId="52CA8EB5" w:rsidR="005D631B" w:rsidRDefault="00521DEF" w:rsidP="006607B1">
      <w:pPr>
        <w:rPr>
          <w:bCs/>
        </w:rPr>
      </w:pPr>
      <w:r w:rsidRPr="006875AB">
        <w:t xml:space="preserve">An initial assessment of </w:t>
      </w:r>
      <w:r w:rsidR="006C4773" w:rsidRPr="006875AB">
        <w:t xml:space="preserve">financial service providers, including mobile phone operators, should allow you to </w:t>
      </w:r>
      <w:r w:rsidR="00903F5D" w:rsidRPr="006875AB">
        <w:t>understand the</w:t>
      </w:r>
      <w:r w:rsidR="006C4773" w:rsidRPr="006875AB">
        <w:t>ir</w:t>
      </w:r>
      <w:r w:rsidR="00903F5D" w:rsidRPr="006875AB">
        <w:t xml:space="preserve"> operational context</w:t>
      </w:r>
      <w:r w:rsidR="0018406F" w:rsidRPr="006875AB">
        <w:t xml:space="preserve">, from </w:t>
      </w:r>
      <w:r w:rsidR="006C4773" w:rsidRPr="006875AB">
        <w:t xml:space="preserve">the </w:t>
      </w:r>
      <w:r w:rsidR="0018406F" w:rsidRPr="006875AB">
        <w:rPr>
          <w:bCs/>
        </w:rPr>
        <w:t>service</w:t>
      </w:r>
      <w:r w:rsidR="006C4773" w:rsidRPr="006875AB">
        <w:rPr>
          <w:bCs/>
        </w:rPr>
        <w:t>s they offer, to coverage, accessibility, costs</w:t>
      </w:r>
      <w:r w:rsidR="009E1DB2">
        <w:rPr>
          <w:bCs/>
        </w:rPr>
        <w:t>, legal and data-</w:t>
      </w:r>
      <w:r w:rsidR="005D631B">
        <w:rPr>
          <w:bCs/>
        </w:rPr>
        <w:t>protection</w:t>
      </w:r>
      <w:r w:rsidR="006C4773" w:rsidRPr="006875AB">
        <w:rPr>
          <w:bCs/>
        </w:rPr>
        <w:t xml:space="preserve"> </w:t>
      </w:r>
      <w:r w:rsidR="00F22587" w:rsidRPr="006875AB">
        <w:rPr>
          <w:bCs/>
        </w:rPr>
        <w:t xml:space="preserve">aspects. </w:t>
      </w:r>
      <w:r w:rsidR="00770BCD">
        <w:rPr>
          <w:bCs/>
        </w:rPr>
        <w:t>Because of their expertise, s</w:t>
      </w:r>
      <w:r w:rsidR="009E1DB2">
        <w:rPr>
          <w:bCs/>
        </w:rPr>
        <w:t>upport departments (Finance and L</w:t>
      </w:r>
      <w:r w:rsidR="005D631B">
        <w:rPr>
          <w:bCs/>
        </w:rPr>
        <w:t xml:space="preserve">ogistics) </w:t>
      </w:r>
      <w:r w:rsidR="009E1DB2">
        <w:rPr>
          <w:bCs/>
        </w:rPr>
        <w:t>play an important role</w:t>
      </w:r>
      <w:r w:rsidR="00770BCD">
        <w:rPr>
          <w:bCs/>
        </w:rPr>
        <w:t xml:space="preserve"> and sometimes take the lead in the </w:t>
      </w:r>
      <w:r w:rsidR="00770BCD" w:rsidRPr="006875AB">
        <w:t>assessment of</w:t>
      </w:r>
      <w:r w:rsidR="009E1DB2">
        <w:t xml:space="preserve"> the capacity of</w:t>
      </w:r>
      <w:r w:rsidR="00770BCD" w:rsidRPr="006875AB">
        <w:t xml:space="preserve"> financial service providers</w:t>
      </w:r>
      <w:r w:rsidR="00770BCD">
        <w:rPr>
          <w:bCs/>
        </w:rPr>
        <w:t>.</w:t>
      </w:r>
      <w:r w:rsidR="005D631B">
        <w:rPr>
          <w:bCs/>
        </w:rPr>
        <w:t xml:space="preserve"> </w:t>
      </w:r>
      <w:r w:rsidR="00770BCD">
        <w:rPr>
          <w:bCs/>
        </w:rPr>
        <w:t xml:space="preserve">Roles and responsibilities will be defined in the CTP </w:t>
      </w:r>
      <w:r w:rsidR="009E1DB2">
        <w:rPr>
          <w:bCs/>
        </w:rPr>
        <w:t>standard operating procedures (</w:t>
      </w:r>
      <w:proofErr w:type="spellStart"/>
      <w:r w:rsidR="009E1DB2">
        <w:rPr>
          <w:bCs/>
        </w:rPr>
        <w:t>SoPs</w:t>
      </w:r>
      <w:proofErr w:type="spellEnd"/>
      <w:r w:rsidR="009E1DB2">
        <w:rPr>
          <w:bCs/>
        </w:rPr>
        <w:t xml:space="preserve">) </w:t>
      </w:r>
      <w:r w:rsidR="00770BCD">
        <w:rPr>
          <w:bCs/>
        </w:rPr>
        <w:t>and good coordination is essential.</w:t>
      </w:r>
      <w:r w:rsidR="009E1DB2">
        <w:rPr>
          <w:bCs/>
        </w:rPr>
        <w:t xml:space="preserve"> </w:t>
      </w:r>
    </w:p>
    <w:p w14:paraId="1B898C87" w14:textId="2C37BFAF" w:rsidR="003D262A" w:rsidRPr="00F00D42" w:rsidRDefault="006C4773" w:rsidP="006607B1">
      <w:r w:rsidRPr="006875AB">
        <w:rPr>
          <w:bCs/>
        </w:rPr>
        <w:t>Eventually</w:t>
      </w:r>
      <w:r w:rsidR="009E1DB2">
        <w:rPr>
          <w:bCs/>
        </w:rPr>
        <w:t>,</w:t>
      </w:r>
      <w:r w:rsidRPr="006875AB">
        <w:rPr>
          <w:bCs/>
        </w:rPr>
        <w:t xml:space="preserve"> you should be able to </w:t>
      </w:r>
      <w:r w:rsidR="0018406F" w:rsidRPr="006875AB">
        <w:rPr>
          <w:bCs/>
        </w:rPr>
        <w:t>i</w:t>
      </w:r>
      <w:r w:rsidR="0018406F" w:rsidRPr="006875AB">
        <w:t>dentify service providers</w:t>
      </w:r>
      <w:r w:rsidRPr="006875AB">
        <w:t xml:space="preserve"> </w:t>
      </w:r>
      <w:r w:rsidR="0018406F" w:rsidRPr="006875AB">
        <w:t>and t</w:t>
      </w:r>
      <w:r w:rsidR="009E1DB2">
        <w:t>heir potential response capacities</w:t>
      </w:r>
      <w:r w:rsidR="0018406F" w:rsidRPr="006875AB">
        <w:t xml:space="preserve">. </w:t>
      </w:r>
      <w:r w:rsidR="006875AB" w:rsidRPr="006875AB">
        <w:t xml:space="preserve">This will feed into discussions </w:t>
      </w:r>
      <w:r w:rsidR="00442EA7" w:rsidRPr="006875AB">
        <w:t xml:space="preserve">to be held </w:t>
      </w:r>
      <w:r w:rsidR="006875AB" w:rsidRPr="006875AB">
        <w:t xml:space="preserve">and decisions </w:t>
      </w:r>
      <w:r w:rsidR="00442EA7">
        <w:t xml:space="preserve">to be made </w:t>
      </w:r>
      <w:r w:rsidR="006875AB" w:rsidRPr="006875AB">
        <w:t xml:space="preserve">during response </w:t>
      </w:r>
      <w:r w:rsidR="006875AB" w:rsidRPr="006607B1">
        <w:t>analysis (</w:t>
      </w:r>
      <w:r w:rsidR="009E1DB2" w:rsidRPr="006607B1">
        <w:t>M</w:t>
      </w:r>
      <w:r w:rsidR="006875AB" w:rsidRPr="006607B1">
        <w:t xml:space="preserve">odule 3), </w:t>
      </w:r>
      <w:r w:rsidR="003D262A" w:rsidRPr="006607B1">
        <w:t>as well as into</w:t>
      </w:r>
      <w:r w:rsidR="006875AB" w:rsidRPr="006607B1">
        <w:t xml:space="preserve"> the </w:t>
      </w:r>
      <w:r w:rsidR="003D262A" w:rsidRPr="006607B1">
        <w:t xml:space="preserve">final </w:t>
      </w:r>
      <w:r w:rsidR="006875AB" w:rsidRPr="006607B1">
        <w:t xml:space="preserve">selection of financial service providers </w:t>
      </w:r>
      <w:r w:rsidR="003D262A" w:rsidRPr="006607B1">
        <w:t>during set-up and</w:t>
      </w:r>
      <w:r w:rsidR="006875AB" w:rsidRPr="006607B1">
        <w:t xml:space="preserve"> implementation (</w:t>
      </w:r>
      <w:r w:rsidR="009E1DB2" w:rsidRPr="006607B1">
        <w:t>M</w:t>
      </w:r>
      <w:r w:rsidR="006875AB" w:rsidRPr="006607B1">
        <w:t>odule 4</w:t>
      </w:r>
      <w:r w:rsidR="006875AB" w:rsidRPr="006875AB">
        <w:t xml:space="preserve">). </w:t>
      </w:r>
      <w:r w:rsidR="00722B54" w:rsidRPr="00722B54">
        <w:t xml:space="preserve">Be sure to </w:t>
      </w:r>
      <w:r w:rsidR="009E1DB2">
        <w:t>involve the F</w:t>
      </w:r>
      <w:r w:rsidR="00722B54" w:rsidRPr="00722B54">
        <w:t xml:space="preserve">inance </w:t>
      </w:r>
      <w:r w:rsidR="009E1DB2">
        <w:t xml:space="preserve">department </w:t>
      </w:r>
      <w:r w:rsidR="00722B54" w:rsidRPr="00722B54">
        <w:t>in this process.</w:t>
      </w:r>
      <w:r w:rsidR="00722B54">
        <w:t xml:space="preserve"> </w:t>
      </w:r>
    </w:p>
    <w:p w14:paraId="1C49F211" w14:textId="117D3DEB" w:rsidR="007165E1" w:rsidRDefault="007165E1" w:rsidP="006607B1">
      <w:pPr>
        <w:rPr>
          <w:rFonts w:cs="Arial"/>
          <w:bCs/>
        </w:rPr>
      </w:pPr>
      <w:r w:rsidRPr="006C4773">
        <w:t>Among the sub-step tools</w:t>
      </w:r>
      <w:r>
        <w:t>, you</w:t>
      </w:r>
      <w:r w:rsidRPr="00F22587">
        <w:t xml:space="preserve"> </w:t>
      </w:r>
      <w:r>
        <w:t xml:space="preserve">will find a matrix with the main topics to be assessed, potential sources of information and an indication of whether the research on each topic should be desk or interview based. Also, you will find a questionnaire to be used in interviews with representatives of service providers operating in the affected area. This primary information should be consolidated with secondary data and information gathered from the community about its access to and use of financial services </w:t>
      </w:r>
      <w:r w:rsidRPr="006607B1">
        <w:t>(Step 2 tools). For this purpose, you can use the spreadsheet made available in the sub-step tools. This should give you an</w:t>
      </w:r>
      <w:r>
        <w:t xml:space="preserve"> idea of where</w:t>
      </w:r>
      <w:r>
        <w:rPr>
          <w:rFonts w:cs="Arial"/>
          <w:bCs/>
        </w:rPr>
        <w:t xml:space="preserve"> </w:t>
      </w:r>
      <w:r w:rsidRPr="00F22587">
        <w:rPr>
          <w:rFonts w:cs="Arial"/>
          <w:bCs/>
        </w:rPr>
        <w:t>service</w:t>
      </w:r>
      <w:r>
        <w:rPr>
          <w:rFonts w:cs="Arial"/>
          <w:bCs/>
        </w:rPr>
        <w:t>s</w:t>
      </w:r>
      <w:r w:rsidRPr="00F22587">
        <w:rPr>
          <w:rFonts w:cs="Arial"/>
          <w:bCs/>
        </w:rPr>
        <w:t xml:space="preserve"> </w:t>
      </w:r>
      <w:r>
        <w:rPr>
          <w:rFonts w:cs="Arial"/>
          <w:bCs/>
        </w:rPr>
        <w:t>are located and</w:t>
      </w:r>
      <w:r w:rsidRPr="00F22587">
        <w:rPr>
          <w:rFonts w:cs="Arial"/>
          <w:bCs/>
        </w:rPr>
        <w:t xml:space="preserve"> their capacity to reach the affected population.</w:t>
      </w:r>
      <w:r>
        <w:rPr>
          <w:rFonts w:cs="Arial"/>
          <w:bCs/>
        </w:rPr>
        <w:t xml:space="preserve">  </w:t>
      </w:r>
    </w:p>
    <w:p w14:paraId="5BD83BDC" w14:textId="77777777" w:rsidR="007165E1" w:rsidRPr="006607B1" w:rsidRDefault="007165E1" w:rsidP="006607B1">
      <w:r w:rsidRPr="00F00D42">
        <w:rPr>
          <w:rFonts w:cs="O¯øœ!Ÿ"/>
        </w:rPr>
        <w:t>Depending on the complexity of the service provider sector, it might be</w:t>
      </w:r>
      <w:r w:rsidRPr="00F00D42">
        <w:t xml:space="preserve"> opportune to take advantage of the expertise made available during the assessment phase</w:t>
      </w:r>
      <w:r>
        <w:t>. This expertise can enhance</w:t>
      </w:r>
      <w:r w:rsidRPr="00F00D42">
        <w:t xml:space="preserve"> your </w:t>
      </w:r>
      <w:r>
        <w:t>process of identifying</w:t>
      </w:r>
      <w:r w:rsidRPr="00F00D42">
        <w:t xml:space="preserve"> and selecti</w:t>
      </w:r>
      <w:r>
        <w:t>ng</w:t>
      </w:r>
      <w:r w:rsidRPr="00F00D42">
        <w:t xml:space="preserve"> </w:t>
      </w:r>
      <w:r>
        <w:t>the</w:t>
      </w:r>
      <w:r w:rsidRPr="00F00D42">
        <w:t xml:space="preserve"> service providers </w:t>
      </w:r>
      <w:r>
        <w:t>that will</w:t>
      </w:r>
      <w:r w:rsidRPr="00F00D42">
        <w:t xml:space="preserve"> work</w:t>
      </w:r>
      <w:r>
        <w:t xml:space="preserve"> with you</w:t>
      </w:r>
      <w:r w:rsidRPr="00F00D42">
        <w:rPr>
          <w:rFonts w:cs="O¯øœ!Ÿ"/>
        </w:rPr>
        <w:t xml:space="preserve">. This will </w:t>
      </w:r>
      <w:r w:rsidRPr="00F00D42">
        <w:t xml:space="preserve">require more in-depth information on the service providers and may require collaboration with </w:t>
      </w:r>
      <w:r>
        <w:t>the F</w:t>
      </w:r>
      <w:r w:rsidRPr="00F00D42">
        <w:t xml:space="preserve">inance and </w:t>
      </w:r>
      <w:r>
        <w:t>L</w:t>
      </w:r>
      <w:r w:rsidRPr="00F00D42">
        <w:t>ogistics</w:t>
      </w:r>
      <w:r>
        <w:t xml:space="preserve"> departments</w:t>
      </w:r>
      <w:r w:rsidRPr="00F00D42">
        <w:t>.</w:t>
      </w:r>
      <w:r w:rsidRPr="00F00D42">
        <w:rPr>
          <w:rFonts w:cs="O¯øœ!Ÿ"/>
        </w:rPr>
        <w:t xml:space="preserve"> You will find relevant </w:t>
      </w:r>
      <w:r w:rsidRPr="006607B1">
        <w:t xml:space="preserve">tools in Module 4, Step 3. </w:t>
      </w:r>
    </w:p>
    <w:p w14:paraId="0EDAF301" w14:textId="77777777" w:rsidR="00A65DC3" w:rsidRPr="00936FC9" w:rsidRDefault="00903F5D" w:rsidP="006607B1">
      <w:pPr>
        <w:pStyle w:val="Heading3"/>
      </w:pPr>
      <w:r w:rsidRPr="00936FC9">
        <w:t>Assess organizational capacity</w:t>
      </w:r>
    </w:p>
    <w:p w14:paraId="358E2D29" w14:textId="74DBBCA0" w:rsidR="00936FC9" w:rsidRPr="00EB2A2D" w:rsidRDefault="007165E1" w:rsidP="00936FC9">
      <w:pPr>
        <w:rPr>
          <w:rFonts w:cs="Lucida Grande"/>
          <w:color w:val="000000"/>
          <w:sz w:val="22"/>
          <w:szCs w:val="22"/>
        </w:rPr>
      </w:pPr>
      <w:r>
        <w:rPr>
          <w:rFonts w:cs="Lucida Grande"/>
          <w:color w:val="000000"/>
          <w:sz w:val="22"/>
          <w:szCs w:val="22"/>
        </w:rPr>
        <w:t>Assessing the organiz</w:t>
      </w:r>
      <w:r w:rsidR="00936FC9" w:rsidRPr="00E70A86">
        <w:rPr>
          <w:rFonts w:cs="Lucida Grande"/>
          <w:color w:val="000000"/>
          <w:sz w:val="22"/>
          <w:szCs w:val="22"/>
        </w:rPr>
        <w:t>ational and technical capacities of the implementing agency and partners is a vital step in ensuring the quality</w:t>
      </w:r>
      <w:r w:rsidR="00E70A86" w:rsidRPr="00E70A86">
        <w:rPr>
          <w:rFonts w:cs="Lucida Grande"/>
          <w:color w:val="000000"/>
          <w:sz w:val="22"/>
          <w:szCs w:val="22"/>
        </w:rPr>
        <w:t xml:space="preserve"> (including data protection issues)</w:t>
      </w:r>
      <w:r w:rsidR="00936FC9" w:rsidRPr="00E70A86">
        <w:rPr>
          <w:rFonts w:cs="Lucida Grande"/>
          <w:color w:val="000000"/>
          <w:sz w:val="22"/>
          <w:szCs w:val="22"/>
        </w:rPr>
        <w:t>, timeliness and scalability of cash transfer. The process should include all departments (managerial, technical and support) involved in CTP implementation.</w:t>
      </w:r>
      <w:r w:rsidR="00C93AEE">
        <w:rPr>
          <w:rFonts w:cs="Lucida Grande"/>
          <w:color w:val="000000"/>
          <w:sz w:val="22"/>
          <w:szCs w:val="22"/>
        </w:rPr>
        <w:t xml:space="preserve"> </w:t>
      </w:r>
      <w:r w:rsidR="00EB2A2D" w:rsidRPr="00EB2A2D">
        <w:rPr>
          <w:rFonts w:cs="Lucida Grande"/>
          <w:color w:val="000000"/>
          <w:sz w:val="22"/>
          <w:szCs w:val="22"/>
        </w:rPr>
        <w:t xml:space="preserve">In the </w:t>
      </w:r>
      <w:r w:rsidR="00EB2A2D" w:rsidRPr="00EB2A2D">
        <w:rPr>
          <w:rFonts w:cs="Lucida Grande"/>
          <w:sz w:val="22"/>
          <w:szCs w:val="22"/>
        </w:rPr>
        <w:t>preparedness module</w:t>
      </w:r>
      <w:r w:rsidR="00EB2A2D" w:rsidRPr="00EB2A2D">
        <w:rPr>
          <w:rFonts w:cs="Lucida Grande"/>
          <w:color w:val="000000"/>
          <w:sz w:val="22"/>
          <w:szCs w:val="22"/>
        </w:rPr>
        <w:t xml:space="preserve">, you will find a </w:t>
      </w:r>
      <w:r w:rsidR="00EB2A2D" w:rsidRPr="006607B1">
        <w:t xml:space="preserve">checklist for </w:t>
      </w:r>
      <w:r w:rsidR="00EB2A2D" w:rsidRPr="00EB2A2D">
        <w:rPr>
          <w:rFonts w:ascii="Calibri" w:hAnsi="Calibri"/>
          <w:w w:val="102"/>
          <w:sz w:val="22"/>
          <w:szCs w:val="22"/>
        </w:rPr>
        <w:t>National Societies to identify their operational readiness, capacity and</w:t>
      </w:r>
      <w:r w:rsidR="00063601">
        <w:rPr>
          <w:rFonts w:ascii="Calibri" w:hAnsi="Calibri"/>
          <w:w w:val="102"/>
          <w:sz w:val="22"/>
          <w:szCs w:val="22"/>
        </w:rPr>
        <w:t xml:space="preserve"> the</w:t>
      </w:r>
      <w:r w:rsidR="00EB2A2D" w:rsidRPr="00EB2A2D">
        <w:rPr>
          <w:rFonts w:ascii="Calibri" w:hAnsi="Calibri"/>
          <w:w w:val="102"/>
          <w:sz w:val="22"/>
          <w:szCs w:val="22"/>
        </w:rPr>
        <w:t xml:space="preserve"> gaps in implementing CTP responses</w:t>
      </w:r>
      <w:r w:rsidR="00EB2A2D">
        <w:rPr>
          <w:rFonts w:ascii="Calibri" w:hAnsi="Calibri"/>
          <w:w w:val="102"/>
          <w:sz w:val="22"/>
          <w:szCs w:val="22"/>
        </w:rPr>
        <w:t>.</w:t>
      </w:r>
    </w:p>
    <w:p w14:paraId="7C0BE506" w14:textId="2FD1FA7A" w:rsidR="00681C45" w:rsidRDefault="00903F5D" w:rsidP="006607B1">
      <w:pPr>
        <w:pStyle w:val="Heading3"/>
        <w:rPr>
          <w:rFonts w:cs="O¯øœ!Ÿ"/>
          <w:szCs w:val="22"/>
        </w:rPr>
      </w:pPr>
      <w:r w:rsidRPr="00617205">
        <w:t>Analy</w:t>
      </w:r>
      <w:r w:rsidR="00063601" w:rsidRPr="00617205">
        <w:t>s</w:t>
      </w:r>
      <w:r w:rsidRPr="00617205">
        <w:t>e</w:t>
      </w:r>
      <w:r>
        <w:t xml:space="preserve"> risks</w:t>
      </w:r>
    </w:p>
    <w:p w14:paraId="0B271A24" w14:textId="354BD253" w:rsidR="00E76995" w:rsidRPr="000649E7" w:rsidRDefault="000649E7" w:rsidP="006607B1">
      <w:r w:rsidRPr="000649E7">
        <w:t>Risk analysis is the process of identifying risks, assessing their likelihood and impact, and deciding</w:t>
      </w:r>
      <w:r w:rsidR="00063601">
        <w:t xml:space="preserve"> how to manage</w:t>
      </w:r>
      <w:r w:rsidRPr="000649E7">
        <w:t xml:space="preserve"> them. </w:t>
      </w:r>
      <w:r w:rsidR="00A14C63" w:rsidRPr="000649E7">
        <w:t>Risks should be considered throughout the project cycle</w:t>
      </w:r>
      <w:r w:rsidR="0049199F" w:rsidRPr="000649E7">
        <w:t>, starting from the assessment, when risks, particularly macro-level risks, should be identified</w:t>
      </w:r>
      <w:r w:rsidR="008D1CE2">
        <w:t xml:space="preserve"> first</w:t>
      </w:r>
      <w:r w:rsidR="0049199F" w:rsidRPr="000649E7">
        <w:t xml:space="preserve">. </w:t>
      </w:r>
      <w:r w:rsidR="00E76995" w:rsidRPr="000649E7">
        <w:t>The risk</w:t>
      </w:r>
      <w:r w:rsidRPr="000649E7">
        <w:t>s</w:t>
      </w:r>
      <w:r w:rsidR="00E76995" w:rsidRPr="000649E7">
        <w:t xml:space="preserve"> identified</w:t>
      </w:r>
      <w:r w:rsidR="00A14C63" w:rsidRPr="000649E7">
        <w:t xml:space="preserve"> will be investigated</w:t>
      </w:r>
      <w:r w:rsidR="00903F5D" w:rsidRPr="000649E7">
        <w:t xml:space="preserve"> </w:t>
      </w:r>
      <w:r w:rsidR="008D1CE2" w:rsidRPr="000649E7">
        <w:t xml:space="preserve">further </w:t>
      </w:r>
      <w:r w:rsidR="00903F5D" w:rsidRPr="000649E7">
        <w:t>in response analysis</w:t>
      </w:r>
      <w:r w:rsidR="00A14C63" w:rsidRPr="000649E7">
        <w:t xml:space="preserve"> to determine the feasibility of cash and the </w:t>
      </w:r>
      <w:r w:rsidR="0049199F" w:rsidRPr="000649E7">
        <w:t>appropriateness of the different response options</w:t>
      </w:r>
      <w:r w:rsidR="00903F5D" w:rsidRPr="000649E7">
        <w:t>.</w:t>
      </w:r>
      <w:r w:rsidR="00BB3322" w:rsidRPr="000649E7">
        <w:t xml:space="preserve"> </w:t>
      </w:r>
      <w:r w:rsidR="0049199F" w:rsidRPr="000649E7">
        <w:t>Throughout the implementation phase, risks</w:t>
      </w:r>
      <w:r w:rsidR="00A14C63" w:rsidRPr="000649E7">
        <w:t xml:space="preserve"> will be mitigated and monitored.</w:t>
      </w:r>
      <w:r w:rsidR="00E76995" w:rsidRPr="000649E7">
        <w:t xml:space="preserve"> </w:t>
      </w:r>
      <w:r w:rsidR="008D1CE2">
        <w:t xml:space="preserve"> </w:t>
      </w:r>
    </w:p>
    <w:p w14:paraId="5159EE22" w14:textId="21EEAA88" w:rsidR="00A14C63" w:rsidRDefault="00E76995" w:rsidP="006607B1">
      <w:pPr>
        <w:spacing w:after="360"/>
        <w:rPr>
          <w:color w:val="000000"/>
        </w:rPr>
      </w:pPr>
      <w:r w:rsidRPr="000649E7">
        <w:lastRenderedPageBreak/>
        <w:t>T</w:t>
      </w:r>
      <w:r w:rsidR="0049199F" w:rsidRPr="000649E7">
        <w:t xml:space="preserve">he </w:t>
      </w:r>
      <w:r w:rsidR="0049199F" w:rsidRPr="009510D2">
        <w:t>tools</w:t>
      </w:r>
      <w:r w:rsidR="0049199F" w:rsidRPr="000649E7">
        <w:t xml:space="preserve"> </w:t>
      </w:r>
      <w:r w:rsidR="009A55D8" w:rsidRPr="000649E7">
        <w:t>suggested</w:t>
      </w:r>
      <w:r w:rsidR="0049199F" w:rsidRPr="000649E7">
        <w:t xml:space="preserve"> in </w:t>
      </w:r>
      <w:r w:rsidR="00A14C63" w:rsidRPr="000649E7">
        <w:t>this sub-step</w:t>
      </w:r>
      <w:r w:rsidR="0049199F" w:rsidRPr="000649E7">
        <w:t xml:space="preserve"> </w:t>
      </w:r>
      <w:r w:rsidR="009A55D8" w:rsidRPr="000649E7">
        <w:t xml:space="preserve">include </w:t>
      </w:r>
      <w:r w:rsidRPr="000649E7">
        <w:t>a</w:t>
      </w:r>
      <w:r w:rsidR="009A55D8" w:rsidRPr="000649E7">
        <w:t xml:space="preserve"> road</w:t>
      </w:r>
      <w:r w:rsidR="00A25A0C">
        <w:t xml:space="preserve"> </w:t>
      </w:r>
      <w:r w:rsidR="009A55D8" w:rsidRPr="000649E7">
        <w:t xml:space="preserve">map </w:t>
      </w:r>
      <w:r w:rsidR="000649E7" w:rsidRPr="000649E7">
        <w:t xml:space="preserve">that </w:t>
      </w:r>
      <w:r w:rsidR="00E66677">
        <w:t>will guide</w:t>
      </w:r>
      <w:r w:rsidR="000649E7" w:rsidRPr="000649E7">
        <w:t xml:space="preserve"> you through the </w:t>
      </w:r>
      <w:r w:rsidR="009A55D8" w:rsidRPr="000649E7">
        <w:t>risk analysis</w:t>
      </w:r>
      <w:r w:rsidR="000649E7" w:rsidRPr="000649E7">
        <w:t xml:space="preserve"> process and</w:t>
      </w:r>
      <w:r w:rsidR="009A55D8" w:rsidRPr="000649E7">
        <w:t xml:space="preserve"> </w:t>
      </w:r>
      <w:r w:rsidRPr="000649E7">
        <w:t>can be used</w:t>
      </w:r>
      <w:r w:rsidR="00BB3322" w:rsidRPr="000649E7">
        <w:rPr>
          <w:color w:val="000000"/>
        </w:rPr>
        <w:t xml:space="preserve"> </w:t>
      </w:r>
      <w:r w:rsidR="008D1CE2" w:rsidRPr="000649E7">
        <w:t xml:space="preserve">also </w:t>
      </w:r>
      <w:r w:rsidR="0049199F" w:rsidRPr="000649E7">
        <w:rPr>
          <w:color w:val="000000"/>
        </w:rPr>
        <w:t>in</w:t>
      </w:r>
      <w:r w:rsidR="00A14C63" w:rsidRPr="000649E7">
        <w:rPr>
          <w:color w:val="000000"/>
        </w:rPr>
        <w:t xml:space="preserve"> the response analysis </w:t>
      </w:r>
      <w:r w:rsidRPr="000649E7">
        <w:rPr>
          <w:color w:val="000000"/>
        </w:rPr>
        <w:t>phase</w:t>
      </w:r>
      <w:r w:rsidR="009573A8" w:rsidRPr="000649E7">
        <w:rPr>
          <w:color w:val="000000"/>
        </w:rPr>
        <w:t xml:space="preserve">. </w:t>
      </w:r>
      <w:r w:rsidRPr="000649E7">
        <w:rPr>
          <w:color w:val="000000"/>
        </w:rPr>
        <w:t xml:space="preserve">The sub-step tools also include a risk management </w:t>
      </w:r>
      <w:r w:rsidR="006F569A">
        <w:rPr>
          <w:color w:val="000000"/>
        </w:rPr>
        <w:t xml:space="preserve">checklist to </w:t>
      </w:r>
      <w:r w:rsidRPr="000649E7">
        <w:rPr>
          <w:color w:val="000000"/>
        </w:rPr>
        <w:t>help you identify issues to be addressed when determining the feasibility of cash.</w:t>
      </w:r>
      <w:r w:rsidR="008D1CE2">
        <w:rPr>
          <w:color w:val="000000"/>
        </w:rPr>
        <w:t xml:space="preserve"> </w:t>
      </w:r>
    </w:p>
    <w:tbl>
      <w:tblPr>
        <w:tblStyle w:val="TableGray"/>
        <w:tblW w:w="0" w:type="auto"/>
        <w:tblLook w:val="04A0" w:firstRow="1" w:lastRow="0" w:firstColumn="1" w:lastColumn="0" w:noHBand="0" w:noVBand="1"/>
      </w:tblPr>
      <w:tblGrid>
        <w:gridCol w:w="9848"/>
      </w:tblGrid>
      <w:tr w:rsidR="00C40D97" w:rsidRPr="00C40D97" w14:paraId="5ACCE316" w14:textId="77777777" w:rsidTr="00C40D97">
        <w:tc>
          <w:tcPr>
            <w:tcW w:w="9848" w:type="dxa"/>
          </w:tcPr>
          <w:p w14:paraId="305D5FC9" w14:textId="77777777" w:rsidR="00C40D97" w:rsidRPr="00C40D97" w:rsidRDefault="00C40D97" w:rsidP="00C40D97">
            <w:pPr>
              <w:pStyle w:val="RefTitre"/>
            </w:pPr>
            <w:r w:rsidRPr="00C40D97">
              <w:t>REFERENCE DOCUMENTS</w:t>
            </w:r>
          </w:p>
          <w:p w14:paraId="093060BD" w14:textId="51B3626F" w:rsidR="00C40D97" w:rsidRPr="00C40D97" w:rsidRDefault="00C40D97" w:rsidP="00C40D97">
            <w:pPr>
              <w:pStyle w:val="RefItem1"/>
              <w:rPr>
                <w:color w:val="0000FF"/>
                <w:u w:val="single"/>
              </w:rPr>
            </w:pPr>
            <w:proofErr w:type="spellStart"/>
            <w:r w:rsidRPr="00C40D97">
              <w:t>CaLP</w:t>
            </w:r>
            <w:proofErr w:type="spellEnd"/>
            <w:r w:rsidRPr="00C40D97">
              <w:t xml:space="preserve"> (2013) E-transfers in emergencies: Implementation support guidelines </w:t>
            </w:r>
            <w:hyperlink r:id="rId10" w:history="1">
              <w:r w:rsidR="00B20606">
                <w:rPr>
                  <w:rStyle w:val="Hyperlink"/>
                  <w:rFonts w:eastAsia="Times New Roman" w:cs="Arial"/>
                  <w:szCs w:val="20"/>
                </w:rPr>
                <w:t>http://www.cashlearning.org/resources/library/390-e-transfers-in-emergencies-implementation-support-guideline</w:t>
              </w:r>
            </w:hyperlink>
          </w:p>
          <w:p w14:paraId="1FFBE769" w14:textId="0D351E09" w:rsidR="00C40D97" w:rsidRPr="00C40D97" w:rsidRDefault="00C40D97" w:rsidP="00C40D97">
            <w:pPr>
              <w:pStyle w:val="RefItem1"/>
            </w:pPr>
            <w:r w:rsidRPr="00C40D97">
              <w:t xml:space="preserve">WFP Sharing What Works – Working with payment service providers </w:t>
            </w:r>
            <w:hyperlink r:id="rId11" w:history="1">
              <w:r w:rsidR="00B20606" w:rsidRPr="00B20606">
                <w:rPr>
                  <w:rStyle w:val="Hyperlink"/>
                </w:rPr>
                <w:t>http://www.cashlearning.org/downloads/resources/tools/share-what-works-psp.pdf</w:t>
              </w:r>
            </w:hyperlink>
          </w:p>
          <w:p w14:paraId="660B4E6F" w14:textId="1451CBC4" w:rsidR="00C40D97" w:rsidRPr="00C40D97" w:rsidRDefault="00C40D97" w:rsidP="00C40D97">
            <w:pPr>
              <w:pStyle w:val="RefItem1"/>
              <w:rPr>
                <w:rFonts w:eastAsia="Times New Roman" w:cs="Arial"/>
                <w:sz w:val="22"/>
                <w:szCs w:val="22"/>
              </w:rPr>
            </w:pPr>
            <w:proofErr w:type="spellStart"/>
            <w:r w:rsidRPr="00C40D97">
              <w:t>NetHope</w:t>
            </w:r>
            <w:proofErr w:type="spellEnd"/>
            <w:r w:rsidRPr="00C40D97">
              <w:t xml:space="preserve"> – E-payments toolkit </w:t>
            </w:r>
            <w:hyperlink r:id="rId12" w:history="1">
              <w:r w:rsidRPr="00B20606">
                <w:rPr>
                  <w:rStyle w:val="Hyperlink"/>
                </w:rPr>
                <w:t>http://solutionscenter.nethope.org/toolkit/view/c2e-toolkit</w:t>
              </w:r>
            </w:hyperlink>
          </w:p>
        </w:tc>
      </w:tr>
    </w:tbl>
    <w:p w14:paraId="2BD79C2B" w14:textId="77777777" w:rsidR="008C3CDA" w:rsidRDefault="008C3CDA" w:rsidP="00E76995">
      <w:pPr>
        <w:rPr>
          <w:rFonts w:eastAsia="Times New Roman"/>
          <w:sz w:val="22"/>
          <w:szCs w:val="22"/>
        </w:rPr>
      </w:pPr>
    </w:p>
    <w:sectPr w:rsidR="008C3CDA" w:rsidSect="00C40D97">
      <w:headerReference w:type="default" r:id="rId13"/>
      <w:footerReference w:type="default" r:id="rId14"/>
      <w:headerReference w:type="first" r:id="rId15"/>
      <w:footerReference w:type="first" r:id="rId16"/>
      <w:pgSz w:w="11900" w:h="16840"/>
      <w:pgMar w:top="1134" w:right="1134" w:bottom="1134" w:left="1134" w:header="708" w:footer="708"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10ACF2" w15:done="0"/>
  <w15:commentEx w15:paraId="532FAF7C" w15:done="0"/>
  <w15:commentEx w15:paraId="2B1D247C" w15:done="0"/>
  <w15:commentEx w15:paraId="408C9FB1" w15:done="0"/>
  <w15:commentEx w15:paraId="3564F032" w15:done="0"/>
  <w15:commentEx w15:paraId="244DCBEA" w15:done="0"/>
  <w15:commentEx w15:paraId="367F31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7C224" w14:textId="77777777" w:rsidR="006F2ECC" w:rsidRDefault="006F2ECC">
      <w:r>
        <w:separator/>
      </w:r>
    </w:p>
  </w:endnote>
  <w:endnote w:type="continuationSeparator" w:id="0">
    <w:p w14:paraId="13D9B56C" w14:textId="77777777" w:rsidR="006F2ECC" w:rsidRDefault="006F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O¯øœ!Ÿ">
    <w:altName w:val="Calibri"/>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B0747" w14:textId="77777777" w:rsidR="00E57B52" w:rsidRPr="00B45C74" w:rsidRDefault="00E57B5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87216E">
      <w:rPr>
        <w:b/>
        <w:noProof/>
        <w:color w:val="808080" w:themeColor="background1" w:themeShade="80"/>
        <w:sz w:val="18"/>
        <w:szCs w:val="18"/>
      </w:rPr>
      <w:t>2</w:t>
    </w:r>
    <w:r w:rsidRPr="00B45C74">
      <w:rPr>
        <w:b/>
        <w:color w:val="808080" w:themeColor="background1" w:themeShade="80"/>
        <w:sz w:val="18"/>
        <w:szCs w:val="18"/>
      </w:rPr>
      <w:fldChar w:fldCharType="end"/>
    </w:r>
  </w:p>
  <w:p w14:paraId="5EF30628" w14:textId="4915DD34" w:rsidR="00E57B52" w:rsidRPr="003A3500" w:rsidRDefault="00E57B52" w:rsidP="00ED1B2B">
    <w:pPr>
      <w:pStyle w:val="Footer"/>
    </w:pPr>
    <w:r w:rsidRPr="00107E15">
      <w:rPr>
        <w:b/>
      </w:rPr>
      <w:t xml:space="preserve">Module </w:t>
    </w:r>
    <w:r>
      <w:rPr>
        <w:b/>
      </w:rPr>
      <w:t>2</w:t>
    </w:r>
    <w:r w:rsidRPr="00107E15">
      <w:rPr>
        <w:b/>
      </w:rPr>
      <w:t>.</w:t>
    </w:r>
    <w:r w:rsidRPr="00107E15">
      <w:t xml:space="preserve"> Step </w:t>
    </w:r>
    <w:r>
      <w:t>4</w:t>
    </w:r>
    <w:r w:rsidRPr="00107E15">
      <w:t>.</w:t>
    </w:r>
    <w:r>
      <w:t xml:space="preserve"> Roadmap for service providers, organizational capacity and risk analysis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818BA" w14:textId="77777777" w:rsidR="00C40D97" w:rsidRPr="00B45C74" w:rsidRDefault="00C40D97"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87216E">
      <w:rPr>
        <w:b/>
        <w:noProof/>
        <w:color w:val="808080" w:themeColor="background1" w:themeShade="80"/>
        <w:sz w:val="18"/>
        <w:szCs w:val="18"/>
      </w:rPr>
      <w:t>1</w:t>
    </w:r>
    <w:r w:rsidRPr="00B45C74">
      <w:rPr>
        <w:b/>
        <w:color w:val="808080" w:themeColor="background1" w:themeShade="80"/>
        <w:sz w:val="18"/>
        <w:szCs w:val="18"/>
      </w:rPr>
      <w:fldChar w:fldCharType="end"/>
    </w:r>
  </w:p>
  <w:p w14:paraId="04F96D11" w14:textId="07A41E0F" w:rsidR="00C40D97" w:rsidRPr="003A3500" w:rsidRDefault="00C40D97" w:rsidP="00ED1B2B">
    <w:pPr>
      <w:pStyle w:val="Footer"/>
    </w:pPr>
    <w:r w:rsidRPr="00107E15">
      <w:rPr>
        <w:b/>
      </w:rPr>
      <w:t xml:space="preserve">Module </w:t>
    </w:r>
    <w:r>
      <w:rPr>
        <w:b/>
      </w:rPr>
      <w:t>2</w:t>
    </w:r>
    <w:r w:rsidRPr="00107E15">
      <w:rPr>
        <w:b/>
      </w:rPr>
      <w:t>.</w:t>
    </w:r>
    <w:r w:rsidRPr="00107E15">
      <w:t xml:space="preserve"> Step </w:t>
    </w:r>
    <w:r>
      <w:t>4</w:t>
    </w:r>
    <w:r w:rsidRPr="00107E15">
      <w:t>.</w:t>
    </w:r>
    <w:r>
      <w:t xml:space="preserve"> Roadmap for service providers, organizational capacity and risk analysis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36CBD" w14:textId="77777777" w:rsidR="006F2ECC" w:rsidRDefault="006F2ECC">
      <w:r>
        <w:separator/>
      </w:r>
    </w:p>
  </w:footnote>
  <w:footnote w:type="continuationSeparator" w:id="0">
    <w:p w14:paraId="620EB7AC" w14:textId="77777777" w:rsidR="006F2ECC" w:rsidRDefault="006F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9824" w14:textId="77777777" w:rsidR="00C40D97" w:rsidRPr="00074036" w:rsidRDefault="00C40D97"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061F" w14:textId="77777777" w:rsidR="00C40D97" w:rsidRDefault="00C40D97" w:rsidP="00050617">
    <w:pPr>
      <w:pStyle w:val="Header1"/>
    </w:pPr>
    <w:r>
      <w:rPr>
        <w:noProof/>
        <w:lang w:val="en-CA" w:eastAsia="en-CA"/>
      </w:rPr>
      <w:drawing>
        <wp:anchor distT="0" distB="0" distL="114300" distR="114300" simplePos="0" relativeHeight="251660288" behindDoc="0" locked="0" layoutInCell="1" allowOverlap="1" wp14:anchorId="2E68DA53" wp14:editId="078C642B">
          <wp:simplePos x="0" y="0"/>
          <wp:positionH relativeFrom="page">
            <wp:posOffset>1080135</wp:posOffset>
          </wp:positionH>
          <wp:positionV relativeFrom="page">
            <wp:posOffset>377825</wp:posOffset>
          </wp:positionV>
          <wp:extent cx="633730" cy="71951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6B3CCAB2" w14:textId="77777777" w:rsidR="00C40D97" w:rsidRDefault="00C40D97" w:rsidP="00050617">
    <w:pPr>
      <w:pStyle w:val="Header1"/>
    </w:pPr>
  </w:p>
  <w:p w14:paraId="1638FD09" w14:textId="77777777" w:rsidR="00C40D97" w:rsidRDefault="00C40D97" w:rsidP="00CB38F7">
    <w:pPr>
      <w:pStyle w:val="Header"/>
      <w:rPr>
        <w:color w:val="DC281E"/>
        <w:sz w:val="24"/>
        <w:szCs w:val="24"/>
      </w:rPr>
    </w:pPr>
    <w:r>
      <w:rPr>
        <w:noProof/>
        <w:lang w:val="en-CA" w:eastAsia="en-CA"/>
      </w:rPr>
      <w:drawing>
        <wp:anchor distT="0" distB="0" distL="114300" distR="114300" simplePos="0" relativeHeight="251659264" behindDoc="0" locked="0" layoutInCell="1" allowOverlap="1" wp14:anchorId="2FEB7A12" wp14:editId="77B6E412">
          <wp:simplePos x="0" y="0"/>
          <wp:positionH relativeFrom="page">
            <wp:posOffset>3366135</wp:posOffset>
          </wp:positionH>
          <wp:positionV relativeFrom="page">
            <wp:posOffset>784225</wp:posOffset>
          </wp:positionV>
          <wp:extent cx="3200400" cy="29986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23500B2D" w14:textId="77777777" w:rsidR="00C40D97" w:rsidRDefault="00C40D97" w:rsidP="00C16D71">
    <w:pPr>
      <w:pStyle w:val="Header"/>
      <w:spacing w:line="240" w:lineRule="auto"/>
      <w:rPr>
        <w:b/>
        <w:color w:val="DC281E"/>
        <w:sz w:val="24"/>
        <w:szCs w:val="24"/>
      </w:rPr>
    </w:pPr>
  </w:p>
  <w:p w14:paraId="50C98D12" w14:textId="77777777" w:rsidR="00C40D97" w:rsidRDefault="00C40D97" w:rsidP="00C16D71">
    <w:pPr>
      <w:pStyle w:val="Header"/>
      <w:spacing w:line="240" w:lineRule="auto"/>
      <w:rPr>
        <w:b/>
        <w:color w:val="DC281E"/>
        <w:sz w:val="24"/>
        <w:szCs w:val="24"/>
      </w:rPr>
    </w:pPr>
  </w:p>
  <w:p w14:paraId="5F35CF91" w14:textId="4521468E" w:rsidR="00C40D97" w:rsidRPr="00C40D97" w:rsidRDefault="00C40D97" w:rsidP="00050617">
    <w:pPr>
      <w:pStyle w:val="Header1"/>
      <w:rPr>
        <w:rFonts w:ascii="Arial Bold" w:hAnsi="Arial Bold"/>
        <w:color w:val="DC281E"/>
      </w:rPr>
    </w:pPr>
    <w:r w:rsidRPr="00C40D97">
      <w:rPr>
        <w:rFonts w:ascii="Arial Bold" w:hAnsi="Arial Bold"/>
        <w:color w:val="DC281E"/>
      </w:rPr>
      <w:t>Cash in Emergencies</w:t>
    </w:r>
    <w:r>
      <w:rPr>
        <w:rFonts w:ascii="Arial Bold" w:hAnsi="Arial Bold"/>
        <w:color w:val="DC281E"/>
      </w:rPr>
      <w:t xml:space="preserve"> </w:t>
    </w:r>
    <w:r w:rsidRPr="00C40D97">
      <w:rPr>
        <w:rFonts w:ascii="Arial Bold" w:hAnsi="Arial Bold"/>
        <w:color w:val="DC281E"/>
      </w:rPr>
      <w:t>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B0E1AA"/>
    <w:lvl w:ilvl="0">
      <w:start w:val="1"/>
      <w:numFmt w:val="decimal"/>
      <w:lvlText w:val="%1."/>
      <w:lvlJc w:val="left"/>
      <w:pPr>
        <w:tabs>
          <w:tab w:val="num" w:pos="1492"/>
        </w:tabs>
        <w:ind w:left="1492" w:hanging="360"/>
      </w:pPr>
    </w:lvl>
  </w:abstractNum>
  <w:abstractNum w:abstractNumId="1">
    <w:nsid w:val="FFFFFF7F"/>
    <w:multiLevelType w:val="singleLevel"/>
    <w:tmpl w:val="6E5E6DF6"/>
    <w:lvl w:ilvl="0">
      <w:start w:val="1"/>
      <w:numFmt w:val="decimal"/>
      <w:lvlText w:val="%1."/>
      <w:lvlJc w:val="left"/>
      <w:pPr>
        <w:tabs>
          <w:tab w:val="num" w:pos="643"/>
        </w:tabs>
        <w:ind w:left="643" w:hanging="360"/>
      </w:pPr>
    </w:lvl>
  </w:abstractNum>
  <w:abstractNum w:abstractNumId="2">
    <w:nsid w:val="00BC61D7"/>
    <w:multiLevelType w:val="hybridMultilevel"/>
    <w:tmpl w:val="7A78EDE6"/>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0EF0BE4"/>
    <w:multiLevelType w:val="hybridMultilevel"/>
    <w:tmpl w:val="FCEA503A"/>
    <w:lvl w:ilvl="0" w:tplc="3A3A2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21751EC"/>
    <w:multiLevelType w:val="hybridMultilevel"/>
    <w:tmpl w:val="D4A2DDAC"/>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656F75"/>
    <w:multiLevelType w:val="hybridMultilevel"/>
    <w:tmpl w:val="5FEC3BEE"/>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553F03"/>
    <w:multiLevelType w:val="hybridMultilevel"/>
    <w:tmpl w:val="2B62B31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F735E8"/>
    <w:multiLevelType w:val="hybridMultilevel"/>
    <w:tmpl w:val="A8A435C2"/>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832A81"/>
    <w:multiLevelType w:val="hybridMultilevel"/>
    <w:tmpl w:val="8C70376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A952B4"/>
    <w:multiLevelType w:val="hybridMultilevel"/>
    <w:tmpl w:val="22E0685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C3C3D"/>
    <w:multiLevelType w:val="hybridMultilevel"/>
    <w:tmpl w:val="3B92B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71477B"/>
    <w:multiLevelType w:val="hybridMultilevel"/>
    <w:tmpl w:val="7D688CB0"/>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A817A36"/>
    <w:multiLevelType w:val="hybridMultilevel"/>
    <w:tmpl w:val="9B32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5B14FD"/>
    <w:multiLevelType w:val="hybridMultilevel"/>
    <w:tmpl w:val="A06CDB80"/>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4226C8E"/>
    <w:multiLevelType w:val="hybridMultilevel"/>
    <w:tmpl w:val="B6D8F0D4"/>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44C36C6"/>
    <w:multiLevelType w:val="hybridMultilevel"/>
    <w:tmpl w:val="8D5C82F2"/>
    <w:lvl w:ilvl="0" w:tplc="AF5CCA70">
      <w:numFmt w:val="bullet"/>
      <w:lvlText w:val=""/>
      <w:lvlJc w:val="left"/>
      <w:pPr>
        <w:ind w:left="360" w:hanging="360"/>
      </w:pPr>
      <w:rPr>
        <w:rFonts w:ascii="Symbol" w:hAnsi="Symbol" w:hint="default"/>
        <w:sz w:val="22"/>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5EE48B2"/>
    <w:multiLevelType w:val="hybridMultilevel"/>
    <w:tmpl w:val="2E40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C817CF"/>
    <w:multiLevelType w:val="hybridMultilevel"/>
    <w:tmpl w:val="4FCCC656"/>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2A0A0B08"/>
    <w:multiLevelType w:val="hybridMultilevel"/>
    <w:tmpl w:val="CA3E531A"/>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6285528"/>
    <w:multiLevelType w:val="hybridMultilevel"/>
    <w:tmpl w:val="2D8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46E76"/>
    <w:multiLevelType w:val="hybridMultilevel"/>
    <w:tmpl w:val="F796D27A"/>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A2D1CE0"/>
    <w:multiLevelType w:val="hybridMultilevel"/>
    <w:tmpl w:val="CAD62C0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2B6393"/>
    <w:multiLevelType w:val="hybridMultilevel"/>
    <w:tmpl w:val="A8A435C2"/>
    <w:lvl w:ilvl="0" w:tplc="AF5CCA70">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D3845E3"/>
    <w:multiLevelType w:val="hybridMultilevel"/>
    <w:tmpl w:val="41DE663E"/>
    <w:lvl w:ilvl="0" w:tplc="C58031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3A2DD8"/>
    <w:multiLevelType w:val="hybridMultilevel"/>
    <w:tmpl w:val="5FEC3BEE"/>
    <w:lvl w:ilvl="0" w:tplc="AF5CCA70">
      <w:numFmt w:val="bullet"/>
      <w:lvlText w:val=""/>
      <w:lvlJc w:val="left"/>
      <w:pPr>
        <w:ind w:left="360" w:hanging="360"/>
      </w:pPr>
      <w:rPr>
        <w:rFonts w:ascii="Symbol" w:hAnsi="Symbol" w:hint="default"/>
        <w:sz w:val="22"/>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40F10D53"/>
    <w:multiLevelType w:val="hybridMultilevel"/>
    <w:tmpl w:val="A8A435C2"/>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58F4509"/>
    <w:multiLevelType w:val="hybridMultilevel"/>
    <w:tmpl w:val="C0504110"/>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5B74F19"/>
    <w:multiLevelType w:val="hybridMultilevel"/>
    <w:tmpl w:val="8D5C82F2"/>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54C02A8"/>
    <w:multiLevelType w:val="hybridMultilevel"/>
    <w:tmpl w:val="13307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07442C"/>
    <w:multiLevelType w:val="hybridMultilevel"/>
    <w:tmpl w:val="3E18AA5C"/>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C904900"/>
    <w:multiLevelType w:val="hybridMultilevel"/>
    <w:tmpl w:val="B6D8F0D4"/>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CA02CD1"/>
    <w:multiLevelType w:val="hybridMultilevel"/>
    <w:tmpl w:val="CA3E531A"/>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5FD54C4F"/>
    <w:multiLevelType w:val="hybridMultilevel"/>
    <w:tmpl w:val="7D688CB0"/>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15B3A7B"/>
    <w:multiLevelType w:val="hybridMultilevel"/>
    <w:tmpl w:val="CE8A271C"/>
    <w:lvl w:ilvl="0" w:tplc="E54290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35A3B98"/>
    <w:multiLevelType w:val="hybridMultilevel"/>
    <w:tmpl w:val="D4A2DDAC"/>
    <w:lvl w:ilvl="0" w:tplc="E542903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44D1867"/>
    <w:multiLevelType w:val="hybridMultilevel"/>
    <w:tmpl w:val="C0504110"/>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4991041"/>
    <w:multiLevelType w:val="hybridMultilevel"/>
    <w:tmpl w:val="A6409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B831B4"/>
    <w:multiLevelType w:val="hybridMultilevel"/>
    <w:tmpl w:val="FDEE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3A580E"/>
    <w:multiLevelType w:val="hybridMultilevel"/>
    <w:tmpl w:val="A06CDB80"/>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2917F87"/>
    <w:multiLevelType w:val="hybridMultilevel"/>
    <w:tmpl w:val="3E18AA5C"/>
    <w:lvl w:ilvl="0" w:tplc="AF5CCA70">
      <w:numFmt w:val="bullet"/>
      <w:lvlText w:val=""/>
      <w:lvlJc w:val="left"/>
      <w:pPr>
        <w:ind w:left="720" w:hanging="360"/>
      </w:pPr>
      <w:rPr>
        <w:rFonts w:ascii="Symbol" w:hAnsi="Symbol" w:hint="default"/>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5CB4014"/>
    <w:multiLevelType w:val="hybridMultilevel"/>
    <w:tmpl w:val="F796D27A"/>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5F50707"/>
    <w:multiLevelType w:val="hybridMultilevel"/>
    <w:tmpl w:val="7A78EDE6"/>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3"/>
  </w:num>
  <w:num w:numId="2">
    <w:abstractNumId w:val="17"/>
  </w:num>
  <w:num w:numId="3">
    <w:abstractNumId w:val="35"/>
  </w:num>
  <w:num w:numId="4">
    <w:abstractNumId w:val="29"/>
  </w:num>
  <w:num w:numId="5">
    <w:abstractNumId w:val="41"/>
  </w:num>
  <w:num w:numId="6">
    <w:abstractNumId w:val="4"/>
  </w:num>
  <w:num w:numId="7">
    <w:abstractNumId w:val="30"/>
  </w:num>
  <w:num w:numId="8">
    <w:abstractNumId w:val="18"/>
  </w:num>
  <w:num w:numId="9">
    <w:abstractNumId w:val="8"/>
  </w:num>
  <w:num w:numId="10">
    <w:abstractNumId w:val="25"/>
  </w:num>
  <w:num w:numId="11">
    <w:abstractNumId w:val="28"/>
  </w:num>
  <w:num w:numId="12">
    <w:abstractNumId w:val="6"/>
  </w:num>
  <w:num w:numId="13">
    <w:abstractNumId w:val="27"/>
  </w:num>
  <w:num w:numId="14">
    <w:abstractNumId w:val="2"/>
  </w:num>
  <w:num w:numId="15">
    <w:abstractNumId w:val="49"/>
  </w:num>
  <w:num w:numId="16">
    <w:abstractNumId w:val="34"/>
  </w:num>
  <w:num w:numId="17">
    <w:abstractNumId w:val="47"/>
  </w:num>
  <w:num w:numId="18">
    <w:abstractNumId w:val="21"/>
  </w:num>
  <w:num w:numId="19">
    <w:abstractNumId w:val="36"/>
  </w:num>
  <w:num w:numId="20">
    <w:abstractNumId w:val="15"/>
  </w:num>
  <w:num w:numId="21">
    <w:abstractNumId w:val="48"/>
  </w:num>
  <w:num w:numId="22">
    <w:abstractNumId w:val="23"/>
  </w:num>
  <w:num w:numId="23">
    <w:abstractNumId w:val="46"/>
  </w:num>
  <w:num w:numId="24">
    <w:abstractNumId w:val="16"/>
  </w:num>
  <w:num w:numId="25">
    <w:abstractNumId w:val="39"/>
  </w:num>
  <w:num w:numId="26">
    <w:abstractNumId w:val="14"/>
  </w:num>
  <w:num w:numId="27">
    <w:abstractNumId w:val="7"/>
  </w:num>
  <w:num w:numId="28">
    <w:abstractNumId w:val="13"/>
  </w:num>
  <w:num w:numId="29">
    <w:abstractNumId w:val="9"/>
  </w:num>
  <w:num w:numId="30">
    <w:abstractNumId w:val="10"/>
  </w:num>
  <w:num w:numId="31">
    <w:abstractNumId w:val="24"/>
  </w:num>
  <w:num w:numId="32">
    <w:abstractNumId w:val="3"/>
  </w:num>
  <w:num w:numId="33">
    <w:abstractNumId w:val="32"/>
  </w:num>
  <w:num w:numId="34">
    <w:abstractNumId w:val="11"/>
  </w:num>
  <w:num w:numId="35">
    <w:abstractNumId w:val="20"/>
  </w:num>
  <w:num w:numId="36">
    <w:abstractNumId w:val="44"/>
  </w:num>
  <w:num w:numId="37">
    <w:abstractNumId w:val="26"/>
  </w:num>
  <w:num w:numId="38">
    <w:abstractNumId w:val="22"/>
  </w:num>
  <w:num w:numId="39">
    <w:abstractNumId w:val="19"/>
  </w:num>
  <w:num w:numId="40">
    <w:abstractNumId w:val="45"/>
  </w:num>
  <w:num w:numId="41">
    <w:abstractNumId w:val="40"/>
  </w:num>
  <w:num w:numId="42">
    <w:abstractNumId w:val="33"/>
  </w:num>
  <w:num w:numId="43">
    <w:abstractNumId w:val="1"/>
  </w:num>
  <w:num w:numId="44">
    <w:abstractNumId w:val="0"/>
  </w:num>
  <w:num w:numId="45">
    <w:abstractNumId w:val="5"/>
  </w:num>
  <w:num w:numId="46">
    <w:abstractNumId w:val="31"/>
  </w:num>
  <w:num w:numId="47">
    <w:abstractNumId w:val="12"/>
  </w:num>
  <w:num w:numId="48">
    <w:abstractNumId w:val="37"/>
  </w:num>
  <w:num w:numId="49">
    <w:abstractNumId w:val="42"/>
  </w:num>
  <w:num w:numId="50">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proofState w:spelling="clean" w:grammar="clean"/>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7F"/>
    <w:rsid w:val="000178A6"/>
    <w:rsid w:val="00020970"/>
    <w:rsid w:val="00063601"/>
    <w:rsid w:val="00063CB5"/>
    <w:rsid w:val="000649E7"/>
    <w:rsid w:val="000961E9"/>
    <w:rsid w:val="000B0222"/>
    <w:rsid w:val="000E224B"/>
    <w:rsid w:val="000E7426"/>
    <w:rsid w:val="000F4B6F"/>
    <w:rsid w:val="00120D2C"/>
    <w:rsid w:val="00136C29"/>
    <w:rsid w:val="00153A50"/>
    <w:rsid w:val="001579D0"/>
    <w:rsid w:val="001747FC"/>
    <w:rsid w:val="0018406F"/>
    <w:rsid w:val="001B386A"/>
    <w:rsid w:val="001C4DF9"/>
    <w:rsid w:val="001D4E36"/>
    <w:rsid w:val="001F4A45"/>
    <w:rsid w:val="00233F6F"/>
    <w:rsid w:val="00234CB3"/>
    <w:rsid w:val="002412A3"/>
    <w:rsid w:val="00246601"/>
    <w:rsid w:val="00256F41"/>
    <w:rsid w:val="0025752B"/>
    <w:rsid w:val="00273676"/>
    <w:rsid w:val="002A76ED"/>
    <w:rsid w:val="002A7A1F"/>
    <w:rsid w:val="002B1145"/>
    <w:rsid w:val="002B6139"/>
    <w:rsid w:val="002C223B"/>
    <w:rsid w:val="002C3404"/>
    <w:rsid w:val="002C3865"/>
    <w:rsid w:val="00310F7F"/>
    <w:rsid w:val="00351033"/>
    <w:rsid w:val="00360643"/>
    <w:rsid w:val="003731B5"/>
    <w:rsid w:val="00387C2A"/>
    <w:rsid w:val="003A0055"/>
    <w:rsid w:val="003B2DBC"/>
    <w:rsid w:val="003D262A"/>
    <w:rsid w:val="003D3486"/>
    <w:rsid w:val="003D6541"/>
    <w:rsid w:val="004041C4"/>
    <w:rsid w:val="00415457"/>
    <w:rsid w:val="00442EA7"/>
    <w:rsid w:val="00454DAB"/>
    <w:rsid w:val="0049199F"/>
    <w:rsid w:val="004A0CA4"/>
    <w:rsid w:val="004B6E87"/>
    <w:rsid w:val="004D55A0"/>
    <w:rsid w:val="004E61DC"/>
    <w:rsid w:val="004E6CD9"/>
    <w:rsid w:val="004F2AC8"/>
    <w:rsid w:val="00521DEF"/>
    <w:rsid w:val="00551FBB"/>
    <w:rsid w:val="0059769B"/>
    <w:rsid w:val="005C26EE"/>
    <w:rsid w:val="005D29B1"/>
    <w:rsid w:val="005D631B"/>
    <w:rsid w:val="00615FA5"/>
    <w:rsid w:val="006167CF"/>
    <w:rsid w:val="00617205"/>
    <w:rsid w:val="00624427"/>
    <w:rsid w:val="006327BB"/>
    <w:rsid w:val="006607B1"/>
    <w:rsid w:val="00681C45"/>
    <w:rsid w:val="006875AB"/>
    <w:rsid w:val="006C4773"/>
    <w:rsid w:val="006E099E"/>
    <w:rsid w:val="006F2ECC"/>
    <w:rsid w:val="006F569A"/>
    <w:rsid w:val="007165E1"/>
    <w:rsid w:val="00722B54"/>
    <w:rsid w:val="00740A95"/>
    <w:rsid w:val="00750F33"/>
    <w:rsid w:val="00754777"/>
    <w:rsid w:val="00764F22"/>
    <w:rsid w:val="00770BCD"/>
    <w:rsid w:val="007D2180"/>
    <w:rsid w:val="007E0454"/>
    <w:rsid w:val="008217CD"/>
    <w:rsid w:val="00841937"/>
    <w:rsid w:val="00865F32"/>
    <w:rsid w:val="00867845"/>
    <w:rsid w:val="0087216E"/>
    <w:rsid w:val="008B2C14"/>
    <w:rsid w:val="008C3CDA"/>
    <w:rsid w:val="008D1CE2"/>
    <w:rsid w:val="008D23A6"/>
    <w:rsid w:val="008E6B0E"/>
    <w:rsid w:val="00901BDF"/>
    <w:rsid w:val="00903F5D"/>
    <w:rsid w:val="00915159"/>
    <w:rsid w:val="009165EF"/>
    <w:rsid w:val="00936FC9"/>
    <w:rsid w:val="009510D2"/>
    <w:rsid w:val="00952D24"/>
    <w:rsid w:val="009573A8"/>
    <w:rsid w:val="00973CD7"/>
    <w:rsid w:val="009A2228"/>
    <w:rsid w:val="009A55D8"/>
    <w:rsid w:val="009E1DB2"/>
    <w:rsid w:val="009E4609"/>
    <w:rsid w:val="009F0131"/>
    <w:rsid w:val="009F4B51"/>
    <w:rsid w:val="00A14C63"/>
    <w:rsid w:val="00A22FB8"/>
    <w:rsid w:val="00A25A0C"/>
    <w:rsid w:val="00A52A7E"/>
    <w:rsid w:val="00A60398"/>
    <w:rsid w:val="00A65DC3"/>
    <w:rsid w:val="00A80D09"/>
    <w:rsid w:val="00A942B0"/>
    <w:rsid w:val="00B05088"/>
    <w:rsid w:val="00B06399"/>
    <w:rsid w:val="00B20606"/>
    <w:rsid w:val="00B23B74"/>
    <w:rsid w:val="00B30398"/>
    <w:rsid w:val="00B37586"/>
    <w:rsid w:val="00B43B9E"/>
    <w:rsid w:val="00B6785E"/>
    <w:rsid w:val="00B95393"/>
    <w:rsid w:val="00B96C5E"/>
    <w:rsid w:val="00BB3322"/>
    <w:rsid w:val="00BB3842"/>
    <w:rsid w:val="00BE5227"/>
    <w:rsid w:val="00BF245D"/>
    <w:rsid w:val="00C3147A"/>
    <w:rsid w:val="00C36277"/>
    <w:rsid w:val="00C40D97"/>
    <w:rsid w:val="00C53138"/>
    <w:rsid w:val="00C57695"/>
    <w:rsid w:val="00C6084E"/>
    <w:rsid w:val="00C66C49"/>
    <w:rsid w:val="00C83F9A"/>
    <w:rsid w:val="00C93AEE"/>
    <w:rsid w:val="00C93C39"/>
    <w:rsid w:val="00CB2033"/>
    <w:rsid w:val="00CC1B3B"/>
    <w:rsid w:val="00CC7D8C"/>
    <w:rsid w:val="00CD33FB"/>
    <w:rsid w:val="00CE1C9B"/>
    <w:rsid w:val="00D06CD4"/>
    <w:rsid w:val="00D13FF3"/>
    <w:rsid w:val="00D1687C"/>
    <w:rsid w:val="00D44268"/>
    <w:rsid w:val="00D47965"/>
    <w:rsid w:val="00D87B4B"/>
    <w:rsid w:val="00D90668"/>
    <w:rsid w:val="00D92E57"/>
    <w:rsid w:val="00D9309B"/>
    <w:rsid w:val="00DA3863"/>
    <w:rsid w:val="00DC511E"/>
    <w:rsid w:val="00DE183D"/>
    <w:rsid w:val="00DF5B20"/>
    <w:rsid w:val="00E003E2"/>
    <w:rsid w:val="00E06727"/>
    <w:rsid w:val="00E14DDB"/>
    <w:rsid w:val="00E216FE"/>
    <w:rsid w:val="00E43BC1"/>
    <w:rsid w:val="00E57B52"/>
    <w:rsid w:val="00E62DCC"/>
    <w:rsid w:val="00E66677"/>
    <w:rsid w:val="00E66A9A"/>
    <w:rsid w:val="00E70A86"/>
    <w:rsid w:val="00E7267D"/>
    <w:rsid w:val="00E76995"/>
    <w:rsid w:val="00EB2A2D"/>
    <w:rsid w:val="00ED056D"/>
    <w:rsid w:val="00F00D42"/>
    <w:rsid w:val="00F22587"/>
    <w:rsid w:val="00F46E8B"/>
    <w:rsid w:val="00F66194"/>
    <w:rsid w:val="00F717A9"/>
    <w:rsid w:val="00F75A6E"/>
    <w:rsid w:val="00FA70C2"/>
    <w:rsid w:val="00FB4EA0"/>
    <w:rsid w:val="00FF4D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8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7216E"/>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87216E"/>
  </w:style>
  <w:style w:type="paragraph" w:styleId="Heading2">
    <w:name w:val="heading 2"/>
    <w:basedOn w:val="Normal"/>
    <w:next w:val="Normal"/>
    <w:link w:val="Heading2Char"/>
    <w:uiPriority w:val="9"/>
    <w:unhideWhenUsed/>
    <w:qFormat/>
    <w:rsid w:val="0087216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7216E"/>
    <w:pPr>
      <w:keepNext/>
      <w:spacing w:before="240"/>
      <w:jc w:val="left"/>
      <w:outlineLvl w:val="2"/>
    </w:pPr>
    <w:rPr>
      <w:b/>
      <w:sz w:val="22"/>
      <w:szCs w:val="24"/>
    </w:rPr>
  </w:style>
  <w:style w:type="character" w:default="1" w:styleId="DefaultParagraphFont">
    <w:name w:val="Default Paragraph Font"/>
    <w:uiPriority w:val="1"/>
    <w:semiHidden/>
    <w:unhideWhenUsed/>
    <w:rsid w:val="008721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216E"/>
  </w:style>
  <w:style w:type="paragraph" w:styleId="ListParagraph">
    <w:name w:val="List Paragraph"/>
    <w:basedOn w:val="Normal"/>
    <w:link w:val="ListParagraphChar"/>
    <w:uiPriority w:val="34"/>
    <w:qFormat/>
    <w:rsid w:val="0087216E"/>
    <w:pPr>
      <w:spacing w:after="240"/>
      <w:ind w:left="720"/>
      <w:contextualSpacing/>
    </w:pPr>
    <w:rPr>
      <w:rFonts w:eastAsiaTheme="minorHAnsi" w:cstheme="minorBidi"/>
      <w:szCs w:val="22"/>
    </w:rPr>
  </w:style>
  <w:style w:type="table" w:styleId="TableGrid">
    <w:name w:val="Table Grid"/>
    <w:basedOn w:val="TableNormal"/>
    <w:uiPriority w:val="59"/>
    <w:rsid w:val="0087216E"/>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sto nota a piè di pagina Carattere"/>
    <w:basedOn w:val="Normal"/>
    <w:link w:val="FootnoteTextChar"/>
    <w:uiPriority w:val="99"/>
    <w:unhideWhenUsed/>
    <w:rsid w:val="0087216E"/>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87216E"/>
    <w:rPr>
      <w:rFonts w:ascii="Arial" w:eastAsiaTheme="minorEastAsia" w:hAnsi="Arial" w:cs="Times New Roman"/>
      <w:sz w:val="16"/>
      <w:szCs w:val="22"/>
    </w:rPr>
  </w:style>
  <w:style w:type="character" w:styleId="FootnoteReference">
    <w:name w:val="footnote reference"/>
    <w:basedOn w:val="DefaultParagraphFont"/>
    <w:uiPriority w:val="99"/>
    <w:unhideWhenUsed/>
    <w:rsid w:val="0087216E"/>
    <w:rPr>
      <w:vertAlign w:val="superscript"/>
    </w:rPr>
  </w:style>
  <w:style w:type="character" w:customStyle="1" w:styleId="ListParagraphChar">
    <w:name w:val="List Paragraph Char"/>
    <w:basedOn w:val="DefaultParagraphFont"/>
    <w:link w:val="ListParagraph"/>
    <w:uiPriority w:val="34"/>
    <w:rsid w:val="0087216E"/>
    <w:rPr>
      <w:rFonts w:ascii="Arial" w:hAnsi="Arial"/>
      <w:sz w:val="20"/>
      <w:szCs w:val="22"/>
    </w:rPr>
  </w:style>
  <w:style w:type="paragraph" w:styleId="BalloonText">
    <w:name w:val="Balloon Text"/>
    <w:basedOn w:val="Normal"/>
    <w:link w:val="BalloonTextChar"/>
    <w:uiPriority w:val="99"/>
    <w:unhideWhenUsed/>
    <w:rsid w:val="0087216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87216E"/>
    <w:rPr>
      <w:rFonts w:ascii="Lucida Grande" w:eastAsiaTheme="minorEastAsia" w:hAnsi="Lucida Grande" w:cs="Lucida Grande"/>
      <w:sz w:val="18"/>
      <w:szCs w:val="18"/>
    </w:rPr>
  </w:style>
  <w:style w:type="paragraph" w:styleId="Header">
    <w:name w:val="header"/>
    <w:basedOn w:val="Normal"/>
    <w:link w:val="HeaderChar"/>
    <w:uiPriority w:val="99"/>
    <w:unhideWhenUsed/>
    <w:rsid w:val="0087216E"/>
    <w:pPr>
      <w:spacing w:after="0" w:line="288" w:lineRule="auto"/>
      <w:jc w:val="left"/>
    </w:pPr>
    <w:rPr>
      <w:sz w:val="16"/>
    </w:rPr>
  </w:style>
  <w:style w:type="character" w:customStyle="1" w:styleId="HeaderChar">
    <w:name w:val="Header Char"/>
    <w:basedOn w:val="DefaultParagraphFont"/>
    <w:link w:val="Header"/>
    <w:uiPriority w:val="99"/>
    <w:rsid w:val="0087216E"/>
    <w:rPr>
      <w:rFonts w:ascii="Arial" w:eastAsiaTheme="minorEastAsia" w:hAnsi="Arial" w:cs="Times New Roman"/>
      <w:sz w:val="16"/>
      <w:szCs w:val="20"/>
    </w:rPr>
  </w:style>
  <w:style w:type="paragraph" w:styleId="Footer">
    <w:name w:val="footer"/>
    <w:basedOn w:val="Normal"/>
    <w:link w:val="FooterChar"/>
    <w:uiPriority w:val="99"/>
    <w:unhideWhenUsed/>
    <w:rsid w:val="0087216E"/>
    <w:pPr>
      <w:spacing w:after="0"/>
      <w:jc w:val="left"/>
    </w:pPr>
    <w:rPr>
      <w:sz w:val="16"/>
      <w:szCs w:val="18"/>
    </w:rPr>
  </w:style>
  <w:style w:type="character" w:customStyle="1" w:styleId="FooterChar">
    <w:name w:val="Footer Char"/>
    <w:basedOn w:val="DefaultParagraphFont"/>
    <w:link w:val="Footer"/>
    <w:uiPriority w:val="99"/>
    <w:rsid w:val="0087216E"/>
    <w:rPr>
      <w:rFonts w:ascii="Arial" w:eastAsiaTheme="minorEastAsia" w:hAnsi="Arial" w:cs="Times New Roman"/>
      <w:sz w:val="16"/>
      <w:szCs w:val="18"/>
    </w:rPr>
  </w:style>
  <w:style w:type="paragraph" w:customStyle="1" w:styleId="Default">
    <w:name w:val="Default"/>
    <w:rsid w:val="0087216E"/>
    <w:pPr>
      <w:widowControl w:val="0"/>
      <w:autoSpaceDE w:val="0"/>
      <w:autoSpaceDN w:val="0"/>
      <w:adjustRightInd w:val="0"/>
    </w:pPr>
    <w:rPr>
      <w:rFonts w:ascii="Arial" w:eastAsiaTheme="minorEastAsia" w:hAnsi="Arial" w:cs="Arial"/>
      <w:color w:val="000000"/>
    </w:rPr>
  </w:style>
  <w:style w:type="paragraph" w:styleId="CommentText">
    <w:name w:val="annotation text"/>
    <w:basedOn w:val="Normal"/>
    <w:link w:val="CommentTextChar"/>
    <w:uiPriority w:val="99"/>
    <w:unhideWhenUsed/>
    <w:rsid w:val="00E14DDB"/>
    <w:rPr>
      <w:rFonts w:asciiTheme="minorHAnsi" w:hAnsiTheme="minorHAnsi"/>
    </w:rPr>
  </w:style>
  <w:style w:type="character" w:customStyle="1" w:styleId="CommentTextChar">
    <w:name w:val="Comment Text Char"/>
    <w:basedOn w:val="DefaultParagraphFont"/>
    <w:link w:val="CommentText"/>
    <w:uiPriority w:val="99"/>
    <w:rsid w:val="00E14DDB"/>
    <w:rPr>
      <w:rFonts w:eastAsiaTheme="minorEastAsia"/>
    </w:rPr>
  </w:style>
  <w:style w:type="character" w:customStyle="1" w:styleId="Heading1Char">
    <w:name w:val="Heading 1 Char"/>
    <w:basedOn w:val="DefaultParagraphFont"/>
    <w:link w:val="Heading1"/>
    <w:uiPriority w:val="9"/>
    <w:rsid w:val="0087216E"/>
    <w:rPr>
      <w:rFonts w:ascii="Arial" w:eastAsiaTheme="minorEastAsia" w:hAnsi="Arial" w:cs="Times New Roman"/>
      <w:b/>
      <w:sz w:val="40"/>
      <w:szCs w:val="52"/>
    </w:rPr>
  </w:style>
  <w:style w:type="character" w:styleId="CommentReference">
    <w:name w:val="annotation reference"/>
    <w:basedOn w:val="DefaultParagraphFont"/>
    <w:uiPriority w:val="99"/>
    <w:unhideWhenUsed/>
    <w:rsid w:val="0087216E"/>
    <w:rPr>
      <w:sz w:val="18"/>
      <w:szCs w:val="18"/>
    </w:rPr>
  </w:style>
  <w:style w:type="paragraph" w:styleId="CommentSubject">
    <w:name w:val="annotation subject"/>
    <w:basedOn w:val="Normal"/>
    <w:link w:val="CommentSubjectChar"/>
    <w:uiPriority w:val="99"/>
    <w:unhideWhenUsed/>
    <w:rsid w:val="0087216E"/>
    <w:rPr>
      <w:b/>
      <w:bCs/>
    </w:rPr>
  </w:style>
  <w:style w:type="character" w:customStyle="1" w:styleId="CommentSubjectChar">
    <w:name w:val="Comment Subject Char"/>
    <w:basedOn w:val="DefaultParagraphFont"/>
    <w:link w:val="CommentSubject"/>
    <w:uiPriority w:val="99"/>
    <w:rsid w:val="0087216E"/>
    <w:rPr>
      <w:rFonts w:ascii="Arial" w:eastAsiaTheme="minorEastAsia" w:hAnsi="Arial" w:cs="Times New Roman"/>
      <w:b/>
      <w:bCs/>
      <w:sz w:val="20"/>
      <w:szCs w:val="20"/>
    </w:rPr>
  </w:style>
  <w:style w:type="character" w:styleId="Hyperlink">
    <w:name w:val="Hyperlink"/>
    <w:basedOn w:val="DefaultParagraphFont"/>
    <w:uiPriority w:val="99"/>
    <w:unhideWhenUsed/>
    <w:rsid w:val="0087216E"/>
    <w:rPr>
      <w:color w:val="0000FF" w:themeColor="hyperlink"/>
      <w:u w:val="single"/>
    </w:rPr>
  </w:style>
  <w:style w:type="character" w:styleId="FollowedHyperlink">
    <w:name w:val="FollowedHyperlink"/>
    <w:basedOn w:val="DefaultParagraphFont"/>
    <w:uiPriority w:val="99"/>
    <w:unhideWhenUsed/>
    <w:rsid w:val="0087216E"/>
    <w:rPr>
      <w:color w:val="800080" w:themeColor="followedHyperlink"/>
      <w:u w:val="single"/>
    </w:rPr>
  </w:style>
  <w:style w:type="character" w:customStyle="1" w:styleId="Heading2Char">
    <w:name w:val="Heading 2 Char"/>
    <w:basedOn w:val="DefaultParagraphFont"/>
    <w:link w:val="Heading2"/>
    <w:uiPriority w:val="9"/>
    <w:rsid w:val="0087216E"/>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87216E"/>
    <w:rPr>
      <w:rFonts w:ascii="Arial" w:eastAsiaTheme="minorEastAsia" w:hAnsi="Arial" w:cs="Times New Roman"/>
      <w:b/>
      <w:sz w:val="22"/>
    </w:rPr>
  </w:style>
  <w:style w:type="character" w:styleId="PageNumber">
    <w:name w:val="page number"/>
    <w:basedOn w:val="DefaultParagraphFont"/>
    <w:uiPriority w:val="99"/>
    <w:unhideWhenUsed/>
    <w:rsid w:val="0087216E"/>
    <w:rPr>
      <w:b/>
    </w:rPr>
  </w:style>
  <w:style w:type="paragraph" w:styleId="Revision">
    <w:name w:val="Revision"/>
    <w:hidden/>
    <w:uiPriority w:val="99"/>
    <w:semiHidden/>
    <w:rsid w:val="0087216E"/>
    <w:rPr>
      <w:rFonts w:ascii="Arial" w:eastAsiaTheme="minorEastAsia" w:hAnsi="Arial" w:cs="Arial"/>
      <w:sz w:val="21"/>
      <w:szCs w:val="21"/>
    </w:rPr>
  </w:style>
  <w:style w:type="paragraph" w:customStyle="1" w:styleId="BasicParagraph">
    <w:name w:val="[Basic Paragraph]"/>
    <w:basedOn w:val="Normal"/>
    <w:uiPriority w:val="99"/>
    <w:rsid w:val="0087216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7216E"/>
    <w:pPr>
      <w:spacing w:before="360" w:after="240"/>
      <w:jc w:val="left"/>
      <w:outlineLvl w:val="0"/>
    </w:pPr>
    <w:rPr>
      <w:b/>
      <w:sz w:val="40"/>
      <w:szCs w:val="52"/>
    </w:rPr>
  </w:style>
  <w:style w:type="paragraph" w:customStyle="1" w:styleId="Bullet1">
    <w:name w:val="Bullet 1"/>
    <w:basedOn w:val="Normal"/>
    <w:rsid w:val="0087216E"/>
    <w:pPr>
      <w:numPr>
        <w:numId w:val="47"/>
      </w:numPr>
      <w:spacing w:before="60"/>
    </w:pPr>
    <w:rPr>
      <w:rFonts w:eastAsia="Times New Roman"/>
      <w:color w:val="000000"/>
    </w:rPr>
  </w:style>
  <w:style w:type="paragraph" w:customStyle="1" w:styleId="RefItem1">
    <w:name w:val="Ref Item 1"/>
    <w:basedOn w:val="Normal"/>
    <w:rsid w:val="0087216E"/>
    <w:pPr>
      <w:jc w:val="left"/>
    </w:pPr>
    <w:rPr>
      <w:color w:val="000000"/>
      <w:szCs w:val="24"/>
      <w:lang w:eastAsia="it-IT"/>
    </w:rPr>
  </w:style>
  <w:style w:type="paragraph" w:customStyle="1" w:styleId="RefTitre">
    <w:name w:val="Ref Titre"/>
    <w:basedOn w:val="Normal"/>
    <w:rsid w:val="0087216E"/>
    <w:pPr>
      <w:jc w:val="left"/>
    </w:pPr>
    <w:rPr>
      <w:rFonts w:eastAsia="Times New Roman"/>
      <w:b/>
      <w:bCs/>
      <w:sz w:val="26"/>
      <w:szCs w:val="26"/>
    </w:rPr>
  </w:style>
  <w:style w:type="paragraph" w:customStyle="1" w:styleId="Header1">
    <w:name w:val="Header 1"/>
    <w:basedOn w:val="Header"/>
    <w:rsid w:val="0087216E"/>
    <w:rPr>
      <w:b/>
      <w:sz w:val="24"/>
      <w:szCs w:val="24"/>
    </w:rPr>
  </w:style>
  <w:style w:type="character" w:customStyle="1" w:styleId="Pantone485">
    <w:name w:val="Pantone 485"/>
    <w:basedOn w:val="DefaultParagraphFont"/>
    <w:uiPriority w:val="1"/>
    <w:qFormat/>
    <w:rsid w:val="0087216E"/>
    <w:rPr>
      <w:rFonts w:cs="Caecilia-Light"/>
      <w:color w:val="DC281E"/>
      <w:szCs w:val="16"/>
    </w:rPr>
  </w:style>
  <w:style w:type="character" w:customStyle="1" w:styleId="H1Char">
    <w:name w:val="H1 Char"/>
    <w:basedOn w:val="DefaultParagraphFont"/>
    <w:link w:val="H1"/>
    <w:rsid w:val="0087216E"/>
    <w:rPr>
      <w:rFonts w:ascii="Arial" w:eastAsiaTheme="minorEastAsia" w:hAnsi="Arial" w:cs="Times New Roman"/>
      <w:b/>
      <w:sz w:val="40"/>
      <w:szCs w:val="52"/>
    </w:rPr>
  </w:style>
  <w:style w:type="table" w:customStyle="1" w:styleId="TableGray">
    <w:name w:val="Table Gray"/>
    <w:basedOn w:val="TableNormal"/>
    <w:uiPriority w:val="99"/>
    <w:rsid w:val="0087216E"/>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7216E"/>
    <w:pPr>
      <w:numPr>
        <w:numId w:val="48"/>
      </w:numPr>
      <w:tabs>
        <w:tab w:val="left" w:pos="7230"/>
      </w:tabs>
      <w:spacing w:before="240"/>
    </w:pPr>
    <w:rPr>
      <w:rFonts w:cs="Arial"/>
    </w:rPr>
  </w:style>
  <w:style w:type="paragraph" w:customStyle="1" w:styleId="ListNumber1">
    <w:name w:val="List Number 1"/>
    <w:basedOn w:val="Normal"/>
    <w:rsid w:val="0087216E"/>
    <w:pPr>
      <w:numPr>
        <w:ilvl w:val="1"/>
        <w:numId w:val="45"/>
      </w:numPr>
      <w:contextualSpacing/>
    </w:pPr>
    <w:rPr>
      <w:rFonts w:eastAsiaTheme="minorHAnsi" w:cstheme="minorHAnsi"/>
      <w:szCs w:val="22"/>
    </w:rPr>
  </w:style>
  <w:style w:type="paragraph" w:customStyle="1" w:styleId="NormalNo">
    <w:name w:val="Normal + No"/>
    <w:basedOn w:val="Normal"/>
    <w:qFormat/>
    <w:rsid w:val="0087216E"/>
    <w:pPr>
      <w:numPr>
        <w:numId w:val="46"/>
      </w:numPr>
    </w:pPr>
    <w:rPr>
      <w:rFonts w:eastAsia="MS Mincho"/>
      <w:b/>
      <w:sz w:val="22"/>
    </w:rPr>
  </w:style>
  <w:style w:type="paragraph" w:customStyle="1" w:styleId="Bullet3">
    <w:name w:val="Bullet 3"/>
    <w:basedOn w:val="ListParagraph"/>
    <w:qFormat/>
    <w:rsid w:val="0087216E"/>
    <w:pPr>
      <w:numPr>
        <w:numId w:val="49"/>
      </w:numPr>
      <w:spacing w:before="120" w:after="120"/>
      <w:ind w:right="425"/>
    </w:pPr>
    <w:rPr>
      <w:rFonts w:cs="Arial"/>
      <w:i/>
      <w:iCs/>
    </w:rPr>
  </w:style>
  <w:style w:type="paragraph" w:customStyle="1" w:styleId="Indent">
    <w:name w:val="Indent"/>
    <w:basedOn w:val="Normal"/>
    <w:qFormat/>
    <w:rsid w:val="0087216E"/>
    <w:pPr>
      <w:ind w:left="567"/>
    </w:pPr>
    <w:rPr>
      <w:rFonts w:cs="Arial"/>
      <w:b/>
    </w:rPr>
  </w:style>
  <w:style w:type="paragraph" w:customStyle="1" w:styleId="TitreTableau">
    <w:name w:val="Titre Tableau"/>
    <w:basedOn w:val="Normal"/>
    <w:qFormat/>
    <w:rsid w:val="0087216E"/>
    <w:pPr>
      <w:spacing w:before="120"/>
      <w:jc w:val="center"/>
    </w:pPr>
    <w:rPr>
      <w:rFonts w:cs="Arial"/>
      <w:b/>
      <w:bCs/>
      <w:color w:val="FFFFFF" w:themeColor="background1"/>
      <w:lang w:val="en-CA"/>
    </w:rPr>
  </w:style>
  <w:style w:type="paragraph" w:customStyle="1" w:styleId="BulletTableau">
    <w:name w:val="Bullet Tableau"/>
    <w:basedOn w:val="Bullet2"/>
    <w:qFormat/>
    <w:rsid w:val="0087216E"/>
    <w:pPr>
      <w:keepNext/>
      <w:keepLines/>
      <w:framePr w:hSpace="141" w:wrap="around" w:vAnchor="text" w:hAnchor="margin" w:y="402"/>
      <w:numPr>
        <w:numId w:val="50"/>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7216E"/>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87216E"/>
  </w:style>
  <w:style w:type="paragraph" w:styleId="Heading2">
    <w:name w:val="heading 2"/>
    <w:basedOn w:val="Normal"/>
    <w:next w:val="Normal"/>
    <w:link w:val="Heading2Char"/>
    <w:uiPriority w:val="9"/>
    <w:unhideWhenUsed/>
    <w:qFormat/>
    <w:rsid w:val="0087216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7216E"/>
    <w:pPr>
      <w:keepNext/>
      <w:spacing w:before="240"/>
      <w:jc w:val="left"/>
      <w:outlineLvl w:val="2"/>
    </w:pPr>
    <w:rPr>
      <w:b/>
      <w:sz w:val="22"/>
      <w:szCs w:val="24"/>
    </w:rPr>
  </w:style>
  <w:style w:type="character" w:default="1" w:styleId="DefaultParagraphFont">
    <w:name w:val="Default Paragraph Font"/>
    <w:uiPriority w:val="1"/>
    <w:semiHidden/>
    <w:unhideWhenUsed/>
    <w:rsid w:val="008721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216E"/>
  </w:style>
  <w:style w:type="paragraph" w:styleId="ListParagraph">
    <w:name w:val="List Paragraph"/>
    <w:basedOn w:val="Normal"/>
    <w:link w:val="ListParagraphChar"/>
    <w:uiPriority w:val="34"/>
    <w:qFormat/>
    <w:rsid w:val="0087216E"/>
    <w:pPr>
      <w:spacing w:after="240"/>
      <w:ind w:left="720"/>
      <w:contextualSpacing/>
    </w:pPr>
    <w:rPr>
      <w:rFonts w:eastAsiaTheme="minorHAnsi" w:cstheme="minorBidi"/>
      <w:szCs w:val="22"/>
    </w:rPr>
  </w:style>
  <w:style w:type="table" w:styleId="TableGrid">
    <w:name w:val="Table Grid"/>
    <w:basedOn w:val="TableNormal"/>
    <w:uiPriority w:val="59"/>
    <w:rsid w:val="0087216E"/>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sto nota a piè di pagina Carattere"/>
    <w:basedOn w:val="Normal"/>
    <w:link w:val="FootnoteTextChar"/>
    <w:uiPriority w:val="99"/>
    <w:unhideWhenUsed/>
    <w:rsid w:val="0087216E"/>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87216E"/>
    <w:rPr>
      <w:rFonts w:ascii="Arial" w:eastAsiaTheme="minorEastAsia" w:hAnsi="Arial" w:cs="Times New Roman"/>
      <w:sz w:val="16"/>
      <w:szCs w:val="22"/>
    </w:rPr>
  </w:style>
  <w:style w:type="character" w:styleId="FootnoteReference">
    <w:name w:val="footnote reference"/>
    <w:basedOn w:val="DefaultParagraphFont"/>
    <w:uiPriority w:val="99"/>
    <w:unhideWhenUsed/>
    <w:rsid w:val="0087216E"/>
    <w:rPr>
      <w:vertAlign w:val="superscript"/>
    </w:rPr>
  </w:style>
  <w:style w:type="character" w:customStyle="1" w:styleId="ListParagraphChar">
    <w:name w:val="List Paragraph Char"/>
    <w:basedOn w:val="DefaultParagraphFont"/>
    <w:link w:val="ListParagraph"/>
    <w:uiPriority w:val="34"/>
    <w:rsid w:val="0087216E"/>
    <w:rPr>
      <w:rFonts w:ascii="Arial" w:hAnsi="Arial"/>
      <w:sz w:val="20"/>
      <w:szCs w:val="22"/>
    </w:rPr>
  </w:style>
  <w:style w:type="paragraph" w:styleId="BalloonText">
    <w:name w:val="Balloon Text"/>
    <w:basedOn w:val="Normal"/>
    <w:link w:val="BalloonTextChar"/>
    <w:uiPriority w:val="99"/>
    <w:unhideWhenUsed/>
    <w:rsid w:val="0087216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87216E"/>
    <w:rPr>
      <w:rFonts w:ascii="Lucida Grande" w:eastAsiaTheme="minorEastAsia" w:hAnsi="Lucida Grande" w:cs="Lucida Grande"/>
      <w:sz w:val="18"/>
      <w:szCs w:val="18"/>
    </w:rPr>
  </w:style>
  <w:style w:type="paragraph" w:styleId="Header">
    <w:name w:val="header"/>
    <w:basedOn w:val="Normal"/>
    <w:link w:val="HeaderChar"/>
    <w:uiPriority w:val="99"/>
    <w:unhideWhenUsed/>
    <w:rsid w:val="0087216E"/>
    <w:pPr>
      <w:spacing w:after="0" w:line="288" w:lineRule="auto"/>
      <w:jc w:val="left"/>
    </w:pPr>
    <w:rPr>
      <w:sz w:val="16"/>
    </w:rPr>
  </w:style>
  <w:style w:type="character" w:customStyle="1" w:styleId="HeaderChar">
    <w:name w:val="Header Char"/>
    <w:basedOn w:val="DefaultParagraphFont"/>
    <w:link w:val="Header"/>
    <w:uiPriority w:val="99"/>
    <w:rsid w:val="0087216E"/>
    <w:rPr>
      <w:rFonts w:ascii="Arial" w:eastAsiaTheme="minorEastAsia" w:hAnsi="Arial" w:cs="Times New Roman"/>
      <w:sz w:val="16"/>
      <w:szCs w:val="20"/>
    </w:rPr>
  </w:style>
  <w:style w:type="paragraph" w:styleId="Footer">
    <w:name w:val="footer"/>
    <w:basedOn w:val="Normal"/>
    <w:link w:val="FooterChar"/>
    <w:uiPriority w:val="99"/>
    <w:unhideWhenUsed/>
    <w:rsid w:val="0087216E"/>
    <w:pPr>
      <w:spacing w:after="0"/>
      <w:jc w:val="left"/>
    </w:pPr>
    <w:rPr>
      <w:sz w:val="16"/>
      <w:szCs w:val="18"/>
    </w:rPr>
  </w:style>
  <w:style w:type="character" w:customStyle="1" w:styleId="FooterChar">
    <w:name w:val="Footer Char"/>
    <w:basedOn w:val="DefaultParagraphFont"/>
    <w:link w:val="Footer"/>
    <w:uiPriority w:val="99"/>
    <w:rsid w:val="0087216E"/>
    <w:rPr>
      <w:rFonts w:ascii="Arial" w:eastAsiaTheme="minorEastAsia" w:hAnsi="Arial" w:cs="Times New Roman"/>
      <w:sz w:val="16"/>
      <w:szCs w:val="18"/>
    </w:rPr>
  </w:style>
  <w:style w:type="paragraph" w:customStyle="1" w:styleId="Default">
    <w:name w:val="Default"/>
    <w:rsid w:val="0087216E"/>
    <w:pPr>
      <w:widowControl w:val="0"/>
      <w:autoSpaceDE w:val="0"/>
      <w:autoSpaceDN w:val="0"/>
      <w:adjustRightInd w:val="0"/>
    </w:pPr>
    <w:rPr>
      <w:rFonts w:ascii="Arial" w:eastAsiaTheme="minorEastAsia" w:hAnsi="Arial" w:cs="Arial"/>
      <w:color w:val="000000"/>
    </w:rPr>
  </w:style>
  <w:style w:type="paragraph" w:styleId="CommentText">
    <w:name w:val="annotation text"/>
    <w:basedOn w:val="Normal"/>
    <w:link w:val="CommentTextChar"/>
    <w:uiPriority w:val="99"/>
    <w:unhideWhenUsed/>
    <w:rsid w:val="00E14DDB"/>
    <w:rPr>
      <w:rFonts w:asciiTheme="minorHAnsi" w:hAnsiTheme="minorHAnsi"/>
    </w:rPr>
  </w:style>
  <w:style w:type="character" w:customStyle="1" w:styleId="CommentTextChar">
    <w:name w:val="Comment Text Char"/>
    <w:basedOn w:val="DefaultParagraphFont"/>
    <w:link w:val="CommentText"/>
    <w:uiPriority w:val="99"/>
    <w:rsid w:val="00E14DDB"/>
    <w:rPr>
      <w:rFonts w:eastAsiaTheme="minorEastAsia"/>
    </w:rPr>
  </w:style>
  <w:style w:type="character" w:customStyle="1" w:styleId="Heading1Char">
    <w:name w:val="Heading 1 Char"/>
    <w:basedOn w:val="DefaultParagraphFont"/>
    <w:link w:val="Heading1"/>
    <w:uiPriority w:val="9"/>
    <w:rsid w:val="0087216E"/>
    <w:rPr>
      <w:rFonts w:ascii="Arial" w:eastAsiaTheme="minorEastAsia" w:hAnsi="Arial" w:cs="Times New Roman"/>
      <w:b/>
      <w:sz w:val="40"/>
      <w:szCs w:val="52"/>
    </w:rPr>
  </w:style>
  <w:style w:type="character" w:styleId="CommentReference">
    <w:name w:val="annotation reference"/>
    <w:basedOn w:val="DefaultParagraphFont"/>
    <w:uiPriority w:val="99"/>
    <w:unhideWhenUsed/>
    <w:rsid w:val="0087216E"/>
    <w:rPr>
      <w:sz w:val="18"/>
      <w:szCs w:val="18"/>
    </w:rPr>
  </w:style>
  <w:style w:type="paragraph" w:styleId="CommentSubject">
    <w:name w:val="annotation subject"/>
    <w:basedOn w:val="Normal"/>
    <w:link w:val="CommentSubjectChar"/>
    <w:uiPriority w:val="99"/>
    <w:unhideWhenUsed/>
    <w:rsid w:val="0087216E"/>
    <w:rPr>
      <w:b/>
      <w:bCs/>
    </w:rPr>
  </w:style>
  <w:style w:type="character" w:customStyle="1" w:styleId="CommentSubjectChar">
    <w:name w:val="Comment Subject Char"/>
    <w:basedOn w:val="DefaultParagraphFont"/>
    <w:link w:val="CommentSubject"/>
    <w:uiPriority w:val="99"/>
    <w:rsid w:val="0087216E"/>
    <w:rPr>
      <w:rFonts w:ascii="Arial" w:eastAsiaTheme="minorEastAsia" w:hAnsi="Arial" w:cs="Times New Roman"/>
      <w:b/>
      <w:bCs/>
      <w:sz w:val="20"/>
      <w:szCs w:val="20"/>
    </w:rPr>
  </w:style>
  <w:style w:type="character" w:styleId="Hyperlink">
    <w:name w:val="Hyperlink"/>
    <w:basedOn w:val="DefaultParagraphFont"/>
    <w:uiPriority w:val="99"/>
    <w:unhideWhenUsed/>
    <w:rsid w:val="0087216E"/>
    <w:rPr>
      <w:color w:val="0000FF" w:themeColor="hyperlink"/>
      <w:u w:val="single"/>
    </w:rPr>
  </w:style>
  <w:style w:type="character" w:styleId="FollowedHyperlink">
    <w:name w:val="FollowedHyperlink"/>
    <w:basedOn w:val="DefaultParagraphFont"/>
    <w:uiPriority w:val="99"/>
    <w:unhideWhenUsed/>
    <w:rsid w:val="0087216E"/>
    <w:rPr>
      <w:color w:val="800080" w:themeColor="followedHyperlink"/>
      <w:u w:val="single"/>
    </w:rPr>
  </w:style>
  <w:style w:type="character" w:customStyle="1" w:styleId="Heading2Char">
    <w:name w:val="Heading 2 Char"/>
    <w:basedOn w:val="DefaultParagraphFont"/>
    <w:link w:val="Heading2"/>
    <w:uiPriority w:val="9"/>
    <w:rsid w:val="0087216E"/>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87216E"/>
    <w:rPr>
      <w:rFonts w:ascii="Arial" w:eastAsiaTheme="minorEastAsia" w:hAnsi="Arial" w:cs="Times New Roman"/>
      <w:b/>
      <w:sz w:val="22"/>
    </w:rPr>
  </w:style>
  <w:style w:type="character" w:styleId="PageNumber">
    <w:name w:val="page number"/>
    <w:basedOn w:val="DefaultParagraphFont"/>
    <w:uiPriority w:val="99"/>
    <w:unhideWhenUsed/>
    <w:rsid w:val="0087216E"/>
    <w:rPr>
      <w:b/>
    </w:rPr>
  </w:style>
  <w:style w:type="paragraph" w:styleId="Revision">
    <w:name w:val="Revision"/>
    <w:hidden/>
    <w:uiPriority w:val="99"/>
    <w:semiHidden/>
    <w:rsid w:val="0087216E"/>
    <w:rPr>
      <w:rFonts w:ascii="Arial" w:eastAsiaTheme="minorEastAsia" w:hAnsi="Arial" w:cs="Arial"/>
      <w:sz w:val="21"/>
      <w:szCs w:val="21"/>
    </w:rPr>
  </w:style>
  <w:style w:type="paragraph" w:customStyle="1" w:styleId="BasicParagraph">
    <w:name w:val="[Basic Paragraph]"/>
    <w:basedOn w:val="Normal"/>
    <w:uiPriority w:val="99"/>
    <w:rsid w:val="0087216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7216E"/>
    <w:pPr>
      <w:spacing w:before="360" w:after="240"/>
      <w:jc w:val="left"/>
      <w:outlineLvl w:val="0"/>
    </w:pPr>
    <w:rPr>
      <w:b/>
      <w:sz w:val="40"/>
      <w:szCs w:val="52"/>
    </w:rPr>
  </w:style>
  <w:style w:type="paragraph" w:customStyle="1" w:styleId="Bullet1">
    <w:name w:val="Bullet 1"/>
    <w:basedOn w:val="Normal"/>
    <w:rsid w:val="0087216E"/>
    <w:pPr>
      <w:numPr>
        <w:numId w:val="47"/>
      </w:numPr>
      <w:spacing w:before="60"/>
    </w:pPr>
    <w:rPr>
      <w:rFonts w:eastAsia="Times New Roman"/>
      <w:color w:val="000000"/>
    </w:rPr>
  </w:style>
  <w:style w:type="paragraph" w:customStyle="1" w:styleId="RefItem1">
    <w:name w:val="Ref Item 1"/>
    <w:basedOn w:val="Normal"/>
    <w:rsid w:val="0087216E"/>
    <w:pPr>
      <w:jc w:val="left"/>
    </w:pPr>
    <w:rPr>
      <w:color w:val="000000"/>
      <w:szCs w:val="24"/>
      <w:lang w:eastAsia="it-IT"/>
    </w:rPr>
  </w:style>
  <w:style w:type="paragraph" w:customStyle="1" w:styleId="RefTitre">
    <w:name w:val="Ref Titre"/>
    <w:basedOn w:val="Normal"/>
    <w:rsid w:val="0087216E"/>
    <w:pPr>
      <w:jc w:val="left"/>
    </w:pPr>
    <w:rPr>
      <w:rFonts w:eastAsia="Times New Roman"/>
      <w:b/>
      <w:bCs/>
      <w:sz w:val="26"/>
      <w:szCs w:val="26"/>
    </w:rPr>
  </w:style>
  <w:style w:type="paragraph" w:customStyle="1" w:styleId="Header1">
    <w:name w:val="Header 1"/>
    <w:basedOn w:val="Header"/>
    <w:rsid w:val="0087216E"/>
    <w:rPr>
      <w:b/>
      <w:sz w:val="24"/>
      <w:szCs w:val="24"/>
    </w:rPr>
  </w:style>
  <w:style w:type="character" w:customStyle="1" w:styleId="Pantone485">
    <w:name w:val="Pantone 485"/>
    <w:basedOn w:val="DefaultParagraphFont"/>
    <w:uiPriority w:val="1"/>
    <w:qFormat/>
    <w:rsid w:val="0087216E"/>
    <w:rPr>
      <w:rFonts w:cs="Caecilia-Light"/>
      <w:color w:val="DC281E"/>
      <w:szCs w:val="16"/>
    </w:rPr>
  </w:style>
  <w:style w:type="character" w:customStyle="1" w:styleId="H1Char">
    <w:name w:val="H1 Char"/>
    <w:basedOn w:val="DefaultParagraphFont"/>
    <w:link w:val="H1"/>
    <w:rsid w:val="0087216E"/>
    <w:rPr>
      <w:rFonts w:ascii="Arial" w:eastAsiaTheme="minorEastAsia" w:hAnsi="Arial" w:cs="Times New Roman"/>
      <w:b/>
      <w:sz w:val="40"/>
      <w:szCs w:val="52"/>
    </w:rPr>
  </w:style>
  <w:style w:type="table" w:customStyle="1" w:styleId="TableGray">
    <w:name w:val="Table Gray"/>
    <w:basedOn w:val="TableNormal"/>
    <w:uiPriority w:val="99"/>
    <w:rsid w:val="0087216E"/>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7216E"/>
    <w:pPr>
      <w:numPr>
        <w:numId w:val="48"/>
      </w:numPr>
      <w:tabs>
        <w:tab w:val="left" w:pos="7230"/>
      </w:tabs>
      <w:spacing w:before="240"/>
    </w:pPr>
    <w:rPr>
      <w:rFonts w:cs="Arial"/>
    </w:rPr>
  </w:style>
  <w:style w:type="paragraph" w:customStyle="1" w:styleId="ListNumber1">
    <w:name w:val="List Number 1"/>
    <w:basedOn w:val="Normal"/>
    <w:rsid w:val="0087216E"/>
    <w:pPr>
      <w:numPr>
        <w:ilvl w:val="1"/>
        <w:numId w:val="45"/>
      </w:numPr>
      <w:contextualSpacing/>
    </w:pPr>
    <w:rPr>
      <w:rFonts w:eastAsiaTheme="minorHAnsi" w:cstheme="minorHAnsi"/>
      <w:szCs w:val="22"/>
    </w:rPr>
  </w:style>
  <w:style w:type="paragraph" w:customStyle="1" w:styleId="NormalNo">
    <w:name w:val="Normal + No"/>
    <w:basedOn w:val="Normal"/>
    <w:qFormat/>
    <w:rsid w:val="0087216E"/>
    <w:pPr>
      <w:numPr>
        <w:numId w:val="46"/>
      </w:numPr>
    </w:pPr>
    <w:rPr>
      <w:rFonts w:eastAsia="MS Mincho"/>
      <w:b/>
      <w:sz w:val="22"/>
    </w:rPr>
  </w:style>
  <w:style w:type="paragraph" w:customStyle="1" w:styleId="Bullet3">
    <w:name w:val="Bullet 3"/>
    <w:basedOn w:val="ListParagraph"/>
    <w:qFormat/>
    <w:rsid w:val="0087216E"/>
    <w:pPr>
      <w:numPr>
        <w:numId w:val="49"/>
      </w:numPr>
      <w:spacing w:before="120" w:after="120"/>
      <w:ind w:right="425"/>
    </w:pPr>
    <w:rPr>
      <w:rFonts w:cs="Arial"/>
      <w:i/>
      <w:iCs/>
    </w:rPr>
  </w:style>
  <w:style w:type="paragraph" w:customStyle="1" w:styleId="Indent">
    <w:name w:val="Indent"/>
    <w:basedOn w:val="Normal"/>
    <w:qFormat/>
    <w:rsid w:val="0087216E"/>
    <w:pPr>
      <w:ind w:left="567"/>
    </w:pPr>
    <w:rPr>
      <w:rFonts w:cs="Arial"/>
      <w:b/>
    </w:rPr>
  </w:style>
  <w:style w:type="paragraph" w:customStyle="1" w:styleId="TitreTableau">
    <w:name w:val="Titre Tableau"/>
    <w:basedOn w:val="Normal"/>
    <w:qFormat/>
    <w:rsid w:val="0087216E"/>
    <w:pPr>
      <w:spacing w:before="120"/>
      <w:jc w:val="center"/>
    </w:pPr>
    <w:rPr>
      <w:rFonts w:cs="Arial"/>
      <w:b/>
      <w:bCs/>
      <w:color w:val="FFFFFF" w:themeColor="background1"/>
      <w:lang w:val="en-CA"/>
    </w:rPr>
  </w:style>
  <w:style w:type="paragraph" w:customStyle="1" w:styleId="BulletTableau">
    <w:name w:val="Bullet Tableau"/>
    <w:basedOn w:val="Bullet2"/>
    <w:qFormat/>
    <w:rsid w:val="0087216E"/>
    <w:pPr>
      <w:keepNext/>
      <w:keepLines/>
      <w:framePr w:hSpace="141" w:wrap="around" w:vAnchor="text" w:hAnchor="margin" w:y="402"/>
      <w:numPr>
        <w:numId w:val="5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9214">
      <w:bodyDiv w:val="1"/>
      <w:marLeft w:val="0"/>
      <w:marRight w:val="0"/>
      <w:marTop w:val="0"/>
      <w:marBottom w:val="0"/>
      <w:divBdr>
        <w:top w:val="none" w:sz="0" w:space="0" w:color="auto"/>
        <w:left w:val="none" w:sz="0" w:space="0" w:color="auto"/>
        <w:bottom w:val="none" w:sz="0" w:space="0" w:color="auto"/>
        <w:right w:val="none" w:sz="0" w:space="0" w:color="auto"/>
      </w:divBdr>
    </w:div>
    <w:div w:id="107939335">
      <w:bodyDiv w:val="1"/>
      <w:marLeft w:val="0"/>
      <w:marRight w:val="0"/>
      <w:marTop w:val="0"/>
      <w:marBottom w:val="0"/>
      <w:divBdr>
        <w:top w:val="none" w:sz="0" w:space="0" w:color="auto"/>
        <w:left w:val="none" w:sz="0" w:space="0" w:color="auto"/>
        <w:bottom w:val="none" w:sz="0" w:space="0" w:color="auto"/>
        <w:right w:val="none" w:sz="0" w:space="0" w:color="auto"/>
      </w:divBdr>
    </w:div>
    <w:div w:id="276834300">
      <w:bodyDiv w:val="1"/>
      <w:marLeft w:val="0"/>
      <w:marRight w:val="0"/>
      <w:marTop w:val="0"/>
      <w:marBottom w:val="0"/>
      <w:divBdr>
        <w:top w:val="none" w:sz="0" w:space="0" w:color="auto"/>
        <w:left w:val="none" w:sz="0" w:space="0" w:color="auto"/>
        <w:bottom w:val="none" w:sz="0" w:space="0" w:color="auto"/>
        <w:right w:val="none" w:sz="0" w:space="0" w:color="auto"/>
      </w:divBdr>
    </w:div>
    <w:div w:id="285550936">
      <w:bodyDiv w:val="1"/>
      <w:marLeft w:val="0"/>
      <w:marRight w:val="0"/>
      <w:marTop w:val="0"/>
      <w:marBottom w:val="0"/>
      <w:divBdr>
        <w:top w:val="none" w:sz="0" w:space="0" w:color="auto"/>
        <w:left w:val="none" w:sz="0" w:space="0" w:color="auto"/>
        <w:bottom w:val="none" w:sz="0" w:space="0" w:color="auto"/>
        <w:right w:val="none" w:sz="0" w:space="0" w:color="auto"/>
      </w:divBdr>
    </w:div>
    <w:div w:id="295331237">
      <w:bodyDiv w:val="1"/>
      <w:marLeft w:val="0"/>
      <w:marRight w:val="0"/>
      <w:marTop w:val="0"/>
      <w:marBottom w:val="0"/>
      <w:divBdr>
        <w:top w:val="none" w:sz="0" w:space="0" w:color="auto"/>
        <w:left w:val="none" w:sz="0" w:space="0" w:color="auto"/>
        <w:bottom w:val="none" w:sz="0" w:space="0" w:color="auto"/>
        <w:right w:val="none" w:sz="0" w:space="0" w:color="auto"/>
      </w:divBdr>
    </w:div>
    <w:div w:id="338043645">
      <w:bodyDiv w:val="1"/>
      <w:marLeft w:val="0"/>
      <w:marRight w:val="0"/>
      <w:marTop w:val="0"/>
      <w:marBottom w:val="0"/>
      <w:divBdr>
        <w:top w:val="none" w:sz="0" w:space="0" w:color="auto"/>
        <w:left w:val="none" w:sz="0" w:space="0" w:color="auto"/>
        <w:bottom w:val="none" w:sz="0" w:space="0" w:color="auto"/>
        <w:right w:val="none" w:sz="0" w:space="0" w:color="auto"/>
      </w:divBdr>
    </w:div>
    <w:div w:id="490029766">
      <w:bodyDiv w:val="1"/>
      <w:marLeft w:val="0"/>
      <w:marRight w:val="0"/>
      <w:marTop w:val="0"/>
      <w:marBottom w:val="0"/>
      <w:divBdr>
        <w:top w:val="none" w:sz="0" w:space="0" w:color="auto"/>
        <w:left w:val="none" w:sz="0" w:space="0" w:color="auto"/>
        <w:bottom w:val="none" w:sz="0" w:space="0" w:color="auto"/>
        <w:right w:val="none" w:sz="0" w:space="0" w:color="auto"/>
      </w:divBdr>
    </w:div>
    <w:div w:id="499928356">
      <w:bodyDiv w:val="1"/>
      <w:marLeft w:val="0"/>
      <w:marRight w:val="0"/>
      <w:marTop w:val="0"/>
      <w:marBottom w:val="0"/>
      <w:divBdr>
        <w:top w:val="none" w:sz="0" w:space="0" w:color="auto"/>
        <w:left w:val="none" w:sz="0" w:space="0" w:color="auto"/>
        <w:bottom w:val="none" w:sz="0" w:space="0" w:color="auto"/>
        <w:right w:val="none" w:sz="0" w:space="0" w:color="auto"/>
      </w:divBdr>
    </w:div>
    <w:div w:id="580221344">
      <w:bodyDiv w:val="1"/>
      <w:marLeft w:val="0"/>
      <w:marRight w:val="0"/>
      <w:marTop w:val="0"/>
      <w:marBottom w:val="0"/>
      <w:divBdr>
        <w:top w:val="none" w:sz="0" w:space="0" w:color="auto"/>
        <w:left w:val="none" w:sz="0" w:space="0" w:color="auto"/>
        <w:bottom w:val="none" w:sz="0" w:space="0" w:color="auto"/>
        <w:right w:val="none" w:sz="0" w:space="0" w:color="auto"/>
      </w:divBdr>
    </w:div>
    <w:div w:id="891355919">
      <w:bodyDiv w:val="1"/>
      <w:marLeft w:val="0"/>
      <w:marRight w:val="0"/>
      <w:marTop w:val="0"/>
      <w:marBottom w:val="0"/>
      <w:divBdr>
        <w:top w:val="none" w:sz="0" w:space="0" w:color="auto"/>
        <w:left w:val="none" w:sz="0" w:space="0" w:color="auto"/>
        <w:bottom w:val="none" w:sz="0" w:space="0" w:color="auto"/>
        <w:right w:val="none" w:sz="0" w:space="0" w:color="auto"/>
      </w:divBdr>
    </w:div>
    <w:div w:id="1127746590">
      <w:bodyDiv w:val="1"/>
      <w:marLeft w:val="0"/>
      <w:marRight w:val="0"/>
      <w:marTop w:val="0"/>
      <w:marBottom w:val="0"/>
      <w:divBdr>
        <w:top w:val="none" w:sz="0" w:space="0" w:color="auto"/>
        <w:left w:val="none" w:sz="0" w:space="0" w:color="auto"/>
        <w:bottom w:val="none" w:sz="0" w:space="0" w:color="auto"/>
        <w:right w:val="none" w:sz="0" w:space="0" w:color="auto"/>
      </w:divBdr>
    </w:div>
    <w:div w:id="1206484708">
      <w:bodyDiv w:val="1"/>
      <w:marLeft w:val="0"/>
      <w:marRight w:val="0"/>
      <w:marTop w:val="0"/>
      <w:marBottom w:val="0"/>
      <w:divBdr>
        <w:top w:val="none" w:sz="0" w:space="0" w:color="auto"/>
        <w:left w:val="none" w:sz="0" w:space="0" w:color="auto"/>
        <w:bottom w:val="none" w:sz="0" w:space="0" w:color="auto"/>
        <w:right w:val="none" w:sz="0" w:space="0" w:color="auto"/>
      </w:divBdr>
    </w:div>
    <w:div w:id="1290237935">
      <w:bodyDiv w:val="1"/>
      <w:marLeft w:val="0"/>
      <w:marRight w:val="0"/>
      <w:marTop w:val="0"/>
      <w:marBottom w:val="0"/>
      <w:divBdr>
        <w:top w:val="none" w:sz="0" w:space="0" w:color="auto"/>
        <w:left w:val="none" w:sz="0" w:space="0" w:color="auto"/>
        <w:bottom w:val="none" w:sz="0" w:space="0" w:color="auto"/>
        <w:right w:val="none" w:sz="0" w:space="0" w:color="auto"/>
      </w:divBdr>
    </w:div>
    <w:div w:id="1388341502">
      <w:bodyDiv w:val="1"/>
      <w:marLeft w:val="0"/>
      <w:marRight w:val="0"/>
      <w:marTop w:val="0"/>
      <w:marBottom w:val="0"/>
      <w:divBdr>
        <w:top w:val="none" w:sz="0" w:space="0" w:color="auto"/>
        <w:left w:val="none" w:sz="0" w:space="0" w:color="auto"/>
        <w:bottom w:val="none" w:sz="0" w:space="0" w:color="auto"/>
        <w:right w:val="none" w:sz="0" w:space="0" w:color="auto"/>
      </w:divBdr>
    </w:div>
    <w:div w:id="1436515835">
      <w:bodyDiv w:val="1"/>
      <w:marLeft w:val="0"/>
      <w:marRight w:val="0"/>
      <w:marTop w:val="0"/>
      <w:marBottom w:val="0"/>
      <w:divBdr>
        <w:top w:val="none" w:sz="0" w:space="0" w:color="auto"/>
        <w:left w:val="none" w:sz="0" w:space="0" w:color="auto"/>
        <w:bottom w:val="none" w:sz="0" w:space="0" w:color="auto"/>
        <w:right w:val="none" w:sz="0" w:space="0" w:color="auto"/>
      </w:divBdr>
    </w:div>
    <w:div w:id="1495223548">
      <w:bodyDiv w:val="1"/>
      <w:marLeft w:val="0"/>
      <w:marRight w:val="0"/>
      <w:marTop w:val="0"/>
      <w:marBottom w:val="0"/>
      <w:divBdr>
        <w:top w:val="none" w:sz="0" w:space="0" w:color="auto"/>
        <w:left w:val="none" w:sz="0" w:space="0" w:color="auto"/>
        <w:bottom w:val="none" w:sz="0" w:space="0" w:color="auto"/>
        <w:right w:val="none" w:sz="0" w:space="0" w:color="auto"/>
      </w:divBdr>
    </w:div>
    <w:div w:id="1501117080">
      <w:bodyDiv w:val="1"/>
      <w:marLeft w:val="0"/>
      <w:marRight w:val="0"/>
      <w:marTop w:val="0"/>
      <w:marBottom w:val="0"/>
      <w:divBdr>
        <w:top w:val="none" w:sz="0" w:space="0" w:color="auto"/>
        <w:left w:val="none" w:sz="0" w:space="0" w:color="auto"/>
        <w:bottom w:val="none" w:sz="0" w:space="0" w:color="auto"/>
        <w:right w:val="none" w:sz="0" w:space="0" w:color="auto"/>
      </w:divBdr>
    </w:div>
    <w:div w:id="1560172695">
      <w:bodyDiv w:val="1"/>
      <w:marLeft w:val="0"/>
      <w:marRight w:val="0"/>
      <w:marTop w:val="0"/>
      <w:marBottom w:val="0"/>
      <w:divBdr>
        <w:top w:val="none" w:sz="0" w:space="0" w:color="auto"/>
        <w:left w:val="none" w:sz="0" w:space="0" w:color="auto"/>
        <w:bottom w:val="none" w:sz="0" w:space="0" w:color="auto"/>
        <w:right w:val="none" w:sz="0" w:space="0" w:color="auto"/>
      </w:divBdr>
    </w:div>
    <w:div w:id="1678071715">
      <w:bodyDiv w:val="1"/>
      <w:marLeft w:val="0"/>
      <w:marRight w:val="0"/>
      <w:marTop w:val="0"/>
      <w:marBottom w:val="0"/>
      <w:divBdr>
        <w:top w:val="none" w:sz="0" w:space="0" w:color="auto"/>
        <w:left w:val="none" w:sz="0" w:space="0" w:color="auto"/>
        <w:bottom w:val="none" w:sz="0" w:space="0" w:color="auto"/>
        <w:right w:val="none" w:sz="0" w:space="0" w:color="auto"/>
      </w:divBdr>
    </w:div>
    <w:div w:id="1739356059">
      <w:bodyDiv w:val="1"/>
      <w:marLeft w:val="0"/>
      <w:marRight w:val="0"/>
      <w:marTop w:val="0"/>
      <w:marBottom w:val="0"/>
      <w:divBdr>
        <w:top w:val="none" w:sz="0" w:space="0" w:color="auto"/>
        <w:left w:val="none" w:sz="0" w:space="0" w:color="auto"/>
        <w:bottom w:val="none" w:sz="0" w:space="0" w:color="auto"/>
        <w:right w:val="none" w:sz="0" w:space="0" w:color="auto"/>
      </w:divBdr>
    </w:div>
    <w:div w:id="1949965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lutionscenter.nethope.org/toolkit/view/c2e-toolk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hlearning.org/downloads/resources/tools/share-what-works-psp.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hlearning.org/resources/library/390-e-transfers-in-emergencies-implementation-support-guidelin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0E6B-15A7-4D6B-B771-3C464EFC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33</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Nicole Francoeur</cp:lastModifiedBy>
  <cp:revision>35</cp:revision>
  <cp:lastPrinted>2015-09-25T15:11:00Z</cp:lastPrinted>
  <dcterms:created xsi:type="dcterms:W3CDTF">2015-06-03T12:13:00Z</dcterms:created>
  <dcterms:modified xsi:type="dcterms:W3CDTF">2015-09-25T18:43:00Z</dcterms:modified>
</cp:coreProperties>
</file>