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B5" w:rsidRPr="00702456" w:rsidRDefault="004F71E0" w:rsidP="00EB0408">
      <w:pPr>
        <w:pStyle w:val="H1"/>
        <w:rPr>
          <w:rFonts w:cs="Arial"/>
        </w:rPr>
      </w:pPr>
      <w:r w:rsidRPr="00702456">
        <w:rPr>
          <w:rFonts w:cs="Arial"/>
        </w:rPr>
        <w:t>Ke</w:t>
      </w:r>
      <w:bookmarkStart w:id="0" w:name="_GoBack"/>
      <w:bookmarkEnd w:id="0"/>
      <w:r w:rsidRPr="00702456">
        <w:rPr>
          <w:rFonts w:cs="Arial"/>
        </w:rPr>
        <w:t>y questions for evaluating CTP</w:t>
      </w:r>
      <w:r w:rsidRPr="004E1BFA">
        <w:rPr>
          <w:rStyle w:val="FootnoteReference"/>
          <w:rFonts w:cs="Arial"/>
          <w:szCs w:val="40"/>
        </w:rPr>
        <w:footnoteReference w:id="1"/>
      </w:r>
      <w:r w:rsidR="00F827D5" w:rsidRPr="00702456">
        <w:rPr>
          <w:rFonts w:cs="Arial"/>
        </w:rPr>
        <w:t xml:space="preserve"> checklist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25"/>
        <w:gridCol w:w="4923"/>
      </w:tblGrid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702456" w:rsidRDefault="004F71E0" w:rsidP="00357D6B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702456">
              <w:rPr>
                <w:rFonts w:cs="Arial"/>
                <w:b/>
                <w:color w:val="FFFFFF"/>
              </w:rPr>
              <w:t>Questions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702456" w:rsidRDefault="004F71E0" w:rsidP="00357D6B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702456">
              <w:rPr>
                <w:rFonts w:cs="Arial"/>
                <w:b/>
                <w:color w:val="FFFFFF"/>
              </w:rPr>
              <w:t>Methods/Indicators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 w:rsidRPr="00702456">
              <w:rPr>
                <w:rFonts w:cs="Arial"/>
                <w:b/>
              </w:rPr>
              <w:t>Appropriateness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F923A8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Were</w:t>
            </w:r>
            <w:r w:rsidR="004F71E0" w:rsidRPr="00702456">
              <w:rPr>
                <w:rFonts w:cs="Arial"/>
              </w:rPr>
              <w:t xml:space="preserve"> sufficient food and other essential goods available to be purchased</w:t>
            </w:r>
            <w:r w:rsidRPr="00702456">
              <w:rPr>
                <w:rFonts w:cs="Arial"/>
              </w:rPr>
              <w:t xml:space="preserve"> locally</w:t>
            </w:r>
            <w:r w:rsidR="004F71E0" w:rsidRPr="00702456">
              <w:rPr>
                <w:rFonts w:cs="Arial"/>
              </w:rPr>
              <w:t>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Were markets able to deliver affordable food and other essential items?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Were markets accessible?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Did recipients prefer cash over other types of assistance?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Interviews with project staff 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Key informant interviews with local food traders in the communities and local authorities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Available documentation – assessment and monitoring reports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 w:rsidRPr="00702456">
              <w:rPr>
                <w:rFonts w:cs="Arial"/>
                <w:b/>
              </w:rPr>
              <w:t>Coverage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How were beneficiaries targeted?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Was targeting perceived as fair?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Did the use of cash make targeting more difficult?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Was cash shared with households that were not targeted?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Focus group discussions with members of the community and village committees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In-depth interviews with households that received cash and households that did not 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Analysis of whether beneficiaries met targeting criteria and whether people who met the criteria were excluded</w:t>
            </w:r>
          </w:p>
          <w:p w:rsidR="007D73D8" w:rsidRPr="00702456" w:rsidRDefault="00F923A8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C</w:t>
            </w:r>
            <w:r w:rsidR="004F71E0" w:rsidRPr="00702456">
              <w:rPr>
                <w:rFonts w:cs="Arial"/>
              </w:rPr>
              <w:t>omparisons with targeting in other interventions</w:t>
            </w:r>
            <w:r w:rsidRPr="00702456">
              <w:rPr>
                <w:rFonts w:cs="Arial"/>
              </w:rPr>
              <w:t>, where possible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 w:rsidRPr="00702456">
              <w:rPr>
                <w:rFonts w:cs="Arial"/>
                <w:b/>
              </w:rPr>
              <w:t>Connectedness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How did the cash transfers interact with other forms of assistance?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Key informant interviews with project staff 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Mapping of other interventions a</w:t>
            </w:r>
            <w:r w:rsidR="00F923A8" w:rsidRPr="00702456">
              <w:rPr>
                <w:rFonts w:cs="Arial"/>
              </w:rPr>
              <w:t>nd interviews with other organiz</w:t>
            </w:r>
            <w:r w:rsidRPr="00702456">
              <w:rPr>
                <w:rFonts w:cs="Arial"/>
              </w:rPr>
              <w:t>ations in the area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Interviews with communities about the range of interventions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 w:rsidRPr="00702456">
              <w:rPr>
                <w:rFonts w:cs="Arial"/>
                <w:b/>
              </w:rPr>
              <w:t>Impact</w:t>
            </w:r>
          </w:p>
        </w:tc>
      </w:tr>
      <w:tr w:rsidR="007D73D8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was the effect of the income on people’s livelihoods?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multiplier effects may have occurred due to the cash?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effect did the project have on local markets for key goods and services?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Where and how accessible were the markets where cash was spent?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How did households decide</w:t>
            </w:r>
            <w:r w:rsidR="00F923A8" w:rsidRPr="00702456">
              <w:rPr>
                <w:rFonts w:cs="Arial"/>
              </w:rPr>
              <w:t xml:space="preserve"> on</w:t>
            </w:r>
            <w:r w:rsidRPr="00702456">
              <w:rPr>
                <w:rFonts w:cs="Arial"/>
              </w:rPr>
              <w:t xml:space="preserve"> how to use the cash and were there tensions between men and women or between different generations?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How has the cash project affected traditional community self-help systems?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How has the cash project influenced local debt and credit markets?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Focus group discussions with people and committees involved in implementation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Significance of the transfer as a component of household income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Ranking of income sources including the cash grant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Distance to market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Time taken to purchase goods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Focus on potentially vulnerable groups such as the elderly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Separate discussions with men and women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Interviews with households that received cash from the project</w:t>
            </w:r>
          </w:p>
          <w:p w:rsidR="00BE473A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Key informant interviews with local traders and shopkeepers in the communities and local authorities </w:t>
            </w:r>
          </w:p>
          <w:p w:rsidR="00BE473A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lastRenderedPageBreak/>
              <w:t>Use of cash to repay debts</w:t>
            </w:r>
          </w:p>
          <w:p w:rsidR="00BE473A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Influence of cash project on willingness to repay debts</w:t>
            </w:r>
          </w:p>
          <w:p w:rsidR="007D73D8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Interviews with credit providers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 w:rsidRPr="00702456">
              <w:rPr>
                <w:rFonts w:cs="Arial"/>
                <w:b/>
              </w:rPr>
              <w:lastRenderedPageBreak/>
              <w:t>Effectiveness</w:t>
            </w:r>
          </w:p>
        </w:tc>
      </w:tr>
      <w:tr w:rsidR="00EF03E1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Did people </w:t>
            </w:r>
            <w:r w:rsidR="00F923A8" w:rsidRPr="00702456">
              <w:rPr>
                <w:rFonts w:cs="Arial"/>
              </w:rPr>
              <w:t xml:space="preserve">receive </w:t>
            </w:r>
            <w:r w:rsidRPr="00702456">
              <w:rPr>
                <w:rFonts w:cs="Arial"/>
              </w:rPr>
              <w:t xml:space="preserve">the </w:t>
            </w:r>
            <w:r w:rsidR="00F923A8" w:rsidRPr="00702456">
              <w:rPr>
                <w:rFonts w:cs="Arial"/>
              </w:rPr>
              <w:t xml:space="preserve">correct </w:t>
            </w:r>
            <w:r w:rsidRPr="00702456">
              <w:rPr>
                <w:rFonts w:cs="Arial"/>
              </w:rPr>
              <w:t>amount of cash?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Were distributions timely and efficient? 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did people spend the cash on?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Was cash delivered and spent safely?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costs were borne by the beneficiary in receiving and using the cash?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Did beneficiaries see payment levels as fair and adequate?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Was there any corrupt abuse by agency staff, local elites or authorities involved in targeting or distribution?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Is there any evidence of anti-social use?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Key informant interviews with local traders and shopkeepers in the communities, and key local authorities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Waiting times at distribution sites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Accessibility of transfer mechanism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Travel distance and costs of getting to the distribution point</w:t>
            </w:r>
            <w:r w:rsidR="00F923A8" w:rsidRPr="00702456">
              <w:rPr>
                <w:rFonts w:cs="Arial"/>
              </w:rPr>
              <w:t>s</w:t>
            </w:r>
            <w:r w:rsidRPr="00702456">
              <w:rPr>
                <w:rFonts w:cs="Arial"/>
              </w:rPr>
              <w:t xml:space="preserve"> 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Focus group discussions with members of the community and village relief/development committees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Analysis of any security incidents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In-depth interviews with households that received cash 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Documentation 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Independent monitoring, triangulation with key informants such as teachers and health staff</w:t>
            </w:r>
          </w:p>
        </w:tc>
      </w:tr>
      <w:tr w:rsidR="00FA6CFD" w:rsidRPr="00702456" w:rsidTr="00357D6B"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 w:rsidRPr="00702456">
              <w:rPr>
                <w:rFonts w:cs="Arial"/>
                <w:b/>
              </w:rPr>
              <w:t>Efficiency and cost-effectiveness</w:t>
            </w:r>
          </w:p>
        </w:tc>
      </w:tr>
      <w:tr w:rsidR="00EF03E1" w:rsidRPr="00702456" w:rsidTr="00357D6B">
        <w:trPr>
          <w:trHeight w:val="20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E6E6E6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How efficient and appropriate were the delivery systems used for disbursements?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Did the agency have sufficient skills to manage the project effectively? 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were the management costs/requirements in implementing the project?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was the total cost of the project per beneficiary?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were the external costs borne by the beneficiary?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What was the total cost of comparable in-kind projects per beneficiary?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F3F3F3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Key informant interviews with programme and finance staff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Focus group discussions with programme team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Assessment of key staff qualifications and experience 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Focus group discussions with members of the community and village relief/development committees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In-depth interviews with households that received cash from the project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Documentation from the programme</w:t>
            </w:r>
          </w:p>
        </w:tc>
      </w:tr>
      <w:tr w:rsidR="00FA6CFD" w:rsidRPr="00702456" w:rsidTr="00357D6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48" w:type="dxa"/>
            <w:gridSpan w:val="2"/>
            <w:shd w:val="clear" w:color="auto" w:fill="A6A6A6"/>
          </w:tcPr>
          <w:p w:rsidR="00FA6CFD" w:rsidRPr="00702456" w:rsidRDefault="004F71E0" w:rsidP="00357D6B">
            <w:pPr>
              <w:spacing w:before="120"/>
              <w:jc w:val="left"/>
              <w:rPr>
                <w:rFonts w:cs="Arial"/>
                <w:b/>
              </w:rPr>
            </w:pPr>
            <w:r w:rsidRPr="00702456">
              <w:rPr>
                <w:rFonts w:cs="Arial"/>
                <w:b/>
              </w:rPr>
              <w:t>Sector-specific objectives</w:t>
            </w:r>
          </w:p>
        </w:tc>
      </w:tr>
      <w:tr w:rsidR="00EF03E1" w:rsidRPr="00702456" w:rsidTr="00357D6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25" w:type="dxa"/>
            <w:shd w:val="clear" w:color="auto" w:fill="E6E6E6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Did cash meet specific objectives such as shelter, livelihoods recovery or food security?</w:t>
            </w:r>
          </w:p>
        </w:tc>
        <w:tc>
          <w:tcPr>
            <w:tcW w:w="4923" w:type="dxa"/>
            <w:shd w:val="clear" w:color="auto" w:fill="F3F3F3"/>
          </w:tcPr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Number of houses built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Proportion of cash grant spent on shelter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 xml:space="preserve">Income generated from investments 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Livestock levels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Proportion of household food needs met through cash grant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Types of food purchased and impact on dietary diversity</w:t>
            </w:r>
          </w:p>
          <w:p w:rsidR="00EF03E1" w:rsidRPr="00702456" w:rsidRDefault="004F71E0" w:rsidP="00357D6B">
            <w:pPr>
              <w:spacing w:before="100" w:after="80"/>
              <w:jc w:val="left"/>
              <w:rPr>
                <w:rFonts w:cs="Arial"/>
              </w:rPr>
            </w:pPr>
            <w:r w:rsidRPr="00702456">
              <w:rPr>
                <w:rFonts w:cs="Arial"/>
              </w:rPr>
              <w:t>Impact on negative coping strategies</w:t>
            </w:r>
          </w:p>
        </w:tc>
      </w:tr>
    </w:tbl>
    <w:p w:rsidR="00EF03E1" w:rsidRPr="00702456" w:rsidRDefault="000A5257">
      <w:pPr>
        <w:rPr>
          <w:rFonts w:cs="Arial"/>
        </w:rPr>
      </w:pPr>
    </w:p>
    <w:sectPr w:rsidR="00EF03E1" w:rsidRPr="00702456" w:rsidSect="00EB0408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57" w:rsidRDefault="000A5257" w:rsidP="00960101">
      <w:r>
        <w:separator/>
      </w:r>
    </w:p>
  </w:endnote>
  <w:endnote w:type="continuationSeparator" w:id="0">
    <w:p w:rsidR="000A5257" w:rsidRDefault="000A5257" w:rsidP="0096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08" w:rsidRPr="00B45C74" w:rsidRDefault="00EB040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1654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B0408" w:rsidRPr="003A3500" w:rsidRDefault="00EB0408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4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016545" w:rsidRPr="00016545">
      <w:rPr>
        <w:bCs/>
        <w:noProof/>
      </w:rPr>
      <w:t>Key questions for evaluating CTP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57" w:rsidRDefault="000A5257" w:rsidP="004E1BFA">
      <w:pPr>
        <w:spacing w:after="0"/>
      </w:pPr>
      <w:r>
        <w:separator/>
      </w:r>
    </w:p>
  </w:footnote>
  <w:footnote w:type="continuationSeparator" w:id="0">
    <w:p w:rsidR="000A5257" w:rsidRDefault="000A5257" w:rsidP="00960101">
      <w:r>
        <w:continuationSeparator/>
      </w:r>
    </w:p>
  </w:footnote>
  <w:footnote w:id="1">
    <w:p w:rsidR="009465B5" w:rsidRPr="00960101" w:rsidRDefault="004F71E0" w:rsidP="004E1B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0101">
        <w:t>Source: Harvey P.</w:t>
      </w:r>
      <w:r>
        <w:t>,</w:t>
      </w:r>
      <w:r w:rsidRPr="00960101">
        <w:t xml:space="preserve"> and Ba</w:t>
      </w:r>
      <w:r>
        <w:t>i</w:t>
      </w:r>
      <w:r w:rsidR="00F923A8">
        <w:t>ley S. (2011) Cash t</w:t>
      </w:r>
      <w:r w:rsidRPr="00960101">
        <w:t xml:space="preserve">ransfer </w:t>
      </w:r>
      <w:r w:rsidR="00F923A8">
        <w:t>programming in emergencies</w:t>
      </w:r>
      <w:r w:rsidRPr="00960101">
        <w:t>. Good Practice Review HPN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08" w:rsidRPr="00074036" w:rsidRDefault="00EB040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8"/>
    <w:rsid w:val="00016545"/>
    <w:rsid w:val="000A5257"/>
    <w:rsid w:val="0025244B"/>
    <w:rsid w:val="002B0498"/>
    <w:rsid w:val="00357D6B"/>
    <w:rsid w:val="004259B4"/>
    <w:rsid w:val="004E1BFA"/>
    <w:rsid w:val="004F71E0"/>
    <w:rsid w:val="006B3DCE"/>
    <w:rsid w:val="00702456"/>
    <w:rsid w:val="007D73D8"/>
    <w:rsid w:val="008359EA"/>
    <w:rsid w:val="008E0D8B"/>
    <w:rsid w:val="009232B9"/>
    <w:rsid w:val="00A572CF"/>
    <w:rsid w:val="00A80536"/>
    <w:rsid w:val="00D50668"/>
    <w:rsid w:val="00DD615F"/>
    <w:rsid w:val="00E8324C"/>
    <w:rsid w:val="00EB0408"/>
    <w:rsid w:val="00F74386"/>
    <w:rsid w:val="00F827D5"/>
    <w:rsid w:val="00F923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165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545"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165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545"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Nicole Francoeur</cp:lastModifiedBy>
  <cp:revision>6</cp:revision>
  <cp:lastPrinted>2015-10-13T19:52:00Z</cp:lastPrinted>
  <dcterms:created xsi:type="dcterms:W3CDTF">2015-10-08T17:28:00Z</dcterms:created>
  <dcterms:modified xsi:type="dcterms:W3CDTF">2015-10-16T10:13:00Z</dcterms:modified>
</cp:coreProperties>
</file>