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90" w:rsidRPr="000304E8" w:rsidRDefault="009C5221" w:rsidP="00494277">
      <w:pPr>
        <w:pStyle w:val="H1"/>
        <w:rPr>
          <w:rFonts w:eastAsia="Times New Roman"/>
          <w:lang w:val="es-ES_tradnl" w:eastAsia="es-ES"/>
        </w:rPr>
      </w:pPr>
      <w:r w:rsidRPr="000304E8">
        <w:rPr>
          <w:rFonts w:eastAsia="Times New Roman"/>
          <w:lang w:val="es-ES_tradnl" w:eastAsia="es-ES"/>
        </w:rPr>
        <w:t xml:space="preserve">Plantilla de autoevaluación para la preparación a los PTE </w:t>
      </w:r>
    </w:p>
    <w:p w:rsidR="0098045B" w:rsidRPr="000304E8" w:rsidRDefault="0098045B" w:rsidP="000304E8">
      <w:pPr>
        <w:pStyle w:val="Heading2"/>
        <w:tabs>
          <w:tab w:val="center" w:pos="4819"/>
        </w:tabs>
        <w:rPr>
          <w:lang w:val="es-ES_tradnl"/>
        </w:rPr>
      </w:pPr>
      <w:r w:rsidRPr="000304E8">
        <w:rPr>
          <w:lang w:val="es-ES_tradnl"/>
        </w:rPr>
        <w:t>Introduc</w:t>
      </w:r>
      <w:r w:rsidR="009C5221" w:rsidRPr="000304E8">
        <w:rPr>
          <w:lang w:val="es-ES_tradnl"/>
        </w:rPr>
        <w:t>CiÓ</w:t>
      </w:r>
      <w:r w:rsidRPr="000304E8">
        <w:rPr>
          <w:lang w:val="es-ES_tradnl"/>
        </w:rPr>
        <w:t>n</w:t>
      </w:r>
      <w:r w:rsidR="000304E8" w:rsidRPr="000304E8">
        <w:rPr>
          <w:lang w:val="es-ES_tradnl"/>
        </w:rPr>
        <w:tab/>
      </w:r>
    </w:p>
    <w:p w:rsidR="009517F0" w:rsidRPr="000304E8" w:rsidRDefault="009517F0" w:rsidP="009517F0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 xml:space="preserve">La </w:t>
      </w:r>
      <w:r w:rsidRPr="000304E8">
        <w:rPr>
          <w:rFonts w:cstheme="minorHAnsi"/>
          <w:b/>
          <w:lang w:val="es-ES_tradnl"/>
        </w:rPr>
        <w:t>herramienta de autoevaluación para la preparación a los PTE</w:t>
      </w:r>
      <w:r w:rsidRPr="000304E8">
        <w:rPr>
          <w:rStyle w:val="FootnoteReference"/>
          <w:rFonts w:cstheme="minorHAnsi"/>
          <w:b/>
          <w:lang w:val="es-ES_tradnl"/>
        </w:rPr>
        <w:footnoteReference w:id="1"/>
      </w:r>
      <w:r w:rsidRPr="000304E8">
        <w:rPr>
          <w:rFonts w:cstheme="minorHAnsi"/>
          <w:lang w:val="es-ES_tradnl"/>
        </w:rPr>
        <w:t xml:space="preserve"> es el punto de partida de una Sociedad Nacional para documentar su actual preparación a nivel operativo, su capacidad y sus deficiencias en la implementación de PTE para emergencias, rápidamente y en la escala adecuada. Este proceso servirá como un proceso de aprendizaje para extraer recomendaciones e identificar las áreas prioritarias para el desarrollo en la preparación PTE dentro de la Sociedad Nacional.</w:t>
      </w:r>
    </w:p>
    <w:p w:rsidR="009517F0" w:rsidRPr="000304E8" w:rsidRDefault="0091643D" w:rsidP="009517F0">
      <w:pPr>
        <w:rPr>
          <w:rFonts w:cstheme="minorHAnsi"/>
          <w:lang w:val="es-ES_tradnl"/>
        </w:rPr>
      </w:pPr>
      <w:r w:rsidRPr="000304E8">
        <w:rPr>
          <w:rFonts w:cstheme="minorHAnsi"/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3B475E54" wp14:editId="3BFA8798">
            <wp:simplePos x="0" y="0"/>
            <wp:positionH relativeFrom="column">
              <wp:posOffset>4186555</wp:posOffset>
            </wp:positionH>
            <wp:positionV relativeFrom="paragraph">
              <wp:posOffset>720725</wp:posOffset>
            </wp:positionV>
            <wp:extent cx="1986915" cy="1833245"/>
            <wp:effectExtent l="0" t="0" r="0" b="0"/>
            <wp:wrapThrough wrapText="bothSides">
              <wp:wrapPolygon edited="0">
                <wp:start x="0" y="0"/>
                <wp:lineTo x="0" y="21323"/>
                <wp:lineTo x="21331" y="21323"/>
                <wp:lineTo x="213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7F0" w:rsidRPr="000304E8">
        <w:rPr>
          <w:rFonts w:cstheme="minorHAnsi"/>
          <w:lang w:val="es-ES_tradnl"/>
        </w:rPr>
        <w:t>La herramienta de autoevaluación se basa en cuatro v</w:t>
      </w:r>
      <w:r w:rsidR="0055047F" w:rsidRPr="000304E8">
        <w:rPr>
          <w:rFonts w:cstheme="minorHAnsi"/>
          <w:lang w:val="es-ES_tradnl"/>
        </w:rPr>
        <w:t>ertientes</w:t>
      </w:r>
      <w:r w:rsidR="009517F0" w:rsidRPr="000304E8">
        <w:rPr>
          <w:rFonts w:cstheme="minorHAnsi"/>
          <w:lang w:val="es-ES_tradnl"/>
        </w:rPr>
        <w:t xml:space="preserve"> paralelas identificadas en el documento del MCRMLR </w:t>
      </w:r>
      <w:r w:rsidR="009517F0" w:rsidRPr="000304E8">
        <w:rPr>
          <w:rFonts w:cstheme="minorHAnsi"/>
          <w:i/>
          <w:lang w:val="es-ES_tradnl"/>
        </w:rPr>
        <w:t>Directrices para la preparación y la integración institucional de Programas de transferencias de dinero en efectivo</w:t>
      </w:r>
      <w:r w:rsidR="005A196B" w:rsidRPr="000304E8">
        <w:rPr>
          <w:rStyle w:val="FootnoteReference"/>
          <w:rFonts w:cstheme="minorHAnsi"/>
          <w:i/>
          <w:lang w:val="es-ES_tradnl"/>
        </w:rPr>
        <w:footnoteReference w:id="2"/>
      </w:r>
      <w:r w:rsidR="009517F0" w:rsidRPr="000304E8">
        <w:rPr>
          <w:rFonts w:cstheme="minorHAnsi"/>
          <w:lang w:val="es-ES_tradnl"/>
        </w:rPr>
        <w:t xml:space="preserve"> </w:t>
      </w:r>
      <w:r w:rsidRPr="000304E8">
        <w:rPr>
          <w:rFonts w:cstheme="minorHAnsi"/>
          <w:lang w:val="es-ES_tradnl"/>
        </w:rPr>
        <w:t xml:space="preserve">que debe utilizarse preferiblemente en conjunción con esta herramienta. </w:t>
      </w:r>
      <w:r w:rsidR="009517F0" w:rsidRPr="000304E8">
        <w:rPr>
          <w:rFonts w:cstheme="minorHAnsi"/>
          <w:lang w:val="es-ES_tradnl"/>
        </w:rPr>
        <w:t xml:space="preserve">Cada una de estas </w:t>
      </w:r>
      <w:r w:rsidRPr="000304E8">
        <w:rPr>
          <w:rFonts w:cstheme="minorHAnsi"/>
          <w:lang w:val="es-ES_tradnl"/>
        </w:rPr>
        <w:t>v</w:t>
      </w:r>
      <w:r w:rsidR="0055047F" w:rsidRPr="000304E8">
        <w:rPr>
          <w:rFonts w:cstheme="minorHAnsi"/>
          <w:lang w:val="es-ES_tradnl"/>
        </w:rPr>
        <w:t>ertientes</w:t>
      </w:r>
      <w:r w:rsidRPr="000304E8">
        <w:rPr>
          <w:rFonts w:cstheme="minorHAnsi"/>
          <w:lang w:val="es-ES_tradnl"/>
        </w:rPr>
        <w:t xml:space="preserve"> </w:t>
      </w:r>
      <w:r w:rsidR="009517F0" w:rsidRPr="000304E8">
        <w:rPr>
          <w:rFonts w:cstheme="minorHAnsi"/>
          <w:lang w:val="es-ES_tradnl"/>
        </w:rPr>
        <w:t>son igualmente esencial</w:t>
      </w:r>
      <w:r w:rsidRPr="000304E8">
        <w:rPr>
          <w:rFonts w:cstheme="minorHAnsi"/>
          <w:lang w:val="es-ES_tradnl"/>
        </w:rPr>
        <w:t>es</w:t>
      </w:r>
      <w:r w:rsidR="009517F0" w:rsidRPr="000304E8">
        <w:rPr>
          <w:rFonts w:cstheme="minorHAnsi"/>
          <w:lang w:val="es-ES_tradnl"/>
        </w:rPr>
        <w:t xml:space="preserve"> y contribuye</w:t>
      </w:r>
      <w:r w:rsidRPr="000304E8">
        <w:rPr>
          <w:rFonts w:cstheme="minorHAnsi"/>
          <w:lang w:val="es-ES_tradnl"/>
        </w:rPr>
        <w:t>n</w:t>
      </w:r>
      <w:r w:rsidR="009517F0" w:rsidRPr="000304E8">
        <w:rPr>
          <w:rFonts w:cstheme="minorHAnsi"/>
          <w:lang w:val="es-ES_tradnl"/>
        </w:rPr>
        <w:t xml:space="preserve"> a la capacidad de </w:t>
      </w:r>
      <w:r w:rsidRPr="000304E8">
        <w:rPr>
          <w:rFonts w:cstheme="minorHAnsi"/>
          <w:lang w:val="es-ES_tradnl"/>
        </w:rPr>
        <w:t xml:space="preserve">preparación </w:t>
      </w:r>
      <w:r w:rsidR="009517F0" w:rsidRPr="000304E8">
        <w:rPr>
          <w:rFonts w:cstheme="minorHAnsi"/>
          <w:lang w:val="es-ES_tradnl"/>
        </w:rPr>
        <w:t>operacional de la Sociedad Nacional:</w:t>
      </w:r>
    </w:p>
    <w:p w:rsidR="009517F0" w:rsidRPr="000304E8" w:rsidRDefault="0091643D" w:rsidP="009517F0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>a) Sistemas adecuados</w:t>
      </w:r>
    </w:p>
    <w:p w:rsidR="009517F0" w:rsidRPr="000304E8" w:rsidRDefault="0091643D" w:rsidP="009517F0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>b) Herramientas de</w:t>
      </w:r>
      <w:r w:rsidR="009517F0" w:rsidRPr="000304E8">
        <w:rPr>
          <w:rFonts w:cstheme="minorHAnsi"/>
          <w:lang w:val="es-ES_tradnl"/>
        </w:rPr>
        <w:t xml:space="preserve"> programa</w:t>
      </w:r>
      <w:r w:rsidRPr="000304E8">
        <w:rPr>
          <w:rFonts w:cstheme="minorHAnsi"/>
          <w:lang w:val="es-ES_tradnl"/>
        </w:rPr>
        <w:t>s</w:t>
      </w:r>
    </w:p>
    <w:p w:rsidR="009517F0" w:rsidRPr="000304E8" w:rsidRDefault="0091643D" w:rsidP="009517F0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 xml:space="preserve">c) Recursos y </w:t>
      </w:r>
      <w:r w:rsidR="009517F0" w:rsidRPr="000304E8">
        <w:rPr>
          <w:rFonts w:cstheme="minorHAnsi"/>
          <w:lang w:val="es-ES_tradnl"/>
        </w:rPr>
        <w:t>capacidad</w:t>
      </w:r>
      <w:r w:rsidRPr="000304E8">
        <w:rPr>
          <w:rFonts w:cstheme="minorHAnsi"/>
          <w:lang w:val="es-ES_tradnl"/>
        </w:rPr>
        <w:t>es</w:t>
      </w:r>
    </w:p>
    <w:p w:rsidR="009517F0" w:rsidRPr="000304E8" w:rsidRDefault="009517F0" w:rsidP="009517F0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>d) Comunicación y coordinación</w:t>
      </w:r>
    </w:p>
    <w:p w:rsidR="009517F0" w:rsidRPr="000304E8" w:rsidRDefault="0091643D" w:rsidP="009517F0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>La p</w:t>
      </w:r>
      <w:r w:rsidR="009517F0" w:rsidRPr="000304E8">
        <w:rPr>
          <w:rFonts w:cstheme="minorHAnsi"/>
          <w:lang w:val="es-ES_tradnl"/>
        </w:rPr>
        <w:t xml:space="preserve">riorización de actividades dependerá </w:t>
      </w:r>
      <w:r w:rsidRPr="000304E8">
        <w:rPr>
          <w:rFonts w:cstheme="minorHAnsi"/>
          <w:lang w:val="es-ES_tradnl"/>
        </w:rPr>
        <w:t xml:space="preserve">del propio </w:t>
      </w:r>
      <w:r w:rsidR="009517F0" w:rsidRPr="000304E8">
        <w:rPr>
          <w:rFonts w:cstheme="minorHAnsi"/>
          <w:lang w:val="es-ES_tradnl"/>
        </w:rPr>
        <w:t xml:space="preserve">perfil único de la Sociedad Nacional, pero las cuatro </w:t>
      </w:r>
      <w:r w:rsidR="0055047F" w:rsidRPr="000304E8">
        <w:rPr>
          <w:rFonts w:cstheme="minorHAnsi"/>
          <w:lang w:val="es-ES_tradnl"/>
        </w:rPr>
        <w:t>vertientes tendrán</w:t>
      </w:r>
      <w:r w:rsidRPr="000304E8">
        <w:rPr>
          <w:rFonts w:cstheme="minorHAnsi"/>
          <w:lang w:val="es-ES_tradnl"/>
        </w:rPr>
        <w:t xml:space="preserve"> que ser desarrolladas finalmente para alcanzar una preparación operacional real</w:t>
      </w:r>
      <w:r w:rsidR="009517F0" w:rsidRPr="000304E8">
        <w:rPr>
          <w:rFonts w:cstheme="minorHAnsi"/>
          <w:lang w:val="es-ES_tradnl"/>
        </w:rPr>
        <w:t xml:space="preserve">. </w:t>
      </w:r>
      <w:r w:rsidRPr="000304E8">
        <w:rPr>
          <w:rFonts w:cstheme="minorHAnsi"/>
          <w:lang w:val="es-ES_tradnl"/>
        </w:rPr>
        <w:t>Se puede encontrar u</w:t>
      </w:r>
      <w:r w:rsidR="009517F0" w:rsidRPr="000304E8">
        <w:rPr>
          <w:rFonts w:cstheme="minorHAnsi"/>
          <w:lang w:val="es-ES_tradnl"/>
        </w:rPr>
        <w:t xml:space="preserve">na explicación </w:t>
      </w:r>
      <w:r w:rsidRPr="000304E8">
        <w:rPr>
          <w:rFonts w:cstheme="minorHAnsi"/>
          <w:lang w:val="es-ES_tradnl"/>
        </w:rPr>
        <w:t>más detallada de las cuatro v</w:t>
      </w:r>
      <w:r w:rsidR="0055047F" w:rsidRPr="000304E8">
        <w:rPr>
          <w:rFonts w:cstheme="minorHAnsi"/>
          <w:lang w:val="es-ES_tradnl"/>
        </w:rPr>
        <w:t>ertientes</w:t>
      </w:r>
      <w:r w:rsidR="009517F0" w:rsidRPr="000304E8">
        <w:rPr>
          <w:rFonts w:cstheme="minorHAnsi"/>
          <w:lang w:val="es-ES_tradnl"/>
        </w:rPr>
        <w:t xml:space="preserve"> en la Tabla 1.</w:t>
      </w:r>
    </w:p>
    <w:p w:rsidR="0091643D" w:rsidRPr="000304E8" w:rsidRDefault="0091643D" w:rsidP="0091643D">
      <w:pPr>
        <w:rPr>
          <w:rFonts w:cstheme="minorHAnsi"/>
          <w:lang w:val="es-ES_tradnl"/>
        </w:rPr>
      </w:pPr>
    </w:p>
    <w:p w:rsidR="0091643D" w:rsidRPr="000304E8" w:rsidRDefault="0091643D" w:rsidP="0091643D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>Esta herramienta tiene como objetivo orientar a las Sociedades Nacionales para llevar a cabo su propia auto-evaluación de las capacidades y necesidades para identificar las medidas de preparación necesaria para alcanzar la capacidad necesaria para aplicar PTE más rápido y en mayor esca</w:t>
      </w:r>
      <w:r w:rsidR="005A196B" w:rsidRPr="000304E8">
        <w:rPr>
          <w:rFonts w:cstheme="minorHAnsi"/>
          <w:lang w:val="es-ES_tradnl"/>
        </w:rPr>
        <w:t>la. Se recomienda que esta auto</w:t>
      </w:r>
      <w:r w:rsidRPr="000304E8">
        <w:rPr>
          <w:rFonts w:cstheme="minorHAnsi"/>
          <w:lang w:val="es-ES_tradnl"/>
        </w:rPr>
        <w:t xml:space="preserve">evaluación </w:t>
      </w:r>
      <w:r w:rsidR="005A196B" w:rsidRPr="000304E8">
        <w:rPr>
          <w:rFonts w:cstheme="minorHAnsi"/>
          <w:lang w:val="es-ES_tradnl"/>
        </w:rPr>
        <w:t>sea</w:t>
      </w:r>
      <w:r w:rsidRPr="000304E8">
        <w:rPr>
          <w:rFonts w:cstheme="minorHAnsi"/>
          <w:lang w:val="es-ES_tradnl"/>
        </w:rPr>
        <w:t>:</w:t>
      </w:r>
    </w:p>
    <w:p w:rsidR="005A196B" w:rsidRPr="000304E8" w:rsidRDefault="005A196B" w:rsidP="0091643D">
      <w:pPr>
        <w:pStyle w:val="Bullet2"/>
        <w:rPr>
          <w:lang w:val="es-ES_tradnl"/>
        </w:rPr>
      </w:pPr>
      <w:r w:rsidRPr="000304E8">
        <w:rPr>
          <w:rFonts w:cstheme="minorHAnsi"/>
          <w:lang w:val="es-ES_tradnl"/>
        </w:rPr>
        <w:t>facilitada y apoyada</w:t>
      </w:r>
      <w:r w:rsidR="0091643D" w:rsidRPr="000304E8">
        <w:rPr>
          <w:rFonts w:cstheme="minorHAnsi"/>
          <w:lang w:val="es-ES_tradnl"/>
        </w:rPr>
        <w:t xml:space="preserve"> por alguien (</w:t>
      </w:r>
      <w:r w:rsidRPr="000304E8">
        <w:rPr>
          <w:rFonts w:cstheme="minorHAnsi"/>
          <w:lang w:val="es-ES_tradnl"/>
        </w:rPr>
        <w:t xml:space="preserve">de </w:t>
      </w:r>
      <w:r w:rsidR="0091643D" w:rsidRPr="000304E8">
        <w:rPr>
          <w:rFonts w:cstheme="minorHAnsi"/>
          <w:lang w:val="es-ES_tradnl"/>
        </w:rPr>
        <w:t>dentro o fuera de la Sociedad Nacional) con experiencia PTE;</w:t>
      </w:r>
    </w:p>
    <w:p w:rsidR="005A196B" w:rsidRPr="000304E8" w:rsidRDefault="0091643D" w:rsidP="0091643D">
      <w:pPr>
        <w:pStyle w:val="Bullet2"/>
        <w:rPr>
          <w:lang w:val="es-ES_tradnl"/>
        </w:rPr>
      </w:pPr>
      <w:r w:rsidRPr="000304E8">
        <w:rPr>
          <w:rFonts w:cstheme="minorHAnsi"/>
          <w:lang w:val="es-ES_tradnl"/>
        </w:rPr>
        <w:t>un proceso participativo que involucra a personal clave de todos los departamentos pertinentes (</w:t>
      </w:r>
      <w:r w:rsidR="000304E8" w:rsidRPr="000304E8">
        <w:rPr>
          <w:rFonts w:cstheme="minorHAnsi"/>
          <w:lang w:val="es-ES_tradnl"/>
        </w:rPr>
        <w:t>programas y</w:t>
      </w:r>
      <w:r w:rsidRPr="000304E8">
        <w:rPr>
          <w:rFonts w:cstheme="minorHAnsi"/>
          <w:lang w:val="es-ES_tradnl"/>
        </w:rPr>
        <w:t xml:space="preserve"> </w:t>
      </w:r>
      <w:r w:rsidR="005A196B" w:rsidRPr="000304E8">
        <w:rPr>
          <w:rFonts w:cstheme="minorHAnsi"/>
          <w:lang w:val="es-ES_tradnl"/>
        </w:rPr>
        <w:t xml:space="preserve">servicios </w:t>
      </w:r>
      <w:r w:rsidRPr="000304E8">
        <w:rPr>
          <w:rFonts w:cstheme="minorHAnsi"/>
          <w:lang w:val="es-ES_tradnl"/>
        </w:rPr>
        <w:t>de apoyo);</w:t>
      </w:r>
    </w:p>
    <w:p w:rsidR="0091643D" w:rsidRPr="000304E8" w:rsidRDefault="0091643D" w:rsidP="0091643D">
      <w:pPr>
        <w:pStyle w:val="Bullet2"/>
        <w:rPr>
          <w:lang w:val="es-ES_tradnl"/>
        </w:rPr>
      </w:pPr>
      <w:r w:rsidRPr="000304E8">
        <w:rPr>
          <w:rFonts w:cstheme="minorHAnsi"/>
          <w:lang w:val="es-ES_tradnl"/>
        </w:rPr>
        <w:t>propiedad de la Sociedad Nacional</w:t>
      </w:r>
    </w:p>
    <w:p w:rsidR="0091643D" w:rsidRPr="000304E8" w:rsidRDefault="0091643D" w:rsidP="0091643D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 xml:space="preserve">El resultado final de la autoevaluación no pretende </w:t>
      </w:r>
      <w:r w:rsidR="000304E8">
        <w:rPr>
          <w:rFonts w:cstheme="minorHAnsi"/>
          <w:lang w:val="es-ES_tradnl"/>
        </w:rPr>
        <w:t>servi</w:t>
      </w:r>
      <w:r w:rsidR="005A196B" w:rsidRPr="000304E8">
        <w:rPr>
          <w:rFonts w:cstheme="minorHAnsi"/>
          <w:lang w:val="es-ES_tradnl"/>
        </w:rPr>
        <w:t xml:space="preserve">r para hacer </w:t>
      </w:r>
      <w:r w:rsidRPr="000304E8">
        <w:rPr>
          <w:rFonts w:cstheme="minorHAnsi"/>
          <w:lang w:val="es-ES_tradnl"/>
        </w:rPr>
        <w:t>compara</w:t>
      </w:r>
      <w:r w:rsidR="005A196B" w:rsidRPr="000304E8">
        <w:rPr>
          <w:rFonts w:cstheme="minorHAnsi"/>
          <w:lang w:val="es-ES_tradnl"/>
        </w:rPr>
        <w:t xml:space="preserve">ciones </w:t>
      </w:r>
      <w:r w:rsidRPr="000304E8">
        <w:rPr>
          <w:rFonts w:cstheme="minorHAnsi"/>
          <w:lang w:val="es-ES_tradnl"/>
        </w:rPr>
        <w:t xml:space="preserve">entre las Sociedades Nacionales, pero, en cambio, </w:t>
      </w:r>
      <w:r w:rsidR="005A196B" w:rsidRPr="000304E8">
        <w:rPr>
          <w:rFonts w:cstheme="minorHAnsi"/>
          <w:lang w:val="es-ES_tradnl"/>
        </w:rPr>
        <w:t xml:space="preserve">debe ser </w:t>
      </w:r>
      <w:r w:rsidRPr="000304E8">
        <w:rPr>
          <w:rFonts w:cstheme="minorHAnsi"/>
          <w:lang w:val="es-ES_tradnl"/>
        </w:rPr>
        <w:t>u</w:t>
      </w:r>
      <w:r w:rsidR="005A196B" w:rsidRPr="000304E8">
        <w:rPr>
          <w:rFonts w:cstheme="minorHAnsi"/>
          <w:lang w:val="es-ES_tradnl"/>
        </w:rPr>
        <w:t xml:space="preserve">sado </w:t>
      </w:r>
      <w:r w:rsidRPr="000304E8">
        <w:rPr>
          <w:rFonts w:cstheme="minorHAnsi"/>
          <w:lang w:val="es-ES_tradnl"/>
        </w:rPr>
        <w:t xml:space="preserve">como </w:t>
      </w:r>
      <w:r w:rsidR="005A196B" w:rsidRPr="000304E8">
        <w:rPr>
          <w:rFonts w:cstheme="minorHAnsi"/>
          <w:lang w:val="es-ES_tradnl"/>
        </w:rPr>
        <w:t xml:space="preserve">una línea de base </w:t>
      </w:r>
      <w:r w:rsidRPr="000304E8">
        <w:rPr>
          <w:rFonts w:cstheme="minorHAnsi"/>
          <w:lang w:val="es-ES_tradnl"/>
        </w:rPr>
        <w:t xml:space="preserve">con el fin de evaluar los avances en las cuatro áreas clave dentro de </w:t>
      </w:r>
      <w:r w:rsidR="005A196B" w:rsidRPr="000304E8">
        <w:rPr>
          <w:rFonts w:cstheme="minorHAnsi"/>
          <w:lang w:val="es-ES_tradnl"/>
        </w:rPr>
        <w:t>la Sociedad Nacional. Esta auto</w:t>
      </w:r>
      <w:r w:rsidRPr="000304E8">
        <w:rPr>
          <w:rFonts w:cstheme="minorHAnsi"/>
          <w:lang w:val="es-ES_tradnl"/>
        </w:rPr>
        <w:t xml:space="preserve">evaluación puede llevarse a cabo y </w:t>
      </w:r>
      <w:r w:rsidR="005A196B" w:rsidRPr="000304E8">
        <w:rPr>
          <w:rFonts w:cstheme="minorHAnsi"/>
          <w:lang w:val="es-ES_tradnl"/>
        </w:rPr>
        <w:t xml:space="preserve">repetirse </w:t>
      </w:r>
      <w:r w:rsidRPr="000304E8">
        <w:rPr>
          <w:rFonts w:cstheme="minorHAnsi"/>
          <w:lang w:val="es-ES_tradnl"/>
        </w:rPr>
        <w:t xml:space="preserve">en cualquier </w:t>
      </w:r>
      <w:r w:rsidR="005A196B" w:rsidRPr="000304E8">
        <w:rPr>
          <w:rFonts w:cstheme="minorHAnsi"/>
          <w:lang w:val="es-ES_tradnl"/>
        </w:rPr>
        <w:t xml:space="preserve">momento </w:t>
      </w:r>
      <w:r w:rsidRPr="000304E8">
        <w:rPr>
          <w:rFonts w:cstheme="minorHAnsi"/>
          <w:lang w:val="es-ES_tradnl"/>
        </w:rPr>
        <w:t xml:space="preserve">para obtener una instantánea de </w:t>
      </w:r>
      <w:r w:rsidR="005A196B" w:rsidRPr="000304E8">
        <w:rPr>
          <w:rFonts w:cstheme="minorHAnsi"/>
          <w:lang w:val="es-ES_tradnl"/>
        </w:rPr>
        <w:t>preparación</w:t>
      </w:r>
      <w:r w:rsidRPr="000304E8">
        <w:rPr>
          <w:rFonts w:cstheme="minorHAnsi"/>
          <w:lang w:val="es-ES_tradnl"/>
        </w:rPr>
        <w:t xml:space="preserve"> </w:t>
      </w:r>
      <w:r w:rsidR="005A196B" w:rsidRPr="000304E8">
        <w:rPr>
          <w:rFonts w:cstheme="minorHAnsi"/>
          <w:lang w:val="es-ES_tradnl"/>
        </w:rPr>
        <w:t xml:space="preserve">para </w:t>
      </w:r>
      <w:r w:rsidRPr="000304E8">
        <w:rPr>
          <w:rFonts w:cstheme="minorHAnsi"/>
          <w:lang w:val="es-ES_tradnl"/>
        </w:rPr>
        <w:t>PTE de una Sociedad Nacional</w:t>
      </w:r>
      <w:r w:rsidR="005A196B" w:rsidRPr="000304E8">
        <w:rPr>
          <w:rFonts w:cstheme="minorHAnsi"/>
          <w:lang w:val="es-ES_tradnl"/>
        </w:rPr>
        <w:t xml:space="preserve"> en un momento dado</w:t>
      </w:r>
      <w:r w:rsidRPr="000304E8">
        <w:rPr>
          <w:rFonts w:cstheme="minorHAnsi"/>
          <w:lang w:val="es-ES_tradnl"/>
        </w:rPr>
        <w:t>.</w:t>
      </w:r>
    </w:p>
    <w:p w:rsidR="0091643D" w:rsidRPr="000304E8" w:rsidRDefault="0091643D" w:rsidP="0091643D">
      <w:pPr>
        <w:rPr>
          <w:rFonts w:cstheme="minorHAnsi"/>
          <w:lang w:val="es-ES_tradnl"/>
        </w:rPr>
      </w:pP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71468" w:rsidRPr="008843F9" w:rsidTr="005A196B">
        <w:tc>
          <w:tcPr>
            <w:tcW w:w="9638" w:type="dxa"/>
          </w:tcPr>
          <w:p w:rsidR="00471468" w:rsidRPr="000304E8" w:rsidRDefault="00E62BB4" w:rsidP="00E62BB4">
            <w:pPr>
              <w:spacing w:before="120"/>
              <w:rPr>
                <w:lang w:val="es-ES_tradnl"/>
              </w:rPr>
            </w:pPr>
            <w:r w:rsidRPr="000304E8">
              <w:rPr>
                <w:lang w:val="es-ES_tradnl"/>
              </w:rPr>
              <w:t xml:space="preserve">Cuando esto se hace como parte de las </w:t>
            </w:r>
            <w:r w:rsidRPr="000304E8">
              <w:rPr>
                <w:i/>
                <w:lang w:val="es-ES_tradnl"/>
              </w:rPr>
              <w:t>Directrices para la preparación y la integración institucional de Programas de transferencias de dinero en efectivo</w:t>
            </w:r>
            <w:r w:rsidRPr="000304E8">
              <w:rPr>
                <w:lang w:val="es-ES_tradnl"/>
              </w:rPr>
              <w:t xml:space="preserve"> del MICRMLR</w:t>
            </w:r>
            <w:r w:rsidR="00471468" w:rsidRPr="000304E8">
              <w:rPr>
                <w:lang w:val="es-ES_tradnl"/>
              </w:rPr>
              <w:t xml:space="preserve">, </w:t>
            </w:r>
            <w:r w:rsidRPr="000304E8">
              <w:rPr>
                <w:lang w:val="es-ES_tradnl"/>
              </w:rPr>
              <w:t xml:space="preserve">entonces esta herramienta se usa como parte de la sección </w:t>
            </w:r>
            <w:r w:rsidR="00471468" w:rsidRPr="000304E8">
              <w:rPr>
                <w:lang w:val="es-ES_tradnl"/>
              </w:rPr>
              <w:t xml:space="preserve">3.2 </w:t>
            </w:r>
            <w:r w:rsidRPr="000304E8">
              <w:rPr>
                <w:i/>
                <w:lang w:val="es-ES_tradnl"/>
              </w:rPr>
              <w:t>Evaluación del nivel de preparación</w:t>
            </w:r>
            <w:r w:rsidR="00471468" w:rsidRPr="000304E8">
              <w:rPr>
                <w:lang w:val="es-ES_tradnl"/>
              </w:rPr>
              <w:t>.</w:t>
            </w:r>
          </w:p>
        </w:tc>
      </w:tr>
    </w:tbl>
    <w:p w:rsidR="00660835" w:rsidRPr="000304E8" w:rsidRDefault="00660835">
      <w:pPr>
        <w:spacing w:after="200" w:line="276" w:lineRule="auto"/>
        <w:jc w:val="left"/>
        <w:rPr>
          <w:rFonts w:cstheme="minorHAnsi"/>
          <w:b/>
          <w:bCs/>
          <w:noProof/>
          <w:lang w:val="es-ES_tradnl" w:eastAsia="en-GB"/>
        </w:rPr>
      </w:pPr>
    </w:p>
    <w:p w:rsidR="0019156D" w:rsidRPr="000304E8" w:rsidRDefault="0019156D" w:rsidP="00FD5035">
      <w:pPr>
        <w:keepNext/>
        <w:spacing w:after="240"/>
        <w:jc w:val="center"/>
        <w:rPr>
          <w:rFonts w:cstheme="minorHAnsi"/>
          <w:b/>
          <w:bCs/>
          <w:noProof/>
          <w:lang w:val="es-ES_tradnl" w:eastAsia="en-GB"/>
        </w:rPr>
      </w:pPr>
      <w:r w:rsidRPr="000304E8">
        <w:rPr>
          <w:rFonts w:cstheme="minorHAnsi"/>
          <w:b/>
          <w:bCs/>
          <w:noProof/>
          <w:lang w:val="es-ES_tradnl" w:eastAsia="en-GB"/>
        </w:rPr>
        <w:lastRenderedPageBreak/>
        <w:t>Tabl</w:t>
      </w:r>
      <w:r w:rsidR="00E62BB4" w:rsidRPr="000304E8">
        <w:rPr>
          <w:rFonts w:cstheme="minorHAnsi"/>
          <w:b/>
          <w:bCs/>
          <w:noProof/>
          <w:lang w:val="es-ES_tradnl" w:eastAsia="en-GB"/>
        </w:rPr>
        <w:t>a</w:t>
      </w:r>
      <w:r w:rsidRPr="000304E8">
        <w:rPr>
          <w:rFonts w:cstheme="minorHAnsi"/>
          <w:b/>
          <w:bCs/>
          <w:noProof/>
          <w:lang w:val="es-ES_tradnl" w:eastAsia="en-GB"/>
        </w:rPr>
        <w:t xml:space="preserve"> 1. </w:t>
      </w:r>
      <w:r w:rsidR="00E62BB4" w:rsidRPr="000304E8">
        <w:rPr>
          <w:rFonts w:cstheme="minorHAnsi"/>
          <w:b/>
          <w:bCs/>
          <w:noProof/>
          <w:lang w:val="es-ES_tradnl" w:eastAsia="en-GB"/>
        </w:rPr>
        <w:t xml:space="preserve">Las cuatro vertientes que </w:t>
      </w:r>
      <w:r w:rsidRPr="000304E8">
        <w:rPr>
          <w:rFonts w:cstheme="minorHAnsi"/>
          <w:b/>
          <w:bCs/>
          <w:noProof/>
          <w:lang w:val="es-ES_tradnl" w:eastAsia="en-GB"/>
        </w:rPr>
        <w:t>contribu</w:t>
      </w:r>
      <w:r w:rsidR="00E62BB4" w:rsidRPr="000304E8">
        <w:rPr>
          <w:rFonts w:cstheme="minorHAnsi"/>
          <w:b/>
          <w:bCs/>
          <w:noProof/>
          <w:lang w:val="es-ES_tradnl" w:eastAsia="en-GB"/>
        </w:rPr>
        <w:t xml:space="preserve">yen a la preparación de la </w:t>
      </w:r>
      <w:r w:rsidRPr="000304E8">
        <w:rPr>
          <w:rFonts w:cstheme="minorHAnsi"/>
          <w:b/>
          <w:bCs/>
          <w:noProof/>
          <w:lang w:val="es-ES_tradnl" w:eastAsia="en-GB"/>
        </w:rPr>
        <w:t>Socie</w:t>
      </w:r>
      <w:r w:rsidR="00E62BB4" w:rsidRPr="000304E8">
        <w:rPr>
          <w:rFonts w:cstheme="minorHAnsi"/>
          <w:b/>
          <w:bCs/>
          <w:noProof/>
          <w:lang w:val="es-ES_tradnl" w:eastAsia="en-GB"/>
        </w:rPr>
        <w:t xml:space="preserve">dad Nacional a los </w:t>
      </w:r>
      <w:r w:rsidR="009517F0" w:rsidRPr="000304E8">
        <w:rPr>
          <w:rFonts w:cstheme="minorHAnsi"/>
          <w:b/>
          <w:bCs/>
          <w:noProof/>
          <w:lang w:val="es-ES_tradnl" w:eastAsia="en-GB"/>
        </w:rPr>
        <w:t>PTE</w:t>
      </w:r>
      <w:r w:rsidRPr="000304E8">
        <w:rPr>
          <w:rFonts w:cstheme="minorHAnsi"/>
          <w:b/>
          <w:bCs/>
          <w:noProof/>
          <w:lang w:val="es-ES_tradnl" w:eastAsia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6EDC" w:rsidRPr="00496EDC" w:rsidTr="00D719D1">
        <w:trPr>
          <w:trHeight w:val="567"/>
        </w:trPr>
        <w:tc>
          <w:tcPr>
            <w:tcW w:w="9628" w:type="dxa"/>
            <w:shd w:val="clear" w:color="auto" w:fill="F00000"/>
            <w:vAlign w:val="center"/>
          </w:tcPr>
          <w:p w:rsidR="00496EDC" w:rsidRPr="00496EDC" w:rsidRDefault="00496EDC" w:rsidP="003D3160">
            <w:pPr>
              <w:jc w:val="center"/>
              <w:rPr>
                <w:rFonts w:cstheme="minorHAnsi"/>
                <w:b/>
                <w:noProof/>
                <w:lang w:val="es-ES_tradnl" w:eastAsia="en-GB"/>
              </w:rPr>
            </w:pPr>
            <w:proofErr w:type="spellStart"/>
            <w:r w:rsidRPr="00496EDC">
              <w:rPr>
                <w:rFonts w:ascii="HelveticaNeueLTStd-Hv" w:eastAsiaTheme="minorHAnsi" w:hAnsi="HelveticaNeueLTStd-Hv" w:cs="HelveticaNeueLTStd-Hv"/>
                <w:b/>
                <w:color w:val="FFFFFF"/>
                <w:sz w:val="26"/>
                <w:szCs w:val="26"/>
                <w:lang w:val="en-GB"/>
              </w:rPr>
              <w:t>Vertiente</w:t>
            </w:r>
            <w:proofErr w:type="spellEnd"/>
            <w:r w:rsidRPr="00496EDC">
              <w:rPr>
                <w:rFonts w:ascii="HelveticaNeueLTStd-Hv" w:eastAsiaTheme="minorHAnsi" w:hAnsi="HelveticaNeueLTStd-Hv" w:cs="HelveticaNeueLTStd-Hv"/>
                <w:b/>
                <w:color w:val="FFFFFF"/>
                <w:sz w:val="26"/>
                <w:szCs w:val="26"/>
                <w:lang w:val="en-GB"/>
              </w:rPr>
              <w:t xml:space="preserve"> 1 – </w:t>
            </w:r>
            <w:proofErr w:type="spellStart"/>
            <w:r w:rsidRPr="00496EDC">
              <w:rPr>
                <w:rFonts w:ascii="HelveticaNeueLTStd-Hv" w:eastAsiaTheme="minorHAnsi" w:hAnsi="HelveticaNeueLTStd-Hv" w:cs="HelveticaNeueLTStd-Hv"/>
                <w:b/>
                <w:color w:val="FFFFFF"/>
                <w:sz w:val="26"/>
                <w:szCs w:val="26"/>
                <w:lang w:val="en-GB"/>
              </w:rPr>
              <w:t>Sistemas</w:t>
            </w:r>
            <w:proofErr w:type="spellEnd"/>
            <w:r w:rsidRPr="00496EDC">
              <w:rPr>
                <w:rFonts w:ascii="HelveticaNeueLTStd-Hv" w:eastAsiaTheme="minorHAnsi" w:hAnsi="HelveticaNeueLTStd-Hv" w:cs="HelveticaNeueLTStd-Hv"/>
                <w:b/>
                <w:color w:val="FFFFFF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96EDC">
              <w:rPr>
                <w:rFonts w:ascii="HelveticaNeueLTStd-Hv" w:eastAsiaTheme="minorHAnsi" w:hAnsi="HelveticaNeueLTStd-Hv" w:cs="HelveticaNeueLTStd-Hv"/>
                <w:b/>
                <w:color w:val="FFFFFF"/>
                <w:sz w:val="26"/>
                <w:szCs w:val="26"/>
                <w:lang w:val="en-GB"/>
              </w:rPr>
              <w:t>adecuados</w:t>
            </w:r>
            <w:proofErr w:type="spellEnd"/>
          </w:p>
        </w:tc>
      </w:tr>
      <w:tr w:rsidR="00496EDC" w:rsidRPr="00496EDC" w:rsidTr="00D719D1">
        <w:trPr>
          <w:trHeight w:val="737"/>
        </w:trPr>
        <w:tc>
          <w:tcPr>
            <w:tcW w:w="9628" w:type="dxa"/>
            <w:shd w:val="clear" w:color="auto" w:fill="FF7F57"/>
            <w:vAlign w:val="center"/>
          </w:tcPr>
          <w:p w:rsidR="00496EDC" w:rsidRPr="00496EDC" w:rsidRDefault="00496EDC" w:rsidP="00496ED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noProof/>
                <w:lang w:val="es-ES" w:eastAsia="en-GB"/>
              </w:rPr>
            </w:pPr>
            <w:r w:rsidRPr="00496EDC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Los sistemas adecuados crean las condiciones para que las estrategias, los planes, los sistemas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y los procedimientos apoyen una intervención rápida basada en una transferencia de dinero en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efectivo, similar en escala, puntualidad y eficacia a las habituales distribuciones de artículos.</w:t>
            </w:r>
          </w:p>
        </w:tc>
      </w:tr>
      <w:tr w:rsidR="00496EDC" w:rsidTr="00D719D1">
        <w:trPr>
          <w:trHeight w:val="1191"/>
        </w:trPr>
        <w:tc>
          <w:tcPr>
            <w:tcW w:w="9628" w:type="dxa"/>
            <w:shd w:val="clear" w:color="auto" w:fill="FF7F57"/>
            <w:vAlign w:val="center"/>
          </w:tcPr>
          <w:p w:rsidR="00496EDC" w:rsidRPr="00496EDC" w:rsidRDefault="00496EDC" w:rsidP="00496ED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noProof/>
                <w:lang w:val="es-ES" w:eastAsia="en-GB"/>
              </w:rPr>
            </w:pPr>
            <w:r w:rsidRPr="00496EDC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Esto incluye incorporar los programas de transferencias de dinero en efectivo en los planes estratégicos y en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los planes de intervención y de contingencia de cada Sociedad Nacional, así como elaborar, poner a prueba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y aprobar procedimientos operativos institucionales para los programas de transferencias. Los sistemas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adecuados incluyen también la identificación y selección de mecanismos de entrega o de pago adecuados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para facilitar una distribución rápida y segura del efectivo.</w:t>
            </w:r>
          </w:p>
        </w:tc>
      </w:tr>
      <w:tr w:rsidR="003D3160" w:rsidRPr="00496EDC" w:rsidTr="00D719D1">
        <w:trPr>
          <w:trHeight w:val="567"/>
        </w:trPr>
        <w:tc>
          <w:tcPr>
            <w:tcW w:w="9628" w:type="dxa"/>
            <w:tcBorders>
              <w:bottom w:val="single" w:sz="12" w:space="0" w:color="FFFFFF" w:themeColor="background1"/>
            </w:tcBorders>
            <w:shd w:val="clear" w:color="auto" w:fill="92D050"/>
            <w:vAlign w:val="center"/>
          </w:tcPr>
          <w:p w:rsidR="003D3160" w:rsidRPr="00496EDC" w:rsidRDefault="003D3160" w:rsidP="003D3160">
            <w:pPr>
              <w:jc w:val="center"/>
              <w:rPr>
                <w:rFonts w:cstheme="minorHAnsi"/>
                <w:b/>
                <w:noProof/>
                <w:lang w:val="es-ES_tradnl" w:eastAsia="en-GB"/>
              </w:rPr>
            </w:pPr>
            <w:r w:rsidRPr="003D3160">
              <w:rPr>
                <w:rFonts w:ascii="HelveticaNeueLTStd-Hv" w:eastAsiaTheme="minorHAnsi" w:hAnsi="HelveticaNeueLTStd-Hv" w:cs="HelveticaNeueLTStd-Hv"/>
                <w:b/>
                <w:color w:val="FFFFFF"/>
                <w:sz w:val="26"/>
                <w:szCs w:val="26"/>
                <w:lang w:val="es-ES"/>
              </w:rPr>
              <w:t xml:space="preserve">Vertiente 2 – Herramientas de programas </w:t>
            </w:r>
          </w:p>
        </w:tc>
      </w:tr>
      <w:tr w:rsidR="003D3160" w:rsidRPr="00496EDC" w:rsidTr="000926C2">
        <w:trPr>
          <w:trHeight w:val="886"/>
        </w:trPr>
        <w:tc>
          <w:tcPr>
            <w:tcW w:w="9628" w:type="dxa"/>
            <w:tcBorders>
              <w:top w:val="single" w:sz="12" w:space="0" w:color="FFFFFF" w:themeColor="background1"/>
            </w:tcBorders>
            <w:shd w:val="clear" w:color="auto" w:fill="AFDD7D"/>
            <w:vAlign w:val="center"/>
          </w:tcPr>
          <w:p w:rsidR="003D3160" w:rsidRPr="00496EDC" w:rsidRDefault="003D3160" w:rsidP="003D316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noProof/>
                <w:lang w:val="es-ES" w:eastAsia="en-GB"/>
              </w:rPr>
            </w:pP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Si se desea estar preparado para intervenir rápidamente ante una emergencia con programas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de transferencias de dinero en efectivo es fundamental contar con las herramientas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correspondientes, predefinidas y probadas.</w:t>
            </w:r>
          </w:p>
        </w:tc>
      </w:tr>
      <w:tr w:rsidR="003D3160" w:rsidTr="000926C2">
        <w:trPr>
          <w:trHeight w:val="1410"/>
        </w:trPr>
        <w:tc>
          <w:tcPr>
            <w:tcW w:w="9628" w:type="dxa"/>
            <w:tcBorders>
              <w:bottom w:val="single" w:sz="24" w:space="0" w:color="FFFFFF" w:themeColor="background1"/>
            </w:tcBorders>
            <w:shd w:val="clear" w:color="auto" w:fill="AFDD7D"/>
            <w:vAlign w:val="center"/>
          </w:tcPr>
          <w:p w:rsidR="003D3160" w:rsidRPr="00496EDC" w:rsidRDefault="003D3160" w:rsidP="000926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noProof/>
                <w:lang w:val="es-ES" w:eastAsia="en-GB"/>
              </w:rPr>
            </w:pP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Es indispensable examinar y establecer con antelación procesos y herramientas institucionales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estándares, que puedan adaptarse a diferentes contextos de emergencia. Cada vez que sea posible, en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las herramientas pertinentes de las Sociedades Nacionales se deben incluir componentes específicos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de programas de transferencias de dinero en efectivo, a través de todo el ciclo de preparación y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respuesta a desastres (por ejemplo, en la evaluación de vulnerabilidad y capacidad, así como en el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diseño, la ejecución y el seguimiento de programas).</w:t>
            </w:r>
          </w:p>
        </w:tc>
      </w:tr>
      <w:tr w:rsidR="003D3160" w:rsidRPr="00496EDC" w:rsidTr="00D719D1">
        <w:trPr>
          <w:trHeight w:val="567"/>
        </w:trPr>
        <w:tc>
          <w:tcPr>
            <w:tcW w:w="9628" w:type="dxa"/>
            <w:shd w:val="clear" w:color="auto" w:fill="00B0F0"/>
            <w:vAlign w:val="center"/>
          </w:tcPr>
          <w:p w:rsidR="003D3160" w:rsidRPr="00496EDC" w:rsidRDefault="003D3160" w:rsidP="006A6AF4">
            <w:pPr>
              <w:jc w:val="center"/>
              <w:rPr>
                <w:rFonts w:cstheme="minorHAnsi"/>
                <w:b/>
                <w:noProof/>
                <w:lang w:val="es-ES_tradnl" w:eastAsia="en-GB"/>
              </w:rPr>
            </w:pPr>
            <w:r w:rsidRPr="003D3160">
              <w:rPr>
                <w:rFonts w:ascii="HelveticaNeueLTStd-Hv" w:eastAsiaTheme="minorHAnsi" w:hAnsi="HelveticaNeueLTStd-Hv" w:cs="HelveticaNeueLTStd-Hv"/>
                <w:b/>
                <w:color w:val="FFFFFF"/>
                <w:sz w:val="26"/>
                <w:szCs w:val="26"/>
                <w:lang w:val="es-ES"/>
              </w:rPr>
              <w:t>Vertiente 3 – Recursos y capacidades</w:t>
            </w:r>
          </w:p>
        </w:tc>
      </w:tr>
      <w:tr w:rsidR="003D3160" w:rsidRPr="00496EDC" w:rsidTr="00D719D1">
        <w:trPr>
          <w:trHeight w:val="886"/>
        </w:trPr>
        <w:tc>
          <w:tcPr>
            <w:tcW w:w="9628" w:type="dxa"/>
            <w:shd w:val="clear" w:color="auto" w:fill="37CBFF"/>
            <w:vAlign w:val="center"/>
          </w:tcPr>
          <w:p w:rsidR="003D3160" w:rsidRPr="00496EDC" w:rsidRDefault="003D3160" w:rsidP="000926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noProof/>
                <w:lang w:val="es-ES" w:eastAsia="en-GB"/>
              </w:rPr>
            </w:pP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Deben movilizarse los recursos adecuados para apoyar el fortalecimiento de capacidad y la preparación</w:t>
            </w:r>
            <w:r w:rsidR="000926C2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operativa de la Sociedad Nacional en la elaboración de programas de transferencias de dinero</w:t>
            </w:r>
            <w:r w:rsidR="000926C2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en efectivo.</w:t>
            </w:r>
          </w:p>
        </w:tc>
      </w:tr>
      <w:tr w:rsidR="003D3160" w:rsidTr="00D719D1">
        <w:trPr>
          <w:trHeight w:val="1410"/>
        </w:trPr>
        <w:tc>
          <w:tcPr>
            <w:tcW w:w="9628" w:type="dxa"/>
            <w:shd w:val="clear" w:color="auto" w:fill="37CBFF"/>
            <w:vAlign w:val="center"/>
          </w:tcPr>
          <w:p w:rsidR="003D3160" w:rsidRPr="003D3160" w:rsidRDefault="003D3160" w:rsidP="003D3160">
            <w:pPr>
              <w:autoSpaceDE w:val="0"/>
              <w:autoSpaceDN w:val="0"/>
              <w:adjustRightInd w:val="0"/>
              <w:spacing w:after="0"/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</w:pP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Las Sociedades Nacionales necesitarán recursos importantes para fortalecer esa capacidad, lo que podrá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lograrse mediante la formación presencial y en línea, la formación práctica, la preparación individual y la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utilización de mentores, etc. Afortunadamente, algunas de las actividades más importantes tienen un coste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bajo, pero exigen tiempo y dedicación por parte de los altos directivos y del personal técnico de una serie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de departamentos de la Sociedad Nacional. Siempre que sea posible, el fortalecimiento de la capacidad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se debe integrar en los planes de intervención y de contingencia ya existentes, e incluir en esos planes una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reserva anticipada de fondos para programas de transferencias de dinero en efectivo (“dinero en efectivo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para transferencias de dinero en efectivo”) a fin de garantizar un flujo de caja sin trabas durante la operación.</w:t>
            </w:r>
          </w:p>
          <w:p w:rsidR="003D3160" w:rsidRPr="00496EDC" w:rsidRDefault="003D3160" w:rsidP="000926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noProof/>
                <w:lang w:val="es-ES" w:eastAsia="en-GB"/>
              </w:rPr>
            </w:pP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Es importante implicarse de manera proactiva y comunicarse con los donantes identificados para acceder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a la financiación que necesita la Sociedad Nacional para prepararse en la elaboración de programas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de transferencias de dinero en efectivo, acumular reservas en efectivo para uso específico e intervenir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en escenarios.</w:t>
            </w:r>
          </w:p>
        </w:tc>
      </w:tr>
      <w:tr w:rsidR="003D3160" w:rsidRPr="00496EDC" w:rsidTr="00D719D1">
        <w:trPr>
          <w:trHeight w:val="567"/>
        </w:trPr>
        <w:tc>
          <w:tcPr>
            <w:tcW w:w="9628" w:type="dxa"/>
            <w:tcBorders>
              <w:bottom w:val="single" w:sz="12" w:space="0" w:color="FFFFFF" w:themeColor="background1"/>
            </w:tcBorders>
            <w:shd w:val="clear" w:color="auto" w:fill="812B56"/>
            <w:vAlign w:val="center"/>
          </w:tcPr>
          <w:p w:rsidR="003D3160" w:rsidRPr="00496EDC" w:rsidRDefault="003D3160" w:rsidP="006A6AF4">
            <w:pPr>
              <w:jc w:val="center"/>
              <w:rPr>
                <w:rFonts w:cstheme="minorHAnsi"/>
                <w:b/>
                <w:noProof/>
                <w:lang w:val="es-ES_tradnl" w:eastAsia="en-GB"/>
              </w:rPr>
            </w:pPr>
            <w:r w:rsidRPr="003D3160">
              <w:rPr>
                <w:rFonts w:ascii="HelveticaNeueLTStd-Hv" w:eastAsiaTheme="minorHAnsi" w:hAnsi="HelveticaNeueLTStd-Hv" w:cs="HelveticaNeueLTStd-Hv"/>
                <w:b/>
                <w:color w:val="FFFFFF"/>
                <w:sz w:val="26"/>
                <w:szCs w:val="26"/>
                <w:lang w:val="es-ES"/>
              </w:rPr>
              <w:t>Vertiente 4 – Comunicación y coordinación</w:t>
            </w:r>
          </w:p>
        </w:tc>
      </w:tr>
      <w:tr w:rsidR="000926C2" w:rsidRPr="00496EDC" w:rsidTr="000926C2">
        <w:trPr>
          <w:trHeight w:val="886"/>
        </w:trPr>
        <w:tc>
          <w:tcPr>
            <w:tcW w:w="9628" w:type="dxa"/>
            <w:tcBorders>
              <w:top w:val="single" w:sz="12" w:space="0" w:color="FFFFFF" w:themeColor="background1"/>
            </w:tcBorders>
            <w:shd w:val="clear" w:color="auto" w:fill="BB6490"/>
            <w:vAlign w:val="center"/>
          </w:tcPr>
          <w:p w:rsidR="003D3160" w:rsidRPr="00496EDC" w:rsidRDefault="003D3160" w:rsidP="000926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noProof/>
                <w:lang w:val="es-ES" w:eastAsia="en-GB"/>
              </w:rPr>
            </w:pP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La comunicación y la coordinación contribuyen a que se comprendan mejor en general las</w:t>
            </w:r>
            <w:r w:rsidR="000926C2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intervenciones basadas en transferencias de dinero en efectivo, dentro de una Sociedad Nacional,</w:t>
            </w:r>
            <w:r w:rsidR="000926C2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entre los componentes del Movimiento que trabajan juntos, y en el conjunto de la comunidad</w:t>
            </w:r>
            <w:r w:rsidR="000926C2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humanitaria.</w:t>
            </w:r>
          </w:p>
        </w:tc>
      </w:tr>
      <w:tr w:rsidR="000926C2" w:rsidTr="000926C2">
        <w:trPr>
          <w:trHeight w:val="1531"/>
        </w:trPr>
        <w:tc>
          <w:tcPr>
            <w:tcW w:w="9628" w:type="dxa"/>
            <w:tcBorders>
              <w:bottom w:val="single" w:sz="24" w:space="0" w:color="FFFFFF" w:themeColor="background1"/>
            </w:tcBorders>
            <w:shd w:val="clear" w:color="auto" w:fill="BB6490"/>
            <w:vAlign w:val="center"/>
          </w:tcPr>
          <w:p w:rsidR="003D3160" w:rsidRPr="003D3160" w:rsidRDefault="003D3160" w:rsidP="003D3160">
            <w:pPr>
              <w:autoSpaceDE w:val="0"/>
              <w:autoSpaceDN w:val="0"/>
              <w:adjustRightInd w:val="0"/>
              <w:spacing w:after="0"/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</w:pP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La coordinación es importante, no solo para garantizar un enfoque coherente entre los diferentes agentes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que trabajan con estos programas en una misma zona, sino también para reducir al mínimo los riesgos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relacionados con la seguridad y otros, como la inflación. En paralelo, la promoción y la comunicación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ayudan a que las partes interesadas comprendan mejor los programas, objetivos y procesos necesarios,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y dan a la población afectada la oportunidad de hacerse oír y participar en la toma de decisiones.</w:t>
            </w:r>
          </w:p>
          <w:p w:rsidR="003D3160" w:rsidRPr="00496EDC" w:rsidRDefault="003D3160" w:rsidP="000926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noProof/>
                <w:lang w:val="es-ES" w:eastAsia="en-GB"/>
              </w:rPr>
            </w:pP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La coordinación, promoción y comunicación son también importantes para implicar a los donantes y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movilizar recursos, así como para difundir la información y los mensajes más importantes en torno a las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intervenciones basadas en transferencias de dinero en efectivo. La promoción también ayuda a que, en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cualquier contexto, se considere sistemáticamente la inclusión de este tipo de programas como una de las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posibles opciones de intervención ante una emergencia, de modo que cuando no se elijan como opción se</w:t>
            </w:r>
            <w:r w:rsidR="000926C2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deba justificar el motivo.</w:t>
            </w:r>
          </w:p>
        </w:tc>
      </w:tr>
    </w:tbl>
    <w:p w:rsidR="00496EDC" w:rsidRDefault="00496EDC" w:rsidP="006159EB">
      <w:pPr>
        <w:jc w:val="center"/>
        <w:rPr>
          <w:rFonts w:cstheme="minorHAnsi"/>
          <w:noProof/>
          <w:lang w:val="es-ES_tradnl" w:eastAsia="en-GB"/>
        </w:rPr>
      </w:pPr>
    </w:p>
    <w:p w:rsidR="008D111F" w:rsidRPr="000304E8" w:rsidRDefault="00E62BB4" w:rsidP="006159EB">
      <w:pPr>
        <w:jc w:val="center"/>
        <w:rPr>
          <w:rFonts w:cstheme="minorHAnsi"/>
          <w:lang w:val="es-ES_tradnl"/>
        </w:rPr>
      </w:pPr>
      <w:r w:rsidRPr="000304E8">
        <w:rPr>
          <w:rFonts w:cstheme="minorHAnsi"/>
          <w:noProof/>
          <w:lang w:val="es-ES_tradnl" w:eastAsia="en-GB"/>
        </w:rPr>
        <w:t xml:space="preserve"> </w:t>
      </w:r>
    </w:p>
    <w:p w:rsidR="00783D48" w:rsidRPr="000304E8" w:rsidRDefault="00E62BB4" w:rsidP="00D73D20">
      <w:pPr>
        <w:pStyle w:val="Heading2"/>
        <w:rPr>
          <w:lang w:val="es-ES_tradnl"/>
        </w:rPr>
      </w:pPr>
      <w:r w:rsidRPr="000304E8">
        <w:rPr>
          <w:lang w:val="es-ES_tradnl"/>
        </w:rPr>
        <w:lastRenderedPageBreak/>
        <w:t xml:space="preserve">EL PROCESO DE AUTOEVALUACIÓN </w:t>
      </w:r>
    </w:p>
    <w:p w:rsidR="004832A5" w:rsidRPr="000304E8" w:rsidRDefault="004832A5" w:rsidP="004832A5">
      <w:pPr>
        <w:rPr>
          <w:b/>
          <w:sz w:val="22"/>
          <w:szCs w:val="24"/>
          <w:lang w:val="es-ES_tradnl"/>
        </w:rPr>
      </w:pPr>
      <w:r w:rsidRPr="000304E8">
        <w:rPr>
          <w:rFonts w:cstheme="minorHAnsi"/>
          <w:b/>
          <w:lang w:val="es-ES_tradnl"/>
        </w:rPr>
        <w:t xml:space="preserve">1. </w:t>
      </w:r>
      <w:r w:rsidR="00544DB0" w:rsidRPr="000304E8">
        <w:rPr>
          <w:rFonts w:cstheme="minorHAnsi"/>
          <w:b/>
          <w:lang w:val="es-ES_tradnl"/>
        </w:rPr>
        <w:t>Reunir a lo</w:t>
      </w:r>
      <w:r w:rsidRPr="000304E8">
        <w:rPr>
          <w:rFonts w:cstheme="minorHAnsi"/>
          <w:b/>
          <w:lang w:val="es-ES_tradnl"/>
        </w:rPr>
        <w:t xml:space="preserve">s </w:t>
      </w:r>
      <w:r w:rsidRPr="000304E8">
        <w:rPr>
          <w:b/>
          <w:sz w:val="22"/>
          <w:szCs w:val="24"/>
          <w:lang w:val="es-ES_tradnl"/>
        </w:rPr>
        <w:t>principales interesad</w:t>
      </w:r>
      <w:r w:rsidR="00544DB0" w:rsidRPr="000304E8">
        <w:rPr>
          <w:b/>
          <w:sz w:val="22"/>
          <w:szCs w:val="24"/>
          <w:lang w:val="es-ES_tradnl"/>
        </w:rPr>
        <w:t>o</w:t>
      </w:r>
      <w:r w:rsidRPr="000304E8">
        <w:rPr>
          <w:b/>
          <w:sz w:val="22"/>
          <w:szCs w:val="24"/>
          <w:lang w:val="es-ES_tradnl"/>
        </w:rPr>
        <w:t>s</w:t>
      </w:r>
    </w:p>
    <w:p w:rsidR="004832A5" w:rsidRPr="000304E8" w:rsidRDefault="004832A5" w:rsidP="004832A5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>La metodología comienza por unión de las principales partes interesadas, que deben representar una sección transversal del personal que trabaja en programas y en servicios de apoyo de las Sociedades Nacionales (por ejemplo, en gestión de desastres, finanzas, logística, desarrollo organizacional, etc.). La combinación de personal que cubre funciones técnicas, de gestión y de servicios de apoyo está diseñado para promover los intercambios dinámicos, el aprendizaje compartido y las consideraciones basadas en la evidencia.</w:t>
      </w:r>
    </w:p>
    <w:tbl>
      <w:tblPr>
        <w:tblStyle w:val="TableGray"/>
        <w:tblW w:w="0" w:type="auto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638"/>
      </w:tblGrid>
      <w:tr w:rsidR="004832A5" w:rsidRPr="008843F9" w:rsidTr="004832A5">
        <w:tc>
          <w:tcPr>
            <w:tcW w:w="9638" w:type="dxa"/>
          </w:tcPr>
          <w:p w:rsidR="004832A5" w:rsidRPr="000304E8" w:rsidRDefault="004832A5" w:rsidP="004832A5">
            <w:pPr>
              <w:jc w:val="left"/>
              <w:rPr>
                <w:lang w:val="es-ES_tradnl"/>
              </w:rPr>
            </w:pPr>
            <w:r w:rsidRPr="000304E8">
              <w:rPr>
                <w:rStyle w:val="hps"/>
                <w:rFonts w:cs="Arial"/>
                <w:color w:val="222222"/>
                <w:lang w:val="es-ES_tradnl"/>
              </w:rPr>
              <w:t>Es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probable que muchos de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estos miembros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pasarán a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formar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parte del grupo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de trabajo técnico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sobre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PTE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que es esencial en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los próximos pasos de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la preparación para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 xml:space="preserve">PTE, en aras a la toma de decisiones </w:t>
            </w:r>
            <w:r w:rsidRPr="000304E8">
              <w:rPr>
                <w:rFonts w:cs="Arial"/>
                <w:color w:val="222222"/>
                <w:lang w:val="es-ES_tradnl"/>
              </w:rPr>
              <w:t>y a la transparencia.</w:t>
            </w:r>
            <w:r w:rsidRPr="000304E8">
              <w:rPr>
                <w:rFonts w:cs="Arial"/>
                <w:color w:val="222222"/>
                <w:lang w:val="es-ES_tradnl"/>
              </w:rPr>
              <w:br/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Se puede consultar la sección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4.2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de las </w:t>
            </w:r>
            <w:r w:rsidRPr="000304E8">
              <w:rPr>
                <w:rFonts w:cs="Arial"/>
                <w:i/>
                <w:color w:val="222222"/>
                <w:lang w:val="es-ES_tradnl"/>
              </w:rPr>
              <w:t>Directrices para la preparación y la integración institucional de Programas de transferencias de dinero en efectivo</w:t>
            </w:r>
            <w:r w:rsidR="00607E64" w:rsidRPr="000304E8">
              <w:rPr>
                <w:rFonts w:cs="Arial"/>
                <w:color w:val="222222"/>
                <w:lang w:val="es-ES_tradnl"/>
              </w:rPr>
              <w:t xml:space="preserve"> del MICRMLR </w:t>
            </w:r>
            <w:r w:rsidR="00586A20" w:rsidRPr="000304E8">
              <w:rPr>
                <w:rFonts w:cs="Arial"/>
                <w:color w:val="222222"/>
                <w:lang w:val="es-ES_tradnl"/>
              </w:rPr>
              <w:t>para obtener más detalles sobre el establecimiento de un grupo de trabajo técnico PTE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. </w:t>
            </w:r>
          </w:p>
        </w:tc>
      </w:tr>
    </w:tbl>
    <w:p w:rsidR="00586A20" w:rsidRPr="000304E8" w:rsidRDefault="00544DB0" w:rsidP="00156499">
      <w:pPr>
        <w:pStyle w:val="Heading3"/>
        <w:rPr>
          <w:lang w:val="es-ES_tradnl"/>
        </w:rPr>
      </w:pPr>
      <w:r w:rsidRPr="000304E8">
        <w:rPr>
          <w:lang w:val="es-ES_tradnl"/>
        </w:rPr>
        <w:t xml:space="preserve">2. Programar y planificar </w:t>
      </w:r>
      <w:r w:rsidR="00156499" w:rsidRPr="000304E8">
        <w:rPr>
          <w:lang w:val="es-ES_tradnl"/>
        </w:rPr>
        <w:t xml:space="preserve">el </w:t>
      </w:r>
      <w:r w:rsidR="00586A20" w:rsidRPr="000304E8">
        <w:rPr>
          <w:lang w:val="es-ES_tradnl"/>
        </w:rPr>
        <w:t>taller</w:t>
      </w:r>
    </w:p>
    <w:p w:rsidR="00156499" w:rsidRPr="000304E8" w:rsidRDefault="00586A20" w:rsidP="00586A20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 xml:space="preserve">Esta herramienta </w:t>
      </w:r>
      <w:r w:rsidR="000304E8">
        <w:rPr>
          <w:rFonts w:cstheme="minorHAnsi"/>
          <w:lang w:val="es-ES_tradnl"/>
        </w:rPr>
        <w:t xml:space="preserve">sirve de </w:t>
      </w:r>
      <w:r w:rsidRPr="000304E8">
        <w:rPr>
          <w:rFonts w:cstheme="minorHAnsi"/>
          <w:lang w:val="es-ES_tradnl"/>
        </w:rPr>
        <w:t xml:space="preserve">guía </w:t>
      </w:r>
      <w:r w:rsidR="00156499" w:rsidRPr="000304E8">
        <w:rPr>
          <w:rFonts w:cstheme="minorHAnsi"/>
          <w:lang w:val="es-ES_tradnl"/>
        </w:rPr>
        <w:t xml:space="preserve">para </w:t>
      </w:r>
      <w:r w:rsidR="000304E8">
        <w:rPr>
          <w:rFonts w:cstheme="minorHAnsi"/>
          <w:lang w:val="es-ES_tradnl"/>
        </w:rPr>
        <w:t xml:space="preserve">facilitar </w:t>
      </w:r>
      <w:r w:rsidR="00156499" w:rsidRPr="000304E8">
        <w:rPr>
          <w:rFonts w:cstheme="minorHAnsi"/>
          <w:lang w:val="es-ES_tradnl"/>
        </w:rPr>
        <w:t>un</w:t>
      </w:r>
      <w:r w:rsidR="000304E8">
        <w:rPr>
          <w:rFonts w:cstheme="minorHAnsi"/>
          <w:lang w:val="es-ES_tradnl"/>
        </w:rPr>
        <w:t xml:space="preserve"> diálogo participativo y basado en el consenso, a la hora de avanzar en el </w:t>
      </w:r>
      <w:r w:rsidRPr="000304E8">
        <w:rPr>
          <w:rFonts w:cstheme="minorHAnsi"/>
          <w:lang w:val="es-ES_tradnl"/>
        </w:rPr>
        <w:t>proceso de autoevaluación</w:t>
      </w:r>
      <w:r w:rsidR="00156499" w:rsidRPr="000304E8">
        <w:rPr>
          <w:rFonts w:cstheme="minorHAnsi"/>
          <w:lang w:val="es-ES_tradnl"/>
        </w:rPr>
        <w:t xml:space="preserve">. </w:t>
      </w:r>
      <w:r w:rsidR="000304E8">
        <w:rPr>
          <w:rFonts w:cstheme="minorHAnsi"/>
          <w:lang w:val="es-ES_tradnl"/>
        </w:rPr>
        <w:t>El taller e</w:t>
      </w:r>
      <w:r w:rsidRPr="000304E8">
        <w:rPr>
          <w:rFonts w:cstheme="minorHAnsi"/>
          <w:lang w:val="es-ES_tradnl"/>
        </w:rPr>
        <w:t>stá diseñado para evaluar las ca</w:t>
      </w:r>
      <w:r w:rsidR="00156499" w:rsidRPr="000304E8">
        <w:rPr>
          <w:rFonts w:cstheme="minorHAnsi"/>
          <w:lang w:val="es-ES_tradnl"/>
        </w:rPr>
        <w:t>pacidades y necesidades de una Sociedad N</w:t>
      </w:r>
      <w:r w:rsidRPr="000304E8">
        <w:rPr>
          <w:rFonts w:cstheme="minorHAnsi"/>
          <w:lang w:val="es-ES_tradnl"/>
        </w:rPr>
        <w:t>acional en lo que respecta a la preparación</w:t>
      </w:r>
      <w:r w:rsidR="00156499" w:rsidRPr="000304E8">
        <w:rPr>
          <w:rFonts w:cstheme="minorHAnsi"/>
          <w:lang w:val="es-ES_tradnl"/>
        </w:rPr>
        <w:t xml:space="preserve"> para</w:t>
      </w:r>
      <w:r w:rsidRPr="000304E8">
        <w:rPr>
          <w:rFonts w:cstheme="minorHAnsi"/>
          <w:lang w:val="es-ES_tradnl"/>
        </w:rPr>
        <w:t xml:space="preserve"> PTE. Es fundamental</w:t>
      </w:r>
      <w:r w:rsidR="00156499" w:rsidRPr="000304E8">
        <w:rPr>
          <w:rFonts w:cstheme="minorHAnsi"/>
          <w:lang w:val="es-ES_tradnl"/>
        </w:rPr>
        <w:t xml:space="preserve"> empoderar e involucrar a</w:t>
      </w:r>
      <w:r w:rsidRPr="000304E8">
        <w:rPr>
          <w:rFonts w:cstheme="minorHAnsi"/>
          <w:lang w:val="es-ES_tradnl"/>
        </w:rPr>
        <w:t xml:space="preserve"> las </w:t>
      </w:r>
      <w:r w:rsidR="00156499" w:rsidRPr="000304E8">
        <w:rPr>
          <w:rFonts w:cstheme="minorHAnsi"/>
          <w:lang w:val="es-ES_tradnl"/>
        </w:rPr>
        <w:t xml:space="preserve">principales </w:t>
      </w:r>
      <w:r w:rsidRPr="000304E8">
        <w:rPr>
          <w:rFonts w:cstheme="minorHAnsi"/>
          <w:lang w:val="es-ES_tradnl"/>
        </w:rPr>
        <w:t xml:space="preserve">partes interesadas y dejar el tiempo suficiente para el debate </w:t>
      </w:r>
      <w:r w:rsidR="00156499" w:rsidRPr="000304E8">
        <w:rPr>
          <w:rFonts w:cstheme="minorHAnsi"/>
          <w:lang w:val="es-ES_tradnl"/>
        </w:rPr>
        <w:t>durante</w:t>
      </w:r>
      <w:r w:rsidRPr="000304E8">
        <w:rPr>
          <w:rFonts w:cstheme="minorHAnsi"/>
          <w:lang w:val="es-ES_tradnl"/>
        </w:rPr>
        <w:t xml:space="preserve"> el proceso de autoevaluación. Por lo tanto, se recomienda a </w:t>
      </w:r>
      <w:r w:rsidR="00156499" w:rsidRPr="000304E8">
        <w:rPr>
          <w:rFonts w:cstheme="minorHAnsi"/>
          <w:lang w:val="es-ES_tradnl"/>
        </w:rPr>
        <w:t>reservar uno o dos días para tener el</w:t>
      </w:r>
      <w:r w:rsidRPr="000304E8">
        <w:rPr>
          <w:rFonts w:cstheme="minorHAnsi"/>
          <w:lang w:val="es-ES_tradnl"/>
        </w:rPr>
        <w:t xml:space="preserve"> tiempo suficiente para </w:t>
      </w:r>
      <w:r w:rsidR="00156499" w:rsidRPr="000304E8">
        <w:rPr>
          <w:rFonts w:cstheme="minorHAnsi"/>
          <w:lang w:val="es-ES_tradnl"/>
        </w:rPr>
        <w:t xml:space="preserve">llevar a cabo </w:t>
      </w:r>
      <w:r w:rsidRPr="000304E8">
        <w:rPr>
          <w:rFonts w:cstheme="minorHAnsi"/>
          <w:lang w:val="es-ES_tradnl"/>
        </w:rPr>
        <w:t>discusiones significativas.</w:t>
      </w:r>
    </w:p>
    <w:tbl>
      <w:tblPr>
        <w:tblStyle w:val="TableGray"/>
        <w:tblW w:w="0" w:type="auto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638"/>
      </w:tblGrid>
      <w:tr w:rsidR="00551840" w:rsidRPr="008843F9" w:rsidTr="00156499">
        <w:tc>
          <w:tcPr>
            <w:tcW w:w="9638" w:type="dxa"/>
          </w:tcPr>
          <w:p w:rsidR="00551840" w:rsidRPr="000304E8" w:rsidRDefault="00156499" w:rsidP="00607E64">
            <w:pPr>
              <w:spacing w:before="120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 xml:space="preserve">Se supone un nivel de apoyo previo al proceso de autoevaluación por parte de la alta dirección en relación a la preparación para PTE. Esto asegura que </w:t>
            </w:r>
            <w:r w:rsidR="00607E64" w:rsidRPr="000304E8">
              <w:rPr>
                <w:rFonts w:cstheme="minorHAnsi"/>
                <w:lang w:val="es-ES_tradnl"/>
              </w:rPr>
              <w:t xml:space="preserve">se han puesto o podrán a disposición </w:t>
            </w:r>
            <w:r w:rsidRPr="000304E8">
              <w:rPr>
                <w:rFonts w:cstheme="minorHAnsi"/>
                <w:lang w:val="es-ES_tradnl"/>
              </w:rPr>
              <w:t>las estructuras correctas, las perso</w:t>
            </w:r>
            <w:r w:rsidR="00607E64" w:rsidRPr="000304E8">
              <w:rPr>
                <w:rFonts w:cstheme="minorHAnsi"/>
                <w:lang w:val="es-ES_tradnl"/>
              </w:rPr>
              <w:t>nas, los equipos y los acuerdos necesarios</w:t>
            </w:r>
            <w:r w:rsidRPr="000304E8">
              <w:rPr>
                <w:rFonts w:cstheme="minorHAnsi"/>
                <w:lang w:val="es-ES_tradnl"/>
              </w:rPr>
              <w:t xml:space="preserve">. </w:t>
            </w:r>
            <w:r w:rsidR="00607E64" w:rsidRPr="000304E8">
              <w:rPr>
                <w:rFonts w:cstheme="minorHAnsi"/>
                <w:lang w:val="es-ES_tradnl"/>
              </w:rPr>
              <w:t xml:space="preserve">En caso de que este nivel de apoyo no exista todavía, </w:t>
            </w:r>
            <w:r w:rsidRPr="000304E8">
              <w:rPr>
                <w:rFonts w:cstheme="minorHAnsi"/>
                <w:lang w:val="es-ES_tradnl"/>
              </w:rPr>
              <w:t xml:space="preserve">se recomienda </w:t>
            </w:r>
            <w:r w:rsidR="00607E64" w:rsidRPr="000304E8">
              <w:rPr>
                <w:rFonts w:cstheme="minorHAnsi"/>
                <w:lang w:val="es-ES_tradnl"/>
              </w:rPr>
              <w:t xml:space="preserve">realizar </w:t>
            </w:r>
            <w:r w:rsidR="000304E8">
              <w:rPr>
                <w:rFonts w:cstheme="minorHAnsi"/>
                <w:lang w:val="es-ES_tradnl"/>
              </w:rPr>
              <w:t>un taller/presentación inicial dirigido a</w:t>
            </w:r>
            <w:r w:rsidRPr="000304E8">
              <w:rPr>
                <w:rFonts w:cstheme="minorHAnsi"/>
                <w:lang w:val="es-ES_tradnl"/>
              </w:rPr>
              <w:t xml:space="preserve"> la alta dirección </w:t>
            </w:r>
            <w:r w:rsidR="00607E64" w:rsidRPr="000304E8">
              <w:rPr>
                <w:rFonts w:cstheme="minorHAnsi"/>
                <w:lang w:val="es-ES_tradnl"/>
              </w:rPr>
              <w:t xml:space="preserve">para promocionar y sensibilizar sobre PTE, dónde se </w:t>
            </w:r>
            <w:r w:rsidRPr="000304E8">
              <w:rPr>
                <w:rFonts w:cstheme="minorHAnsi"/>
                <w:lang w:val="es-ES_tradnl"/>
              </w:rPr>
              <w:t>introdu</w:t>
            </w:r>
            <w:r w:rsidR="00607E64" w:rsidRPr="000304E8">
              <w:rPr>
                <w:rFonts w:cstheme="minorHAnsi"/>
                <w:lang w:val="es-ES_tradnl"/>
              </w:rPr>
              <w:t xml:space="preserve">zcan </w:t>
            </w:r>
            <w:r w:rsidRPr="000304E8">
              <w:rPr>
                <w:rFonts w:cstheme="minorHAnsi"/>
                <w:lang w:val="es-ES_tradnl"/>
              </w:rPr>
              <w:t>conceptos básicos</w:t>
            </w:r>
            <w:r w:rsidR="00607E64" w:rsidRPr="000304E8">
              <w:rPr>
                <w:rFonts w:cstheme="minorHAnsi"/>
                <w:lang w:val="es-ES_tradnl"/>
              </w:rPr>
              <w:t xml:space="preserve"> sobre</w:t>
            </w:r>
            <w:r w:rsidRPr="000304E8">
              <w:rPr>
                <w:rFonts w:cstheme="minorHAnsi"/>
                <w:lang w:val="es-ES_tradnl"/>
              </w:rPr>
              <w:t xml:space="preserve"> PTE y </w:t>
            </w:r>
            <w:r w:rsidR="00607E64" w:rsidRPr="000304E8">
              <w:rPr>
                <w:rFonts w:cstheme="minorHAnsi"/>
                <w:lang w:val="es-ES_tradnl"/>
              </w:rPr>
              <w:t xml:space="preserve">se </w:t>
            </w:r>
            <w:r w:rsidRPr="000304E8">
              <w:rPr>
                <w:rFonts w:cstheme="minorHAnsi"/>
                <w:lang w:val="es-ES_tradnl"/>
              </w:rPr>
              <w:t>expli</w:t>
            </w:r>
            <w:r w:rsidR="00607E64" w:rsidRPr="000304E8">
              <w:rPr>
                <w:rFonts w:cstheme="minorHAnsi"/>
                <w:lang w:val="es-ES_tradnl"/>
              </w:rPr>
              <w:t xml:space="preserve">que </w:t>
            </w:r>
            <w:r w:rsidRPr="000304E8">
              <w:rPr>
                <w:rFonts w:cstheme="minorHAnsi"/>
                <w:lang w:val="es-ES_tradnl"/>
              </w:rPr>
              <w:t xml:space="preserve">su relación con las estrategias </w:t>
            </w:r>
            <w:r w:rsidR="00607E64" w:rsidRPr="000304E8">
              <w:rPr>
                <w:rFonts w:cstheme="minorHAnsi"/>
                <w:lang w:val="es-ES_tradnl"/>
              </w:rPr>
              <w:t>y los planes de las Sociedad</w:t>
            </w:r>
            <w:r w:rsidRPr="000304E8">
              <w:rPr>
                <w:rFonts w:cstheme="minorHAnsi"/>
                <w:lang w:val="es-ES_tradnl"/>
              </w:rPr>
              <w:t xml:space="preserve"> Nacional</w:t>
            </w:r>
            <w:r w:rsidR="00607E64" w:rsidRPr="000304E8">
              <w:rPr>
                <w:rFonts w:cstheme="minorHAnsi"/>
                <w:lang w:val="es-ES_tradnl"/>
              </w:rPr>
              <w:t xml:space="preserve">. </w:t>
            </w:r>
          </w:p>
        </w:tc>
      </w:tr>
      <w:tr w:rsidR="00551840" w:rsidRPr="008843F9" w:rsidTr="00156499">
        <w:tc>
          <w:tcPr>
            <w:tcW w:w="9638" w:type="dxa"/>
          </w:tcPr>
          <w:p w:rsidR="00551840" w:rsidRPr="000304E8" w:rsidRDefault="00607E64" w:rsidP="00607E64">
            <w:pPr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 xml:space="preserve">Consultar la sección </w:t>
            </w:r>
            <w:r w:rsidR="00551840" w:rsidRPr="000304E8">
              <w:rPr>
                <w:rFonts w:cstheme="minorHAnsi"/>
                <w:lang w:val="es-ES_tradnl"/>
              </w:rPr>
              <w:t xml:space="preserve">3.1 </w:t>
            </w:r>
            <w:r w:rsidRPr="000304E8">
              <w:rPr>
                <w:rFonts w:cstheme="minorHAnsi"/>
                <w:lang w:val="es-ES_tradnl"/>
              </w:rPr>
              <w:t xml:space="preserve">en las </w:t>
            </w:r>
            <w:r w:rsidRPr="000304E8">
              <w:rPr>
                <w:rFonts w:cs="Arial"/>
                <w:i/>
                <w:color w:val="222222"/>
                <w:lang w:val="es-ES_tradnl"/>
              </w:rPr>
              <w:t>Directrices para la preparación y la integración institucional de Programas de transferencias de dinero en efectivo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del MICRMLR para tener más detalles sobre cómo aumentar la involucración de los principales interesados en PTE</w:t>
            </w:r>
            <w:r w:rsidR="00551840" w:rsidRPr="000304E8">
              <w:rPr>
                <w:rFonts w:cstheme="minorHAnsi"/>
                <w:lang w:val="es-ES_tradnl"/>
              </w:rPr>
              <w:t>.</w:t>
            </w:r>
          </w:p>
        </w:tc>
      </w:tr>
    </w:tbl>
    <w:p w:rsidR="00607E64" w:rsidRPr="000304E8" w:rsidRDefault="00544DB0" w:rsidP="00607E64">
      <w:pPr>
        <w:pStyle w:val="Heading3"/>
        <w:rPr>
          <w:lang w:val="es-ES_tradnl"/>
        </w:rPr>
      </w:pPr>
      <w:r w:rsidRPr="000304E8">
        <w:rPr>
          <w:lang w:val="es-ES_tradnl"/>
        </w:rPr>
        <w:t>3. Realizar el</w:t>
      </w:r>
      <w:r w:rsidR="00607E64" w:rsidRPr="000304E8">
        <w:rPr>
          <w:lang w:val="es-ES_tradnl"/>
        </w:rPr>
        <w:t xml:space="preserve"> taller</w:t>
      </w:r>
    </w:p>
    <w:p w:rsidR="00607E64" w:rsidRPr="000304E8" w:rsidRDefault="00607E64" w:rsidP="00607E64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>Es úti</w:t>
      </w:r>
      <w:r w:rsidR="000304E8">
        <w:rPr>
          <w:rFonts w:cstheme="minorHAnsi"/>
          <w:lang w:val="es-ES_tradnl"/>
        </w:rPr>
        <w:t xml:space="preserve">l para la Sociedad Nacional en aras a </w:t>
      </w:r>
      <w:r w:rsidRPr="000304E8">
        <w:rPr>
          <w:rFonts w:cstheme="minorHAnsi"/>
          <w:lang w:val="es-ES_tradnl"/>
        </w:rPr>
        <w:t>definir lo que significa "rápido" y "a es</w:t>
      </w:r>
      <w:r w:rsidR="00D57045" w:rsidRPr="000304E8">
        <w:rPr>
          <w:rFonts w:cstheme="minorHAnsi"/>
          <w:lang w:val="es-ES_tradnl"/>
        </w:rPr>
        <w:t>cala" en caso de emergencia</w:t>
      </w:r>
      <w:r w:rsidR="000304E8">
        <w:rPr>
          <w:rFonts w:cstheme="minorHAnsi"/>
          <w:lang w:val="es-ES_tradnl"/>
        </w:rPr>
        <w:t>,</w:t>
      </w:r>
      <w:r w:rsidR="00D57045" w:rsidRPr="000304E8">
        <w:rPr>
          <w:rFonts w:cstheme="minorHAnsi"/>
          <w:lang w:val="es-ES_tradnl"/>
        </w:rPr>
        <w:t xml:space="preserve"> cara a poder</w:t>
      </w:r>
      <w:r w:rsidRPr="000304E8">
        <w:rPr>
          <w:rFonts w:cstheme="minorHAnsi"/>
          <w:lang w:val="es-ES_tradnl"/>
        </w:rPr>
        <w:t xml:space="preserve"> desarrollar un escenario realista, y para definir el nivel de preparación para PTE al que se aspira</w:t>
      </w:r>
      <w:r w:rsidR="000304E8">
        <w:rPr>
          <w:rFonts w:cstheme="minorHAnsi"/>
          <w:lang w:val="es-ES_tradnl"/>
        </w:rPr>
        <w:t>,</w:t>
      </w:r>
      <w:r w:rsidRPr="000304E8">
        <w:rPr>
          <w:rFonts w:cstheme="minorHAnsi"/>
          <w:lang w:val="es-ES_tradnl"/>
        </w:rPr>
        <w:t xml:space="preserve"> y las medidas necesarias de cara a ese escenario. Si bien es bueno establecer un esce</w:t>
      </w:r>
      <w:r w:rsidR="00D57045" w:rsidRPr="000304E8">
        <w:rPr>
          <w:rFonts w:cstheme="minorHAnsi"/>
          <w:lang w:val="es-ES_tradnl"/>
        </w:rPr>
        <w:t>nario en base a las</w:t>
      </w:r>
      <w:r w:rsidRPr="000304E8">
        <w:rPr>
          <w:rFonts w:cstheme="minorHAnsi"/>
          <w:lang w:val="es-ES_tradnl"/>
        </w:rPr>
        <w:t xml:space="preserve"> aspiraciones, </w:t>
      </w:r>
      <w:r w:rsidR="00D57045" w:rsidRPr="000304E8">
        <w:rPr>
          <w:rFonts w:cstheme="minorHAnsi"/>
          <w:lang w:val="es-ES_tradnl"/>
        </w:rPr>
        <w:t xml:space="preserve">se debe </w:t>
      </w:r>
      <w:r w:rsidRPr="000304E8">
        <w:rPr>
          <w:rFonts w:cstheme="minorHAnsi"/>
          <w:lang w:val="es-ES_tradnl"/>
        </w:rPr>
        <w:t xml:space="preserve">ser específico y realista sobre los tipos de escenario y qué </w:t>
      </w:r>
      <w:r w:rsidR="00D57045" w:rsidRPr="000304E8">
        <w:rPr>
          <w:rFonts w:cstheme="minorHAnsi"/>
          <w:lang w:val="es-ES_tradnl"/>
        </w:rPr>
        <w:t>ti</w:t>
      </w:r>
      <w:r w:rsidR="000304E8">
        <w:rPr>
          <w:rFonts w:cstheme="minorHAnsi"/>
          <w:lang w:val="es-ES_tradnl"/>
        </w:rPr>
        <w:t>po de PTE debe ser considerada/</w:t>
      </w:r>
      <w:r w:rsidR="00D57045" w:rsidRPr="000304E8">
        <w:rPr>
          <w:rFonts w:cstheme="minorHAnsi"/>
          <w:lang w:val="es-ES_tradnl"/>
        </w:rPr>
        <w:t xml:space="preserve">s </w:t>
      </w:r>
      <w:r w:rsidR="000304E8">
        <w:rPr>
          <w:rFonts w:cstheme="minorHAnsi"/>
          <w:lang w:val="es-ES_tradnl"/>
        </w:rPr>
        <w:t>necesaria</w:t>
      </w:r>
      <w:r w:rsidRPr="000304E8">
        <w:rPr>
          <w:rFonts w:cstheme="minorHAnsi"/>
          <w:lang w:val="es-ES_tradnl"/>
        </w:rPr>
        <w:t xml:space="preserve">s para garantizar </w:t>
      </w:r>
      <w:r w:rsidR="00D57045" w:rsidRPr="000304E8">
        <w:rPr>
          <w:rFonts w:cstheme="minorHAnsi"/>
          <w:lang w:val="es-ES_tradnl"/>
        </w:rPr>
        <w:t xml:space="preserve">que se realizará </w:t>
      </w:r>
      <w:r w:rsidR="000304E8" w:rsidRPr="000304E8">
        <w:rPr>
          <w:rFonts w:cstheme="minorHAnsi"/>
          <w:lang w:val="es-ES_tradnl"/>
        </w:rPr>
        <w:t>una</w:t>
      </w:r>
      <w:r w:rsidR="00D57045" w:rsidRPr="000304E8">
        <w:rPr>
          <w:rFonts w:cstheme="minorHAnsi"/>
          <w:lang w:val="es-ES_tradnl"/>
        </w:rPr>
        <w:t xml:space="preserve"> intervención </w:t>
      </w:r>
      <w:r w:rsidRPr="000304E8">
        <w:rPr>
          <w:rFonts w:cstheme="minorHAnsi"/>
          <w:lang w:val="es-ES_tradnl"/>
        </w:rPr>
        <w:t>pertinen</w:t>
      </w:r>
      <w:r w:rsidR="00D57045" w:rsidRPr="000304E8">
        <w:rPr>
          <w:rFonts w:cstheme="minorHAnsi"/>
          <w:lang w:val="es-ES_tradnl"/>
        </w:rPr>
        <w:t xml:space="preserve">te. Como éste es un proceso </w:t>
      </w:r>
      <w:r w:rsidR="000304E8" w:rsidRPr="000304E8">
        <w:rPr>
          <w:rFonts w:cstheme="minorHAnsi"/>
          <w:lang w:val="es-ES_tradnl"/>
        </w:rPr>
        <w:t>iterativo</w:t>
      </w:r>
      <w:r w:rsidR="00D57045" w:rsidRPr="000304E8">
        <w:rPr>
          <w:rFonts w:cstheme="minorHAnsi"/>
          <w:lang w:val="es-ES_tradnl"/>
        </w:rPr>
        <w:t xml:space="preserve">, de nuevo, </w:t>
      </w:r>
      <w:r w:rsidR="000304E8">
        <w:rPr>
          <w:rFonts w:cstheme="minorHAnsi"/>
          <w:lang w:val="es-ES_tradnl"/>
        </w:rPr>
        <w:t xml:space="preserve">lo que </w:t>
      </w:r>
      <w:r w:rsidRPr="000304E8">
        <w:rPr>
          <w:rFonts w:cstheme="minorHAnsi"/>
          <w:lang w:val="es-ES_tradnl"/>
        </w:rPr>
        <w:t xml:space="preserve">una Sociedad Nacional define </w:t>
      </w:r>
      <w:r w:rsidR="00D57045" w:rsidRPr="000304E8">
        <w:rPr>
          <w:rFonts w:cstheme="minorHAnsi"/>
          <w:lang w:val="es-ES_tradnl"/>
        </w:rPr>
        <w:t xml:space="preserve">ahora </w:t>
      </w:r>
      <w:r w:rsidRPr="000304E8">
        <w:rPr>
          <w:rFonts w:cstheme="minorHAnsi"/>
          <w:lang w:val="es-ES_tradnl"/>
        </w:rPr>
        <w:t>como "rápido" y "a escala" pued</w:t>
      </w:r>
      <w:r w:rsidR="00D57045" w:rsidRPr="000304E8">
        <w:rPr>
          <w:rFonts w:cstheme="minorHAnsi"/>
          <w:lang w:val="es-ES_tradnl"/>
        </w:rPr>
        <w:t>e cambiar a medida que avanza en este proceso</w:t>
      </w:r>
      <w:r w:rsidRPr="000304E8">
        <w:rPr>
          <w:rFonts w:cstheme="minorHAnsi"/>
          <w:lang w:val="es-ES_tradnl"/>
        </w:rPr>
        <w:t>.</w:t>
      </w:r>
    </w:p>
    <w:p w:rsidR="00607E64" w:rsidRPr="000304E8" w:rsidRDefault="00607E64" w:rsidP="00607E64">
      <w:pPr>
        <w:rPr>
          <w:rFonts w:cstheme="minorHAnsi"/>
          <w:lang w:val="es-ES_tradnl"/>
        </w:rPr>
      </w:pPr>
    </w:p>
    <w:tbl>
      <w:tblPr>
        <w:tblStyle w:val="TableGray"/>
        <w:tblW w:w="0" w:type="auto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638"/>
      </w:tblGrid>
      <w:tr w:rsidR="00551840" w:rsidRPr="008843F9" w:rsidTr="00D57045">
        <w:tc>
          <w:tcPr>
            <w:tcW w:w="9638" w:type="dxa"/>
          </w:tcPr>
          <w:p w:rsidR="00551840" w:rsidRPr="000304E8" w:rsidRDefault="000304E8" w:rsidP="00D57045">
            <w:pPr>
              <w:spacing w:before="120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  <w:r w:rsidR="00D57045" w:rsidRPr="000304E8">
              <w:rPr>
                <w:lang w:val="es-ES_tradnl"/>
              </w:rPr>
              <w:t xml:space="preserve"> esto se hace como parte del proceso descrito en las </w:t>
            </w:r>
            <w:r w:rsidR="00D57045" w:rsidRPr="000304E8">
              <w:rPr>
                <w:i/>
                <w:lang w:val="es-ES_tradnl"/>
              </w:rPr>
              <w:t>Directrices para la preparación y la integración institucional de Programas de transferencias de dinero en efectivo</w:t>
            </w:r>
            <w:r w:rsidR="00D57045" w:rsidRPr="000304E8">
              <w:rPr>
                <w:lang w:val="es-ES_tradnl"/>
              </w:rPr>
              <w:t xml:space="preserve"> del MICRMLR, se debería haber desarrollado y</w:t>
            </w:r>
            <w:r w:rsidR="00551840" w:rsidRPr="000304E8">
              <w:rPr>
                <w:lang w:val="es-ES_tradnl"/>
              </w:rPr>
              <w:t xml:space="preserve">a </w:t>
            </w:r>
            <w:r w:rsidR="00D57045" w:rsidRPr="000304E8">
              <w:rPr>
                <w:lang w:val="es-ES_tradnl"/>
              </w:rPr>
              <w:t xml:space="preserve">un escenario en la </w:t>
            </w:r>
            <w:r w:rsidRPr="000304E8">
              <w:rPr>
                <w:lang w:val="es-ES_tradnl"/>
              </w:rPr>
              <w:t>fase 2</w:t>
            </w:r>
            <w:r w:rsidR="00D57045" w:rsidRPr="000304E8">
              <w:rPr>
                <w:lang w:val="es-ES_tradnl"/>
              </w:rPr>
              <w:t xml:space="preserve"> que puede ser usado en esta actividad. </w:t>
            </w:r>
          </w:p>
        </w:tc>
      </w:tr>
    </w:tbl>
    <w:p w:rsidR="00D73D20" w:rsidRPr="000304E8" w:rsidRDefault="00D73D20" w:rsidP="00551840">
      <w:pPr>
        <w:spacing w:before="240"/>
        <w:rPr>
          <w:rFonts w:cstheme="minorHAnsi"/>
          <w:lang w:val="es-ES_tradnl"/>
        </w:rPr>
      </w:pPr>
    </w:p>
    <w:p w:rsidR="00D73D20" w:rsidRPr="000304E8" w:rsidRDefault="00D73D20">
      <w:pPr>
        <w:spacing w:after="200" w:line="276" w:lineRule="auto"/>
        <w:jc w:val="left"/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br w:type="page"/>
      </w:r>
    </w:p>
    <w:p w:rsidR="00D57045" w:rsidRPr="000304E8" w:rsidRDefault="00D57045" w:rsidP="00551840">
      <w:pPr>
        <w:spacing w:before="240"/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lastRenderedPageBreak/>
        <w:t xml:space="preserve">A fin de evaluar el nivel de preparación, se </w:t>
      </w:r>
      <w:r w:rsidR="008051AE" w:rsidRPr="000304E8">
        <w:rPr>
          <w:rFonts w:cstheme="minorHAnsi"/>
          <w:lang w:val="es-ES_tradnl"/>
        </w:rPr>
        <w:t xml:space="preserve">entregan </w:t>
      </w:r>
      <w:r w:rsidRPr="000304E8">
        <w:rPr>
          <w:rFonts w:cstheme="minorHAnsi"/>
          <w:lang w:val="es-ES_tradnl"/>
        </w:rPr>
        <w:t xml:space="preserve">un conjunto de preguntas </w:t>
      </w:r>
      <w:r w:rsidR="008051AE" w:rsidRPr="000304E8">
        <w:rPr>
          <w:rFonts w:cstheme="minorHAnsi"/>
          <w:lang w:val="es-ES_tradnl"/>
        </w:rPr>
        <w:t xml:space="preserve">agrupadas en las cuatro vertientes para que el </w:t>
      </w:r>
      <w:r w:rsidRPr="000304E8">
        <w:rPr>
          <w:rFonts w:cstheme="minorHAnsi"/>
          <w:lang w:val="es-ES_tradnl"/>
        </w:rPr>
        <w:t xml:space="preserve">grupo </w:t>
      </w:r>
      <w:r w:rsidR="008051AE" w:rsidRPr="000304E8">
        <w:rPr>
          <w:rFonts w:cstheme="minorHAnsi"/>
          <w:lang w:val="es-ES_tradnl"/>
        </w:rPr>
        <w:t>las responda</w:t>
      </w:r>
      <w:r w:rsidRPr="000304E8">
        <w:rPr>
          <w:rFonts w:cstheme="minorHAnsi"/>
          <w:lang w:val="es-ES_tradnl"/>
        </w:rPr>
        <w:t xml:space="preserve">. Dependiendo del </w:t>
      </w:r>
      <w:r w:rsidR="008051AE" w:rsidRPr="000304E8">
        <w:rPr>
          <w:rFonts w:cstheme="minorHAnsi"/>
          <w:lang w:val="es-ES_tradnl"/>
        </w:rPr>
        <w:t xml:space="preserve">número de participantes en el </w:t>
      </w:r>
      <w:r w:rsidRPr="000304E8">
        <w:rPr>
          <w:rFonts w:cstheme="minorHAnsi"/>
          <w:lang w:val="es-ES_tradnl"/>
        </w:rPr>
        <w:t xml:space="preserve">taller, se aconseja </w:t>
      </w:r>
      <w:r w:rsidR="008051AE" w:rsidRPr="000304E8">
        <w:rPr>
          <w:rFonts w:cstheme="minorHAnsi"/>
          <w:lang w:val="es-ES_tradnl"/>
        </w:rPr>
        <w:t xml:space="preserve">trabajar en </w:t>
      </w:r>
      <w:r w:rsidRPr="000304E8">
        <w:rPr>
          <w:rFonts w:cstheme="minorHAnsi"/>
          <w:lang w:val="es-ES_tradnl"/>
        </w:rPr>
        <w:t xml:space="preserve">grupos más pequeños para permitir que </w:t>
      </w:r>
      <w:r w:rsidR="008051AE" w:rsidRPr="000304E8">
        <w:rPr>
          <w:rFonts w:cstheme="minorHAnsi"/>
          <w:lang w:val="es-ES_tradnl"/>
        </w:rPr>
        <w:t xml:space="preserve">las discusiones sean </w:t>
      </w:r>
      <w:r w:rsidRPr="000304E8">
        <w:rPr>
          <w:rFonts w:cstheme="minorHAnsi"/>
          <w:lang w:val="es-ES_tradnl"/>
        </w:rPr>
        <w:t>más profund</w:t>
      </w:r>
      <w:r w:rsidR="008051AE" w:rsidRPr="000304E8">
        <w:rPr>
          <w:rFonts w:cstheme="minorHAnsi"/>
          <w:lang w:val="es-ES_tradnl"/>
        </w:rPr>
        <w:t>as</w:t>
      </w:r>
      <w:r w:rsidRPr="000304E8">
        <w:rPr>
          <w:rFonts w:cstheme="minorHAnsi"/>
          <w:lang w:val="es-ES_tradnl"/>
        </w:rPr>
        <w:t xml:space="preserve">. </w:t>
      </w:r>
      <w:r w:rsidR="008051AE" w:rsidRPr="000304E8">
        <w:rPr>
          <w:rFonts w:cstheme="minorHAnsi"/>
          <w:lang w:val="es-ES_tradnl"/>
        </w:rPr>
        <w:t xml:space="preserve">En base a las </w:t>
      </w:r>
      <w:r w:rsidR="000304E8" w:rsidRPr="000304E8">
        <w:rPr>
          <w:rFonts w:cstheme="minorHAnsi"/>
          <w:lang w:val="es-ES_tradnl"/>
        </w:rPr>
        <w:t>discusiones</w:t>
      </w:r>
      <w:r w:rsidR="008051AE" w:rsidRPr="000304E8">
        <w:rPr>
          <w:rFonts w:cstheme="minorHAnsi"/>
          <w:lang w:val="es-ES_tradnl"/>
        </w:rPr>
        <w:t xml:space="preserve"> y a la </w:t>
      </w:r>
      <w:r w:rsidRPr="000304E8">
        <w:rPr>
          <w:rFonts w:cstheme="minorHAnsi"/>
          <w:lang w:val="es-ES_tradnl"/>
        </w:rPr>
        <w:t xml:space="preserve">revisión de </w:t>
      </w:r>
      <w:r w:rsidR="008051AE" w:rsidRPr="000304E8">
        <w:rPr>
          <w:rFonts w:cstheme="minorHAnsi"/>
          <w:lang w:val="es-ES_tradnl"/>
        </w:rPr>
        <w:t xml:space="preserve">las evidencias, se debe </w:t>
      </w:r>
      <w:r w:rsidRPr="000304E8">
        <w:rPr>
          <w:rFonts w:cstheme="minorHAnsi"/>
          <w:lang w:val="es-ES_tradnl"/>
        </w:rPr>
        <w:t>aseg</w:t>
      </w:r>
      <w:r w:rsidR="008051AE" w:rsidRPr="000304E8">
        <w:rPr>
          <w:rFonts w:cstheme="minorHAnsi"/>
          <w:lang w:val="es-ES_tradnl"/>
        </w:rPr>
        <w:t>urar que se da</w:t>
      </w:r>
      <w:r w:rsidRPr="000304E8">
        <w:rPr>
          <w:rFonts w:cstheme="minorHAnsi"/>
          <w:lang w:val="es-ES_tradnl"/>
        </w:rPr>
        <w:t xml:space="preserve"> que una puntuación de consenso (ver tabla 1) para </w:t>
      </w:r>
      <w:r w:rsidR="008051AE" w:rsidRPr="000304E8">
        <w:rPr>
          <w:rFonts w:cstheme="minorHAnsi"/>
          <w:lang w:val="es-ES_tradnl"/>
        </w:rPr>
        <w:t xml:space="preserve">tener </w:t>
      </w:r>
      <w:r w:rsidRPr="000304E8">
        <w:rPr>
          <w:rFonts w:cstheme="minorHAnsi"/>
          <w:lang w:val="es-ES_tradnl"/>
        </w:rPr>
        <w:t xml:space="preserve">una puntuación global para cada </w:t>
      </w:r>
      <w:r w:rsidR="008051AE" w:rsidRPr="000304E8">
        <w:rPr>
          <w:rFonts w:cstheme="minorHAnsi"/>
          <w:lang w:val="es-ES_tradnl"/>
        </w:rPr>
        <w:t>vertiente. Cuando se</w:t>
      </w:r>
      <w:r w:rsidR="000304E8">
        <w:rPr>
          <w:rFonts w:cstheme="minorHAnsi"/>
          <w:lang w:val="es-ES_tradnl"/>
        </w:rPr>
        <w:t>a</w:t>
      </w:r>
      <w:r w:rsidR="008051AE" w:rsidRPr="000304E8">
        <w:rPr>
          <w:rFonts w:cstheme="minorHAnsi"/>
          <w:lang w:val="es-ES_tradnl"/>
        </w:rPr>
        <w:t xml:space="preserve"> adecuado, </w:t>
      </w:r>
      <w:r w:rsidRPr="000304E8">
        <w:rPr>
          <w:rFonts w:cstheme="minorHAnsi"/>
          <w:lang w:val="es-ES_tradnl"/>
        </w:rPr>
        <w:t xml:space="preserve">la evidencia debe ser recogida para justificar </w:t>
      </w:r>
      <w:r w:rsidR="008051AE" w:rsidRPr="000304E8">
        <w:rPr>
          <w:rFonts w:cstheme="minorHAnsi"/>
          <w:lang w:val="es-ES_tradnl"/>
        </w:rPr>
        <w:t xml:space="preserve">la puntuación. </w:t>
      </w:r>
      <w:r w:rsidRPr="000304E8">
        <w:rPr>
          <w:rFonts w:cstheme="minorHAnsi"/>
          <w:lang w:val="es-ES_tradnl"/>
        </w:rPr>
        <w:t>Se puede i</w:t>
      </w:r>
      <w:r w:rsidR="000304E8">
        <w:rPr>
          <w:rFonts w:cstheme="minorHAnsi"/>
          <w:lang w:val="es-ES_tradnl"/>
        </w:rPr>
        <w:t xml:space="preserve">ncluir </w:t>
      </w:r>
      <w:r w:rsidRPr="000304E8">
        <w:rPr>
          <w:rFonts w:cstheme="minorHAnsi"/>
          <w:lang w:val="es-ES_tradnl"/>
        </w:rPr>
        <w:t xml:space="preserve">documentación escrita. La evidencia también puede ser cualquier cosa observable que está vinculado a los esfuerzos de creación de capacidad: los procesos; </w:t>
      </w:r>
      <w:r w:rsidR="008051AE" w:rsidRPr="000304E8">
        <w:rPr>
          <w:rFonts w:cstheme="minorHAnsi"/>
          <w:lang w:val="es-ES_tradnl"/>
        </w:rPr>
        <w:t xml:space="preserve">la </w:t>
      </w:r>
      <w:r w:rsidRPr="000304E8">
        <w:rPr>
          <w:rFonts w:cstheme="minorHAnsi"/>
          <w:lang w:val="es-ES_tradnl"/>
        </w:rPr>
        <w:t xml:space="preserve">infraestructura; </w:t>
      </w:r>
      <w:r w:rsidR="008051AE" w:rsidRPr="000304E8">
        <w:rPr>
          <w:rFonts w:cstheme="minorHAnsi"/>
          <w:lang w:val="es-ES_tradnl"/>
        </w:rPr>
        <w:t xml:space="preserve">las </w:t>
      </w:r>
      <w:r w:rsidRPr="000304E8">
        <w:rPr>
          <w:rFonts w:cstheme="minorHAnsi"/>
          <w:lang w:val="es-ES_tradnl"/>
        </w:rPr>
        <w:t>personas capaces que contribuyen al logro de la misión de la Sociedad Nacional; y los resultados tangibles de las actividades</w:t>
      </w:r>
      <w:r w:rsidR="000304E8">
        <w:rPr>
          <w:rFonts w:cstheme="minorHAnsi"/>
          <w:lang w:val="es-ES_tradnl"/>
        </w:rPr>
        <w:t>. En definitiva, lo que se acaba de nombrar,</w:t>
      </w:r>
      <w:r w:rsidRPr="000304E8">
        <w:rPr>
          <w:rFonts w:cstheme="minorHAnsi"/>
          <w:lang w:val="es-ES_tradnl"/>
        </w:rPr>
        <w:t xml:space="preserve"> son</w:t>
      </w:r>
      <w:r w:rsidR="008051AE" w:rsidRPr="000304E8">
        <w:rPr>
          <w:rFonts w:cstheme="minorHAnsi"/>
          <w:lang w:val="es-ES_tradnl"/>
        </w:rPr>
        <w:t xml:space="preserve"> todos</w:t>
      </w:r>
      <w:r w:rsidR="000304E8">
        <w:rPr>
          <w:rFonts w:cstheme="minorHAnsi"/>
          <w:lang w:val="es-ES_tradnl"/>
        </w:rPr>
        <w:t xml:space="preserve">, potencialmente, </w:t>
      </w:r>
      <w:r w:rsidRPr="000304E8">
        <w:rPr>
          <w:rFonts w:cstheme="minorHAnsi"/>
          <w:lang w:val="es-ES_tradnl"/>
        </w:rPr>
        <w:t>evidencia</w:t>
      </w:r>
      <w:r w:rsidR="000304E8">
        <w:rPr>
          <w:rFonts w:cstheme="minorHAnsi"/>
          <w:lang w:val="es-ES_tradnl"/>
        </w:rPr>
        <w:t>s</w:t>
      </w:r>
      <w:r w:rsidRPr="000304E8">
        <w:rPr>
          <w:rFonts w:cstheme="minorHAnsi"/>
          <w:lang w:val="es-ES_tradnl"/>
        </w:rPr>
        <w:t xml:space="preserve"> observable</w:t>
      </w:r>
      <w:r w:rsidR="000304E8">
        <w:rPr>
          <w:rFonts w:cstheme="minorHAnsi"/>
          <w:lang w:val="es-ES_tradnl"/>
        </w:rPr>
        <w:t>s</w:t>
      </w:r>
      <w:r w:rsidRPr="000304E8">
        <w:rPr>
          <w:rFonts w:cstheme="minorHAnsi"/>
          <w:lang w:val="es-ES_tradnl"/>
        </w:rPr>
        <w:t>.</w:t>
      </w:r>
    </w:p>
    <w:p w:rsidR="000E22C1" w:rsidRPr="000304E8" w:rsidRDefault="00057F00" w:rsidP="00D54B28">
      <w:pPr>
        <w:spacing w:before="240" w:after="240"/>
        <w:jc w:val="center"/>
        <w:rPr>
          <w:rFonts w:cstheme="minorHAnsi"/>
          <w:b/>
          <w:bCs/>
          <w:lang w:val="es-ES_tradnl"/>
        </w:rPr>
      </w:pPr>
      <w:r w:rsidRPr="000304E8">
        <w:rPr>
          <w:rFonts w:cstheme="minorHAnsi"/>
          <w:b/>
          <w:bCs/>
          <w:lang w:val="es-ES_tradnl"/>
        </w:rPr>
        <w:t>Tabl</w:t>
      </w:r>
      <w:r w:rsidR="008051AE" w:rsidRPr="000304E8">
        <w:rPr>
          <w:rFonts w:cstheme="minorHAnsi"/>
          <w:b/>
          <w:bCs/>
          <w:lang w:val="es-ES_tradnl"/>
        </w:rPr>
        <w:t>a 1. P</w:t>
      </w:r>
      <w:r w:rsidRPr="000304E8">
        <w:rPr>
          <w:rFonts w:cstheme="minorHAnsi"/>
          <w:b/>
          <w:bCs/>
          <w:lang w:val="es-ES_tradnl"/>
        </w:rPr>
        <w:t>roces</w:t>
      </w:r>
      <w:r w:rsidR="008051AE" w:rsidRPr="000304E8">
        <w:rPr>
          <w:rFonts w:cstheme="minorHAnsi"/>
          <w:b/>
          <w:bCs/>
          <w:lang w:val="es-ES_tradnl"/>
        </w:rPr>
        <w:t xml:space="preserve">o de puntuación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4"/>
        <w:gridCol w:w="6006"/>
      </w:tblGrid>
      <w:tr w:rsidR="00D54B28" w:rsidRPr="000304E8" w:rsidTr="005B149D">
        <w:tc>
          <w:tcPr>
            <w:tcW w:w="3514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057F00" w:rsidRPr="000304E8" w:rsidRDefault="008051AE" w:rsidP="00B668E8">
            <w:pPr>
              <w:spacing w:before="120"/>
              <w:jc w:val="center"/>
              <w:rPr>
                <w:rStyle w:val="Pantone485"/>
                <w:b/>
                <w:color w:val="FFFFFF" w:themeColor="background1"/>
                <w:lang w:val="es-ES_tradnl"/>
              </w:rPr>
            </w:pPr>
            <w:r w:rsidRPr="000304E8">
              <w:rPr>
                <w:rStyle w:val="Pantone485"/>
                <w:b/>
                <w:color w:val="FFFFFF" w:themeColor="background1"/>
                <w:lang w:val="es-ES_tradnl"/>
              </w:rPr>
              <w:t>Puntos</w:t>
            </w:r>
          </w:p>
        </w:tc>
        <w:tc>
          <w:tcPr>
            <w:tcW w:w="6006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057F00" w:rsidRPr="000304E8" w:rsidRDefault="008051AE" w:rsidP="008051AE">
            <w:pPr>
              <w:spacing w:before="120"/>
              <w:jc w:val="center"/>
              <w:rPr>
                <w:rStyle w:val="Pantone485"/>
                <w:b/>
                <w:color w:val="FFFFFF" w:themeColor="background1"/>
                <w:lang w:val="es-ES_tradnl"/>
              </w:rPr>
            </w:pPr>
            <w:r w:rsidRPr="000304E8">
              <w:rPr>
                <w:rStyle w:val="Pantone485"/>
                <w:b/>
                <w:color w:val="FFFFFF" w:themeColor="background1"/>
                <w:lang w:val="es-ES_tradnl"/>
              </w:rPr>
              <w:t xml:space="preserve">Estado actual </w:t>
            </w:r>
          </w:p>
        </w:tc>
      </w:tr>
      <w:tr w:rsidR="005B149D" w:rsidRPr="008843F9" w:rsidTr="005B149D">
        <w:tc>
          <w:tcPr>
            <w:tcW w:w="3514" w:type="dxa"/>
            <w:shd w:val="clear" w:color="auto" w:fill="A6A6A6"/>
            <w:vAlign w:val="center"/>
          </w:tcPr>
          <w:p w:rsidR="005B149D" w:rsidRPr="000304E8" w:rsidRDefault="005B149D" w:rsidP="003C2EFE">
            <w:pPr>
              <w:spacing w:before="40" w:after="4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N</w:t>
            </w:r>
            <w:r w:rsidR="003C2EFE" w:rsidRPr="000304E8">
              <w:rPr>
                <w:rFonts w:cstheme="minorHAnsi"/>
                <w:lang w:val="es-ES_tradnl"/>
              </w:rPr>
              <w:t xml:space="preserve">o se ha </w:t>
            </w:r>
            <w:r w:rsidRPr="000304E8">
              <w:rPr>
                <w:rFonts w:cstheme="minorHAnsi"/>
                <w:lang w:val="es-ES_tradnl"/>
              </w:rPr>
              <w:t>hecho</w:t>
            </w:r>
            <w:r w:rsidR="003C2EFE" w:rsidRPr="000304E8">
              <w:rPr>
                <w:rFonts w:cstheme="minorHAnsi"/>
                <w:lang w:val="es-ES_tradnl"/>
              </w:rPr>
              <w:t xml:space="preserve"> nada</w:t>
            </w:r>
          </w:p>
        </w:tc>
        <w:tc>
          <w:tcPr>
            <w:tcW w:w="6006" w:type="dxa"/>
            <w:shd w:val="clear" w:color="auto" w:fill="E6E6E6"/>
          </w:tcPr>
          <w:p w:rsidR="005B149D" w:rsidRPr="000304E8" w:rsidRDefault="005B149D" w:rsidP="005B149D">
            <w:pPr>
              <w:jc w:val="left"/>
              <w:rPr>
                <w:lang w:val="es-ES_tradnl"/>
              </w:rPr>
            </w:pPr>
            <w:r w:rsidRPr="000304E8">
              <w:rPr>
                <w:rStyle w:val="hps"/>
                <w:rFonts w:cs="Arial"/>
                <w:color w:val="222222"/>
                <w:lang w:val="es-ES_tradnl"/>
              </w:rPr>
              <w:t>No existe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n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ada en esta área y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no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se ha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hecho ningún progreso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para desarrollarlo</w:t>
            </w:r>
            <w:r w:rsidRPr="000304E8">
              <w:rPr>
                <w:rFonts w:cs="Arial"/>
                <w:color w:val="222222"/>
                <w:lang w:val="es-ES_tradnl"/>
              </w:rPr>
              <w:br/>
            </w:r>
          </w:p>
        </w:tc>
      </w:tr>
      <w:tr w:rsidR="005B149D" w:rsidRPr="008843F9" w:rsidTr="005B149D">
        <w:trPr>
          <w:trHeight w:val="20"/>
        </w:trPr>
        <w:tc>
          <w:tcPr>
            <w:tcW w:w="3514" w:type="dxa"/>
            <w:shd w:val="clear" w:color="auto" w:fill="A6A6A6"/>
            <w:vAlign w:val="center"/>
          </w:tcPr>
          <w:p w:rsidR="005B149D" w:rsidRPr="000304E8" w:rsidRDefault="00F64CC7" w:rsidP="00F64CC7">
            <w:pPr>
              <w:spacing w:before="40" w:after="4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Deficiencias</w:t>
            </w:r>
            <w:r w:rsidR="005B149D" w:rsidRPr="000304E8">
              <w:rPr>
                <w:rFonts w:cstheme="minorHAnsi"/>
                <w:lang w:val="es-ES_tradnl"/>
              </w:rPr>
              <w:t xml:space="preserve"> </w:t>
            </w:r>
            <w:r w:rsidRPr="000304E8">
              <w:rPr>
                <w:rFonts w:cstheme="minorHAnsi"/>
                <w:lang w:val="es-ES_tradnl"/>
              </w:rPr>
              <w:t xml:space="preserve">conocidas/Están siendo </w:t>
            </w:r>
            <w:r w:rsidR="005B149D" w:rsidRPr="000304E8">
              <w:rPr>
                <w:rFonts w:cstheme="minorHAnsi"/>
                <w:lang w:val="es-ES_tradnl"/>
              </w:rPr>
              <w:t>identificadas</w:t>
            </w:r>
          </w:p>
        </w:tc>
        <w:tc>
          <w:tcPr>
            <w:tcW w:w="6006" w:type="dxa"/>
            <w:shd w:val="clear" w:color="auto" w:fill="E6E6E6"/>
          </w:tcPr>
          <w:p w:rsidR="005B149D" w:rsidRPr="000304E8" w:rsidRDefault="005B149D" w:rsidP="005B149D">
            <w:pPr>
              <w:rPr>
                <w:lang w:val="es-ES_tradnl"/>
              </w:rPr>
            </w:pPr>
            <w:r w:rsidRPr="000304E8">
              <w:rPr>
                <w:rStyle w:val="hps"/>
                <w:rFonts w:cs="Arial"/>
                <w:color w:val="222222"/>
                <w:lang w:val="es-ES_tradnl"/>
              </w:rPr>
              <w:t xml:space="preserve">Las deficiencias están siendo identificadas y/o han sido reconocidas </w:t>
            </w:r>
            <w:r w:rsidRPr="000304E8">
              <w:rPr>
                <w:rFonts w:cs="Arial"/>
                <w:color w:val="222222"/>
                <w:lang w:val="es-ES_tradnl"/>
              </w:rPr>
              <w:br/>
            </w:r>
          </w:p>
        </w:tc>
      </w:tr>
      <w:tr w:rsidR="005B149D" w:rsidRPr="008843F9" w:rsidTr="005B149D">
        <w:tc>
          <w:tcPr>
            <w:tcW w:w="3514" w:type="dxa"/>
            <w:shd w:val="clear" w:color="auto" w:fill="A6A6A6"/>
            <w:vAlign w:val="center"/>
          </w:tcPr>
          <w:p w:rsidR="005B149D" w:rsidRPr="000304E8" w:rsidRDefault="005B149D" w:rsidP="005B149D">
            <w:pPr>
              <w:spacing w:before="40" w:after="4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Etapas iniciales/compromiso</w:t>
            </w:r>
          </w:p>
        </w:tc>
        <w:tc>
          <w:tcPr>
            <w:tcW w:w="6006" w:type="dxa"/>
            <w:shd w:val="clear" w:color="auto" w:fill="E6E6E6"/>
          </w:tcPr>
          <w:p w:rsidR="005B149D" w:rsidRPr="000304E8" w:rsidRDefault="005B149D" w:rsidP="005B149D">
            <w:pPr>
              <w:rPr>
                <w:lang w:val="es-ES_tradnl"/>
              </w:rPr>
            </w:pPr>
            <w:r w:rsidRPr="000304E8">
              <w:rPr>
                <w:rStyle w:val="hps"/>
                <w:rFonts w:cs="Arial"/>
                <w:color w:val="222222"/>
                <w:lang w:val="es-ES_tradnl"/>
              </w:rPr>
              <w:t>No se ha hecho nada tangible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,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pero se conocen las deficiencias y hay planes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en marcha para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solventarlas </w:t>
            </w:r>
            <w:r w:rsidRPr="000304E8">
              <w:rPr>
                <w:rFonts w:cs="Arial"/>
                <w:color w:val="222222"/>
                <w:lang w:val="es-ES_tradnl"/>
              </w:rPr>
              <w:br/>
            </w:r>
          </w:p>
        </w:tc>
      </w:tr>
      <w:tr w:rsidR="005B149D" w:rsidRPr="008843F9" w:rsidTr="005B149D">
        <w:tc>
          <w:tcPr>
            <w:tcW w:w="3514" w:type="dxa"/>
            <w:shd w:val="clear" w:color="auto" w:fill="A6A6A6"/>
            <w:vAlign w:val="center"/>
          </w:tcPr>
          <w:p w:rsidR="005B149D" w:rsidRPr="000304E8" w:rsidRDefault="005B149D" w:rsidP="005B149D">
            <w:pPr>
              <w:spacing w:before="40" w:after="4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Buen progreso</w:t>
            </w:r>
          </w:p>
        </w:tc>
        <w:tc>
          <w:tcPr>
            <w:tcW w:w="6006" w:type="dxa"/>
            <w:shd w:val="clear" w:color="auto" w:fill="E6E6E6"/>
          </w:tcPr>
          <w:p w:rsidR="005B149D" w:rsidRPr="000304E8" w:rsidRDefault="005B149D" w:rsidP="005B149D">
            <w:pPr>
              <w:rPr>
                <w:lang w:val="es-ES_tradnl"/>
              </w:rPr>
            </w:pPr>
            <w:r w:rsidRPr="000304E8">
              <w:rPr>
                <w:rStyle w:val="hps"/>
                <w:rFonts w:cs="Arial"/>
                <w:color w:val="222222"/>
                <w:lang w:val="es-ES_tradnl"/>
              </w:rPr>
              <w:t xml:space="preserve">Se ha hecho una labor notable, pero aún se requiere más trabajo </w:t>
            </w:r>
            <w:r w:rsidRPr="000304E8">
              <w:rPr>
                <w:rFonts w:cs="Arial"/>
                <w:color w:val="222222"/>
                <w:lang w:val="es-ES_tradnl"/>
              </w:rPr>
              <w:br/>
            </w:r>
          </w:p>
        </w:tc>
      </w:tr>
      <w:tr w:rsidR="005B149D" w:rsidRPr="008843F9" w:rsidTr="005B149D">
        <w:tc>
          <w:tcPr>
            <w:tcW w:w="3514" w:type="dxa"/>
            <w:shd w:val="clear" w:color="auto" w:fill="A6A6A6"/>
            <w:vAlign w:val="center"/>
          </w:tcPr>
          <w:p w:rsidR="005B149D" w:rsidRPr="000304E8" w:rsidRDefault="00F64CC7" w:rsidP="005B149D">
            <w:pPr>
              <w:spacing w:before="40" w:after="4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Casi completo</w:t>
            </w:r>
            <w:r w:rsidR="005B149D" w:rsidRPr="000304E8">
              <w:rPr>
                <w:rFonts w:cstheme="minorHAnsi"/>
                <w:lang w:val="es-ES_tradnl"/>
              </w:rPr>
              <w:t>/consistente</w:t>
            </w:r>
          </w:p>
        </w:tc>
        <w:tc>
          <w:tcPr>
            <w:tcW w:w="6006" w:type="dxa"/>
            <w:shd w:val="clear" w:color="auto" w:fill="E6E6E6"/>
          </w:tcPr>
          <w:p w:rsidR="005B149D" w:rsidRPr="000304E8" w:rsidRDefault="005B149D" w:rsidP="005B149D">
            <w:pPr>
              <w:rPr>
                <w:lang w:val="es-ES_tradnl"/>
              </w:rPr>
            </w:pPr>
            <w:r w:rsidRPr="000304E8">
              <w:rPr>
                <w:rStyle w:val="hps"/>
                <w:rFonts w:cs="Arial"/>
                <w:color w:val="222222"/>
                <w:lang w:val="es-ES_tradnl"/>
              </w:rPr>
              <w:t>Casi todo está desarrollado, pero hay algunas deficiencias como la firma final o la aprobación por parte de la gerencia</w:t>
            </w:r>
          </w:p>
        </w:tc>
      </w:tr>
      <w:tr w:rsidR="005B149D" w:rsidRPr="008843F9" w:rsidTr="005B149D">
        <w:tc>
          <w:tcPr>
            <w:tcW w:w="3514" w:type="dxa"/>
            <w:shd w:val="clear" w:color="auto" w:fill="A6A6A6"/>
            <w:vAlign w:val="center"/>
          </w:tcPr>
          <w:p w:rsidR="005B149D" w:rsidRPr="000304E8" w:rsidRDefault="005B149D" w:rsidP="005B149D">
            <w:pPr>
              <w:spacing w:before="40" w:after="4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Style w:val="hps"/>
                <w:rFonts w:cs="Arial"/>
                <w:color w:val="222222"/>
                <w:lang w:val="es-ES_tradnl"/>
              </w:rPr>
              <w:t xml:space="preserve">Práctica </w:t>
            </w:r>
            <w:r w:rsidR="000304E8" w:rsidRPr="000304E8">
              <w:rPr>
                <w:rStyle w:val="hps"/>
                <w:rFonts w:cs="Arial"/>
                <w:color w:val="222222"/>
                <w:lang w:val="es-ES_tradnl"/>
              </w:rPr>
              <w:t>estandarizada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/incorporado</w:t>
            </w:r>
          </w:p>
        </w:tc>
        <w:tc>
          <w:tcPr>
            <w:tcW w:w="6006" w:type="dxa"/>
            <w:shd w:val="clear" w:color="auto" w:fill="E6E6E6"/>
          </w:tcPr>
          <w:p w:rsidR="005B149D" w:rsidRPr="000304E8" w:rsidRDefault="005B149D" w:rsidP="003C4910">
            <w:pPr>
              <w:jc w:val="left"/>
              <w:rPr>
                <w:lang w:val="es-ES_tradnl"/>
              </w:rPr>
            </w:pPr>
            <w:r w:rsidRPr="000304E8">
              <w:rPr>
                <w:rStyle w:val="hps"/>
                <w:rFonts w:cs="Arial"/>
                <w:color w:val="222222"/>
                <w:lang w:val="es-ES_tradnl"/>
              </w:rPr>
              <w:t>Las herramientas</w:t>
            </w:r>
            <w:r w:rsidR="003C4910" w:rsidRPr="000304E8">
              <w:rPr>
                <w:rStyle w:val="hps"/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/las políticas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="003C4910" w:rsidRPr="000304E8">
              <w:rPr>
                <w:rStyle w:val="hps"/>
                <w:rFonts w:cs="Arial"/>
                <w:color w:val="222222"/>
                <w:lang w:val="es-ES_tradnl"/>
              </w:rPr>
              <w:t>/el personal</w:t>
            </w:r>
            <w:r w:rsidR="000304E8">
              <w:rPr>
                <w:rStyle w:val="hps"/>
                <w:rFonts w:cs="Arial"/>
                <w:color w:val="222222"/>
                <w:lang w:val="es-ES_tradnl"/>
              </w:rPr>
              <w:t>,</w:t>
            </w:r>
            <w:r w:rsidR="003C4910" w:rsidRPr="000304E8">
              <w:rPr>
                <w:rStyle w:val="hps"/>
                <w:rFonts w:cs="Arial"/>
                <w:color w:val="222222"/>
                <w:lang w:val="es-ES_tradnl"/>
              </w:rPr>
              <w:t xml:space="preserve"> están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 xml:space="preserve"> operativos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-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no se requiere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 xml:space="preserve">un mayor desarrollo </w:t>
            </w:r>
            <w:r w:rsidRPr="000304E8">
              <w:rPr>
                <w:rFonts w:cs="Arial"/>
                <w:color w:val="222222"/>
                <w:lang w:val="es-ES_tradnl"/>
              </w:rPr>
              <w:br/>
            </w:r>
          </w:p>
        </w:tc>
      </w:tr>
    </w:tbl>
    <w:p w:rsidR="00D73D20" w:rsidRPr="000304E8" w:rsidRDefault="00D73D20" w:rsidP="00D54B28">
      <w:pPr>
        <w:spacing w:after="0"/>
        <w:rPr>
          <w:rFonts w:cstheme="minorHAnsi"/>
          <w:lang w:val="es-ES_tradnl"/>
        </w:rPr>
      </w:pPr>
    </w:p>
    <w:p w:rsidR="00525171" w:rsidRPr="000304E8" w:rsidRDefault="00525171" w:rsidP="00D54B28">
      <w:pPr>
        <w:spacing w:after="0"/>
        <w:rPr>
          <w:rFonts w:cstheme="minorHAnsi"/>
          <w:lang w:val="es-ES_tradnl"/>
        </w:rPr>
      </w:pPr>
    </w:p>
    <w:p w:rsidR="00525171" w:rsidRPr="000304E8" w:rsidRDefault="003C4910" w:rsidP="00D54B28">
      <w:pPr>
        <w:spacing w:after="0"/>
        <w:rPr>
          <w:rFonts w:cstheme="minorHAnsi"/>
          <w:lang w:val="es-ES_tradnl"/>
        </w:rPr>
      </w:pPr>
      <w:r w:rsidRPr="000304E8">
        <w:rPr>
          <w:rFonts w:cstheme="minorHAnsi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A477F80" wp14:editId="03F328F2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2676525" cy="3409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E04" w:rsidRPr="008843F9" w:rsidRDefault="008B4E04" w:rsidP="00D54B28">
                            <w:pPr>
                              <w:spacing w:after="360"/>
                              <w:jc w:val="center"/>
                              <w:rPr>
                                <w:lang w:val="es-ES_tradnl"/>
                              </w:rPr>
                            </w:pPr>
                            <w:r w:rsidRPr="008843F9">
                              <w:rPr>
                                <w:b/>
                                <w:bCs/>
                                <w:lang w:val="es-ES_tradnl"/>
                              </w:rPr>
                              <w:t xml:space="preserve">Gráfico 1. Ejemplo </w:t>
                            </w:r>
                            <w:r w:rsidR="0013632D" w:rsidRPr="008843F9">
                              <w:rPr>
                                <w:b/>
                                <w:bCs/>
                                <w:lang w:val="es-ES_tradnl"/>
                              </w:rPr>
                              <w:t>de gráfico</w:t>
                            </w:r>
                            <w:r w:rsidRPr="008843F9">
                              <w:rPr>
                                <w:b/>
                                <w:bCs/>
                                <w:lang w:val="es-ES_tradnl"/>
                              </w:rPr>
                              <w:t xml:space="preserve"> de araña</w:t>
                            </w:r>
                          </w:p>
                          <w:p w:rsidR="008B4E04" w:rsidRPr="008843F9" w:rsidRDefault="008B4E0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77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35pt;width:210.75pt;height:26.85pt;z-index:2516613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" filled="f" stroked="f">
                <v:textbox>
                  <w:txbxContent>
                    <w:p w:rsidR="008B4E04" w:rsidRPr="008843F9" w:rsidRDefault="008B4E04" w:rsidP="00D54B28">
                      <w:pPr>
                        <w:spacing w:after="360"/>
                        <w:jc w:val="center"/>
                        <w:rPr>
                          <w:lang w:val="es-ES_tradnl"/>
                        </w:rPr>
                      </w:pPr>
                      <w:r w:rsidRPr="008843F9">
                        <w:rPr>
                          <w:b/>
                          <w:bCs/>
                          <w:lang w:val="es-ES_tradnl"/>
                        </w:rPr>
                        <w:t xml:space="preserve">Gráfico 1. Ejemplo </w:t>
                      </w:r>
                      <w:r w:rsidR="0013632D" w:rsidRPr="008843F9">
                        <w:rPr>
                          <w:b/>
                          <w:bCs/>
                          <w:lang w:val="es-ES_tradnl"/>
                        </w:rPr>
                        <w:t>de gráfico</w:t>
                      </w:r>
                      <w:r w:rsidRPr="008843F9">
                        <w:rPr>
                          <w:b/>
                          <w:bCs/>
                          <w:lang w:val="es-ES_tradnl"/>
                        </w:rPr>
                        <w:t xml:space="preserve"> de araña</w:t>
                      </w:r>
                    </w:p>
                    <w:p w:rsidR="008B4E04" w:rsidRPr="008843F9" w:rsidRDefault="008B4E0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011" w:rsidRPr="000304E8" w:rsidRDefault="00203011" w:rsidP="00D54B28">
      <w:pPr>
        <w:spacing w:after="0"/>
        <w:rPr>
          <w:rFonts w:cstheme="minorHAnsi"/>
          <w:lang w:val="es-ES_tradnl"/>
        </w:rPr>
      </w:pPr>
    </w:p>
    <w:p w:rsidR="003C4910" w:rsidRPr="000304E8" w:rsidRDefault="008843F9" w:rsidP="003C4910">
      <w:pPr>
        <w:ind w:left="4820"/>
        <w:rPr>
          <w:rFonts w:cstheme="minorHAnsi"/>
          <w:lang w:val="es-ES_tradnl"/>
        </w:rPr>
      </w:pPr>
      <w:r w:rsidRPr="008843F9">
        <w:rPr>
          <w:rFonts w:cstheme="minorHAnsi"/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B1EC18" wp14:editId="7ABB23C4">
                <wp:simplePos x="0" y="0"/>
                <wp:positionH relativeFrom="column">
                  <wp:posOffset>2156460</wp:posOffset>
                </wp:positionH>
                <wp:positionV relativeFrom="paragraph">
                  <wp:posOffset>956945</wp:posOffset>
                </wp:positionV>
                <wp:extent cx="756000" cy="287655"/>
                <wp:effectExtent l="0" t="0" r="635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F9" w:rsidRDefault="008843F9" w:rsidP="008843F9">
                            <w:pPr>
                              <w:spacing w:after="0"/>
                              <w:jc w:val="center"/>
                              <w:rPr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sz w:val="14"/>
                                <w:lang w:val="es-ES_tradnl"/>
                              </w:rPr>
                              <w:t>Herramientas</w:t>
                            </w:r>
                          </w:p>
                          <w:p w:rsidR="008843F9" w:rsidRPr="008843F9" w:rsidRDefault="008843F9" w:rsidP="008843F9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lang w:val="es-ES_tradnl"/>
                              </w:rPr>
                              <w:t xml:space="preserve"> de programas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EC18" id="_x0000_s1027" type="#_x0000_t202" style="position:absolute;left:0;text-align:left;margin-left:169.8pt;margin-top:75.35pt;width:59.55pt;height:22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" stroked="f">
                <v:textbox inset="0,0,0,0">
                  <w:txbxContent>
                    <w:p w:rsidR="008843F9" w:rsidRDefault="008843F9" w:rsidP="008843F9">
                      <w:pPr>
                        <w:spacing w:after="0"/>
                        <w:jc w:val="center"/>
                        <w:rPr>
                          <w:sz w:val="14"/>
                          <w:lang w:val="es-ES_tradnl"/>
                        </w:rPr>
                      </w:pPr>
                      <w:r>
                        <w:rPr>
                          <w:sz w:val="14"/>
                          <w:lang w:val="es-ES_tradnl"/>
                        </w:rPr>
                        <w:t>Herramientas</w:t>
                      </w:r>
                    </w:p>
                    <w:p w:rsidR="008843F9" w:rsidRPr="008843F9" w:rsidRDefault="008843F9" w:rsidP="008843F9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  <w:lang w:val="es-ES_tradnl"/>
                        </w:rPr>
                        <w:t xml:space="preserve"> de programas</w:t>
                      </w:r>
                    </w:p>
                  </w:txbxContent>
                </v:textbox>
              </v:shape>
            </w:pict>
          </mc:Fallback>
        </mc:AlternateContent>
      </w:r>
      <w:r w:rsidRPr="008843F9">
        <w:rPr>
          <w:rFonts w:cstheme="minorHAnsi"/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603AA6" wp14:editId="51B6C374">
                <wp:simplePos x="0" y="0"/>
                <wp:positionH relativeFrom="column">
                  <wp:posOffset>-72390</wp:posOffset>
                </wp:positionH>
                <wp:positionV relativeFrom="paragraph">
                  <wp:posOffset>899795</wp:posOffset>
                </wp:positionV>
                <wp:extent cx="838200" cy="49720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F9" w:rsidRDefault="008843F9" w:rsidP="008843F9">
                            <w:pPr>
                              <w:spacing w:after="0"/>
                              <w:jc w:val="center"/>
                              <w:rPr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sz w:val="14"/>
                                <w:lang w:val="es-ES_tradnl"/>
                              </w:rPr>
                              <w:t>Comunicación</w:t>
                            </w:r>
                          </w:p>
                          <w:p w:rsidR="008843F9" w:rsidRDefault="008843F9" w:rsidP="008843F9">
                            <w:pPr>
                              <w:spacing w:after="0"/>
                              <w:jc w:val="center"/>
                              <w:rPr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sz w:val="14"/>
                                <w:lang w:val="es-ES_tradnl"/>
                              </w:rPr>
                              <w:t xml:space="preserve"> y </w:t>
                            </w:r>
                          </w:p>
                          <w:p w:rsidR="008843F9" w:rsidRPr="008843F9" w:rsidRDefault="008843F9" w:rsidP="008843F9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lang w:val="es-ES_tradnl"/>
                              </w:rPr>
                              <w:t>coordinación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3AA6" id="_x0000_s1028" type="#_x0000_t202" style="position:absolute;left:0;text-align:left;margin-left:-5.7pt;margin-top:70.85pt;width:66pt;height:39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" stroked="f">
                <v:textbox inset="0,0,0,0">
                  <w:txbxContent>
                    <w:p w:rsidR="008843F9" w:rsidRDefault="008843F9" w:rsidP="008843F9">
                      <w:pPr>
                        <w:spacing w:after="0"/>
                        <w:jc w:val="center"/>
                        <w:rPr>
                          <w:sz w:val="14"/>
                          <w:lang w:val="es-ES_tradnl"/>
                        </w:rPr>
                      </w:pPr>
                      <w:r>
                        <w:rPr>
                          <w:sz w:val="14"/>
                          <w:lang w:val="es-ES_tradnl"/>
                        </w:rPr>
                        <w:t>Comunicación</w:t>
                      </w:r>
                    </w:p>
                    <w:p w:rsidR="008843F9" w:rsidRDefault="008843F9" w:rsidP="008843F9">
                      <w:pPr>
                        <w:spacing w:after="0"/>
                        <w:jc w:val="center"/>
                        <w:rPr>
                          <w:sz w:val="14"/>
                          <w:lang w:val="es-ES_tradnl"/>
                        </w:rPr>
                      </w:pPr>
                      <w:r>
                        <w:rPr>
                          <w:sz w:val="14"/>
                          <w:lang w:val="es-ES_tradnl"/>
                        </w:rPr>
                        <w:t xml:space="preserve"> y </w:t>
                      </w:r>
                    </w:p>
                    <w:p w:rsidR="008843F9" w:rsidRPr="008843F9" w:rsidRDefault="008843F9" w:rsidP="008843F9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  <w:lang w:val="es-ES_tradnl"/>
                        </w:rPr>
                        <w:t>coordinación</w:t>
                      </w:r>
                    </w:p>
                  </w:txbxContent>
                </v:textbox>
              </v:shape>
            </w:pict>
          </mc:Fallback>
        </mc:AlternateContent>
      </w:r>
      <w:r w:rsidRPr="008843F9">
        <w:rPr>
          <w:rFonts w:cstheme="minorHAnsi"/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FB1204" wp14:editId="61EF090E">
                <wp:simplePos x="0" y="0"/>
                <wp:positionH relativeFrom="column">
                  <wp:posOffset>1051560</wp:posOffset>
                </wp:positionH>
                <wp:positionV relativeFrom="paragraph">
                  <wp:posOffset>128270</wp:posOffset>
                </wp:positionV>
                <wp:extent cx="838200" cy="288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F9" w:rsidRDefault="008843F9" w:rsidP="008843F9">
                            <w:pPr>
                              <w:spacing w:after="0"/>
                              <w:jc w:val="center"/>
                              <w:rPr>
                                <w:sz w:val="14"/>
                                <w:lang w:val="es-ES_tradnl"/>
                              </w:rPr>
                            </w:pPr>
                            <w:r w:rsidRPr="008843F9">
                              <w:rPr>
                                <w:sz w:val="14"/>
                                <w:lang w:val="es-ES_tradnl"/>
                              </w:rPr>
                              <w:t xml:space="preserve">Sistemas </w:t>
                            </w:r>
                          </w:p>
                          <w:p w:rsidR="008843F9" w:rsidRPr="008843F9" w:rsidRDefault="008843F9" w:rsidP="008843F9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8843F9">
                              <w:rPr>
                                <w:sz w:val="14"/>
                                <w:lang w:val="es-ES_tradnl"/>
                              </w:rPr>
                              <w:t>adecuados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1204" id="_x0000_s1029" type="#_x0000_t202" style="position:absolute;left:0;text-align:left;margin-left:82.8pt;margin-top:10.1pt;width:66pt;height:22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" stroked="f">
                <v:textbox inset="0,0,0,0">
                  <w:txbxContent>
                    <w:p w:rsidR="008843F9" w:rsidRDefault="008843F9" w:rsidP="008843F9">
                      <w:pPr>
                        <w:spacing w:after="0"/>
                        <w:jc w:val="center"/>
                        <w:rPr>
                          <w:sz w:val="14"/>
                          <w:lang w:val="es-ES_tradnl"/>
                        </w:rPr>
                      </w:pPr>
                      <w:r w:rsidRPr="008843F9">
                        <w:rPr>
                          <w:sz w:val="14"/>
                          <w:lang w:val="es-ES_tradnl"/>
                        </w:rPr>
                        <w:t xml:space="preserve">Sistemas </w:t>
                      </w:r>
                    </w:p>
                    <w:p w:rsidR="008843F9" w:rsidRPr="008843F9" w:rsidRDefault="008843F9" w:rsidP="008843F9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8843F9">
                        <w:rPr>
                          <w:sz w:val="14"/>
                          <w:lang w:val="es-ES_tradnl"/>
                        </w:rPr>
                        <w:t>adecuados</w:t>
                      </w:r>
                    </w:p>
                  </w:txbxContent>
                </v:textbox>
              </v:shape>
            </w:pict>
          </mc:Fallback>
        </mc:AlternateContent>
      </w:r>
      <w:r w:rsidR="00D54B28" w:rsidRPr="000304E8">
        <w:rPr>
          <w:rFonts w:cstheme="minorHAnsi"/>
          <w:noProof/>
          <w:lang w:val="es-ES_tradnl" w:eastAsia="es-ES_tradnl"/>
        </w:rPr>
        <w:drawing>
          <wp:anchor distT="0" distB="0" distL="114300" distR="114300" simplePos="0" relativeHeight="251659263" behindDoc="0" locked="0" layoutInCell="1" allowOverlap="1" wp14:anchorId="2A3B439E" wp14:editId="3E9DBC98">
            <wp:simplePos x="0" y="0"/>
            <wp:positionH relativeFrom="column">
              <wp:posOffset>3175</wp:posOffset>
            </wp:positionH>
            <wp:positionV relativeFrom="paragraph">
              <wp:posOffset>101600</wp:posOffset>
            </wp:positionV>
            <wp:extent cx="2924175" cy="2078355"/>
            <wp:effectExtent l="0" t="0" r="9525" b="1714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910" w:rsidRPr="000304E8">
        <w:rPr>
          <w:rFonts w:cstheme="minorHAnsi"/>
          <w:lang w:val="es-ES_tradnl"/>
        </w:rPr>
        <w:t xml:space="preserve">Las puntuaciones deben ser introducidas en la plantilla de puntuación complementaria para presentar los resultados en forma de gráfico de araña, y así </w:t>
      </w:r>
      <w:r w:rsidR="000304E8" w:rsidRPr="000304E8">
        <w:rPr>
          <w:rFonts w:cstheme="minorHAnsi"/>
          <w:lang w:val="es-ES_tradnl"/>
        </w:rPr>
        <w:t>poder observar</w:t>
      </w:r>
      <w:r w:rsidR="003C4910" w:rsidRPr="000304E8">
        <w:rPr>
          <w:rFonts w:cstheme="minorHAnsi"/>
          <w:lang w:val="es-ES_tradnl"/>
        </w:rPr>
        <w:t xml:space="preserve"> de manera visual, los puntos fuertes y las deficiencias. Se pueden encontrar más detalles sobre el uso de la plantilla de puntuación </w:t>
      </w:r>
      <w:r w:rsidR="001B7972" w:rsidRPr="000304E8">
        <w:rPr>
          <w:rFonts w:cstheme="minorHAnsi"/>
          <w:lang w:val="es-ES_tradnl"/>
        </w:rPr>
        <w:t xml:space="preserve">para la autoevaluación </w:t>
      </w:r>
      <w:r w:rsidR="003C4910" w:rsidRPr="000304E8">
        <w:rPr>
          <w:rFonts w:cstheme="minorHAnsi"/>
          <w:lang w:val="es-ES_tradnl"/>
        </w:rPr>
        <w:t>en la pestaña de "instrucciones" en el archivo de E</w:t>
      </w:r>
      <w:r w:rsidR="000304E8">
        <w:rPr>
          <w:rFonts w:cstheme="minorHAnsi"/>
          <w:lang w:val="es-ES_tradnl"/>
        </w:rPr>
        <w:t>XCEL</w:t>
      </w:r>
      <w:r w:rsidR="003C4910" w:rsidRPr="000304E8">
        <w:rPr>
          <w:rFonts w:cstheme="minorHAnsi"/>
          <w:lang w:val="es-ES_tradnl"/>
        </w:rPr>
        <w:t>.</w:t>
      </w:r>
    </w:p>
    <w:p w:rsidR="00D54B28" w:rsidRPr="000304E8" w:rsidRDefault="008843F9" w:rsidP="003C4910">
      <w:pPr>
        <w:ind w:left="4820"/>
        <w:rPr>
          <w:rFonts w:cstheme="minorHAnsi"/>
          <w:lang w:val="es-ES_tradnl"/>
        </w:rPr>
      </w:pPr>
      <w:r w:rsidRPr="008843F9">
        <w:rPr>
          <w:rFonts w:cstheme="minorHAnsi"/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60DE04" wp14:editId="313200F1">
                <wp:simplePos x="0" y="0"/>
                <wp:positionH relativeFrom="column">
                  <wp:posOffset>1042035</wp:posOffset>
                </wp:positionH>
                <wp:positionV relativeFrom="paragraph">
                  <wp:posOffset>626745</wp:posOffset>
                </wp:positionV>
                <wp:extent cx="838200" cy="288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F9" w:rsidRDefault="008843F9" w:rsidP="008843F9">
                            <w:pPr>
                              <w:spacing w:after="0"/>
                              <w:jc w:val="center"/>
                              <w:rPr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sz w:val="14"/>
                                <w:lang w:val="es-ES_tradnl"/>
                              </w:rPr>
                              <w:t>Recursos y</w:t>
                            </w:r>
                          </w:p>
                          <w:p w:rsidR="008843F9" w:rsidRPr="008843F9" w:rsidRDefault="008843F9" w:rsidP="008843F9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lang w:val="es-ES_tradnl"/>
                              </w:rPr>
                              <w:t>capacidades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DE04" id="_x0000_s1030" type="#_x0000_t202" style="position:absolute;left:0;text-align:left;margin-left:82.05pt;margin-top:49.35pt;width:66pt;height:22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" stroked="f">
                <v:textbox inset="0,0,0,0">
                  <w:txbxContent>
                    <w:p w:rsidR="008843F9" w:rsidRDefault="008843F9" w:rsidP="008843F9">
                      <w:pPr>
                        <w:spacing w:after="0"/>
                        <w:jc w:val="center"/>
                        <w:rPr>
                          <w:sz w:val="14"/>
                          <w:lang w:val="es-ES_tradnl"/>
                        </w:rPr>
                      </w:pPr>
                      <w:r>
                        <w:rPr>
                          <w:sz w:val="14"/>
                          <w:lang w:val="es-ES_tradnl"/>
                        </w:rPr>
                        <w:t>Recursos y</w:t>
                      </w:r>
                    </w:p>
                    <w:p w:rsidR="008843F9" w:rsidRPr="008843F9" w:rsidRDefault="008843F9" w:rsidP="008843F9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  <w:lang w:val="es-ES_tradnl"/>
                        </w:rPr>
                        <w:t>capacidades</w:t>
                      </w:r>
                    </w:p>
                  </w:txbxContent>
                </v:textbox>
              </v:shape>
            </w:pict>
          </mc:Fallback>
        </mc:AlternateContent>
      </w:r>
      <w:r w:rsidR="003C4910" w:rsidRPr="000304E8">
        <w:rPr>
          <w:rFonts w:cstheme="minorHAnsi"/>
          <w:lang w:val="es-ES_tradnl"/>
        </w:rPr>
        <w:t xml:space="preserve">Con la presentación del gráfico y las conclusiones a las principales partes interesadas, la Sociedad Nacional puede generar una lista exhaustiva de las actividades necesarias para poder fortalecer la capacidad específica para PTE. </w:t>
      </w:r>
    </w:p>
    <w:p w:rsidR="00290977" w:rsidRPr="000304E8" w:rsidRDefault="00290977" w:rsidP="005F1360">
      <w:pPr>
        <w:pStyle w:val="Heading3"/>
        <w:rPr>
          <w:lang w:val="es-ES_tradnl"/>
        </w:rPr>
      </w:pPr>
    </w:p>
    <w:p w:rsidR="00290977" w:rsidRPr="000304E8" w:rsidRDefault="00290977" w:rsidP="005F1360">
      <w:pPr>
        <w:pStyle w:val="Heading3"/>
        <w:rPr>
          <w:lang w:val="es-ES_tradnl"/>
        </w:rPr>
      </w:pPr>
    </w:p>
    <w:p w:rsidR="00315DB0" w:rsidRPr="000304E8" w:rsidRDefault="000637FC" w:rsidP="005F1360">
      <w:pPr>
        <w:pStyle w:val="Heading3"/>
        <w:rPr>
          <w:lang w:val="es-ES_tradnl"/>
        </w:rPr>
      </w:pPr>
      <w:r w:rsidRPr="000304E8">
        <w:rPr>
          <w:lang w:val="es-ES_tradnl"/>
        </w:rPr>
        <w:t xml:space="preserve">4. </w:t>
      </w:r>
      <w:r w:rsidR="003C4910" w:rsidRPr="000304E8">
        <w:rPr>
          <w:rFonts w:cstheme="minorHAnsi"/>
          <w:lang w:val="es-ES_tradnl"/>
        </w:rPr>
        <w:t xml:space="preserve">Desarrollar el Plan de acción </w:t>
      </w:r>
    </w:p>
    <w:p w:rsidR="003C4910" w:rsidRPr="000304E8" w:rsidRDefault="003C4910" w:rsidP="003C4910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>Para desarrollar un Plan de acción realista y alcanzable, sus</w:t>
      </w:r>
      <w:r w:rsidR="00FF68B3">
        <w:rPr>
          <w:rFonts w:cstheme="minorHAnsi"/>
          <w:lang w:val="es-ES_tradnl"/>
        </w:rPr>
        <w:t xml:space="preserve"> actividades deben ser detallada</w:t>
      </w:r>
      <w:r w:rsidRPr="000304E8">
        <w:rPr>
          <w:rFonts w:cstheme="minorHAnsi"/>
          <w:lang w:val="es-ES_tradnl"/>
        </w:rPr>
        <w:t xml:space="preserve">s, </w:t>
      </w:r>
      <w:r w:rsidR="00FF68B3" w:rsidRPr="000304E8">
        <w:rPr>
          <w:rFonts w:cstheme="minorHAnsi"/>
          <w:lang w:val="es-ES_tradnl"/>
        </w:rPr>
        <w:t>vinculadas</w:t>
      </w:r>
      <w:r w:rsidRPr="000304E8">
        <w:rPr>
          <w:rFonts w:cstheme="minorHAnsi"/>
          <w:lang w:val="es-ES_tradnl"/>
        </w:rPr>
        <w:t xml:space="preserve"> a un tiempo, con los roles para la implementación y el monitoreo asignados y con una línea presupuestaria para garantizar </w:t>
      </w:r>
      <w:r w:rsidR="000F1059" w:rsidRPr="000304E8">
        <w:rPr>
          <w:rFonts w:cstheme="minorHAnsi"/>
          <w:lang w:val="es-ES_tradnl"/>
        </w:rPr>
        <w:t xml:space="preserve">que </w:t>
      </w:r>
      <w:r w:rsidRPr="000304E8">
        <w:rPr>
          <w:rFonts w:cstheme="minorHAnsi"/>
          <w:lang w:val="es-ES_tradnl"/>
        </w:rPr>
        <w:t>la</w:t>
      </w:r>
      <w:r w:rsidR="000F1059" w:rsidRPr="000304E8">
        <w:rPr>
          <w:rFonts w:cstheme="minorHAnsi"/>
          <w:lang w:val="es-ES_tradnl"/>
        </w:rPr>
        <w:t xml:space="preserve"> financiación está disponible y/</w:t>
      </w:r>
      <w:r w:rsidRPr="000304E8">
        <w:rPr>
          <w:rFonts w:cstheme="minorHAnsi"/>
          <w:lang w:val="es-ES_tradnl"/>
        </w:rPr>
        <w:t>o para recaudar fondos</w:t>
      </w:r>
      <w:r w:rsidR="000F1059" w:rsidRPr="000304E8">
        <w:rPr>
          <w:rFonts w:cstheme="minorHAnsi"/>
          <w:lang w:val="es-ES_tradnl"/>
        </w:rPr>
        <w:t xml:space="preserve">. Las </w:t>
      </w:r>
      <w:r w:rsidR="00FF68B3" w:rsidRPr="000304E8">
        <w:rPr>
          <w:rFonts w:cstheme="minorHAnsi"/>
          <w:lang w:val="es-ES_tradnl"/>
        </w:rPr>
        <w:t>actividades</w:t>
      </w:r>
      <w:r w:rsidR="000F1059" w:rsidRPr="000304E8">
        <w:rPr>
          <w:rFonts w:cstheme="minorHAnsi"/>
          <w:lang w:val="es-ES_tradnl"/>
        </w:rPr>
        <w:t xml:space="preserve"> pueden ser </w:t>
      </w:r>
      <w:r w:rsidR="000F1059" w:rsidRPr="000304E8">
        <w:rPr>
          <w:rFonts w:cstheme="minorHAnsi"/>
          <w:lang w:val="es-ES_tradnl"/>
        </w:rPr>
        <w:lastRenderedPageBreak/>
        <w:t>clasificadas y priorizada</w:t>
      </w:r>
      <w:r w:rsidRPr="000304E8">
        <w:rPr>
          <w:rFonts w:cstheme="minorHAnsi"/>
          <w:lang w:val="es-ES_tradnl"/>
        </w:rPr>
        <w:t xml:space="preserve">s </w:t>
      </w:r>
      <w:r w:rsidR="000F1059" w:rsidRPr="000304E8">
        <w:rPr>
          <w:rFonts w:cstheme="minorHAnsi"/>
          <w:lang w:val="es-ES_tradnl"/>
        </w:rPr>
        <w:t xml:space="preserve">en </w:t>
      </w:r>
      <w:r w:rsidRPr="000304E8">
        <w:rPr>
          <w:rFonts w:cstheme="minorHAnsi"/>
          <w:lang w:val="es-ES_tradnl"/>
        </w:rPr>
        <w:t>bas</w:t>
      </w:r>
      <w:r w:rsidR="000F1059" w:rsidRPr="000304E8">
        <w:rPr>
          <w:rFonts w:cstheme="minorHAnsi"/>
          <w:lang w:val="es-ES_tradnl"/>
        </w:rPr>
        <w:t>e a cuáles son fundamentales en</w:t>
      </w:r>
      <w:r w:rsidRPr="000304E8">
        <w:rPr>
          <w:rFonts w:cstheme="minorHAnsi"/>
          <w:lang w:val="es-ES_tradnl"/>
        </w:rPr>
        <w:t xml:space="preserve"> el contexto y necesidades particulares de la Sociedad Nacional, así como</w:t>
      </w:r>
      <w:r w:rsidR="000F1059" w:rsidRPr="000304E8">
        <w:rPr>
          <w:rFonts w:cstheme="minorHAnsi"/>
          <w:lang w:val="es-ES_tradnl"/>
        </w:rPr>
        <w:t xml:space="preserve"> cuáles son más </w:t>
      </w:r>
      <w:r w:rsidR="00FF68B3" w:rsidRPr="000304E8">
        <w:rPr>
          <w:rFonts w:cstheme="minorHAnsi"/>
          <w:lang w:val="es-ES_tradnl"/>
        </w:rPr>
        <w:t>fáciles</w:t>
      </w:r>
      <w:r w:rsidR="000F1059" w:rsidRPr="000304E8">
        <w:rPr>
          <w:rFonts w:cstheme="minorHAnsi"/>
          <w:lang w:val="es-ES_tradnl"/>
        </w:rPr>
        <w:t xml:space="preserve"> de lograr </w:t>
      </w:r>
      <w:r w:rsidRPr="000304E8">
        <w:rPr>
          <w:rFonts w:cstheme="minorHAnsi"/>
          <w:lang w:val="es-ES_tradnl"/>
        </w:rPr>
        <w:t>en términos de tiempo y recursos.</w:t>
      </w:r>
    </w:p>
    <w:p w:rsidR="003C4910" w:rsidRPr="000304E8" w:rsidRDefault="003C4910" w:rsidP="003C4910">
      <w:pPr>
        <w:rPr>
          <w:rFonts w:cstheme="minorHAnsi"/>
          <w:lang w:val="es-ES_tradnl"/>
        </w:rPr>
      </w:pPr>
      <w:r w:rsidRPr="000304E8">
        <w:rPr>
          <w:rFonts w:cstheme="minorHAnsi"/>
          <w:lang w:val="es-ES_tradnl"/>
        </w:rPr>
        <w:t xml:space="preserve">Siempre que </w:t>
      </w:r>
      <w:r w:rsidR="0055047F" w:rsidRPr="000304E8">
        <w:rPr>
          <w:rFonts w:cstheme="minorHAnsi"/>
          <w:lang w:val="es-ES_tradnl"/>
        </w:rPr>
        <w:t>sea</w:t>
      </w:r>
      <w:r w:rsidRPr="000304E8">
        <w:rPr>
          <w:rFonts w:cstheme="minorHAnsi"/>
          <w:lang w:val="es-ES_tradnl"/>
        </w:rPr>
        <w:t xml:space="preserve"> posible, las ac</w:t>
      </w:r>
      <w:r w:rsidR="000F1059" w:rsidRPr="000304E8">
        <w:rPr>
          <w:rFonts w:cstheme="minorHAnsi"/>
          <w:lang w:val="es-ES_tradnl"/>
        </w:rPr>
        <w:t xml:space="preserve">tividades y los resultados </w:t>
      </w:r>
      <w:r w:rsidRPr="000304E8">
        <w:rPr>
          <w:rFonts w:cstheme="minorHAnsi"/>
          <w:lang w:val="es-ES_tradnl"/>
        </w:rPr>
        <w:t>deben estar alineados con los planes de contingencia y preparación existentes de la Sociedad Nacional.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12505" w:rsidRPr="008843F9" w:rsidTr="000F1059">
        <w:tc>
          <w:tcPr>
            <w:tcW w:w="9638" w:type="dxa"/>
          </w:tcPr>
          <w:p w:rsidR="00912505" w:rsidRPr="000304E8" w:rsidRDefault="000F1059" w:rsidP="000F1059">
            <w:pPr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 xml:space="preserve">Consultar la sección </w:t>
            </w:r>
            <w:r w:rsidR="00912505" w:rsidRPr="000304E8">
              <w:rPr>
                <w:rFonts w:cstheme="minorHAnsi"/>
                <w:lang w:val="es-ES_tradnl"/>
              </w:rPr>
              <w:t xml:space="preserve">4.3 </w:t>
            </w:r>
            <w:r w:rsidRPr="000304E8">
              <w:rPr>
                <w:rFonts w:cstheme="minorHAnsi"/>
                <w:lang w:val="es-ES_tradnl"/>
              </w:rPr>
              <w:t xml:space="preserve">de las </w:t>
            </w:r>
            <w:r w:rsidRPr="000304E8">
              <w:rPr>
                <w:i/>
                <w:lang w:val="es-ES_tradnl"/>
              </w:rPr>
              <w:t>Directrices para la preparación y la integración institucional de Programas de transferencias de dinero en efectivo</w:t>
            </w:r>
            <w:r w:rsidRPr="000304E8">
              <w:rPr>
                <w:lang w:val="es-ES_tradnl"/>
              </w:rPr>
              <w:t xml:space="preserve"> para conocer más detalles sobre cómo desarrollar el Plan de acción de preparación para PTE</w:t>
            </w:r>
            <w:r w:rsidR="00912505" w:rsidRPr="000304E8">
              <w:rPr>
                <w:rFonts w:cstheme="minorHAnsi"/>
                <w:lang w:val="es-ES_tradnl"/>
              </w:rPr>
              <w:t>.</w:t>
            </w:r>
          </w:p>
        </w:tc>
      </w:tr>
    </w:tbl>
    <w:p w:rsidR="00203011" w:rsidRPr="000304E8" w:rsidRDefault="000F1059" w:rsidP="00912505">
      <w:pPr>
        <w:pStyle w:val="Heading3"/>
        <w:rPr>
          <w:sz w:val="28"/>
          <w:szCs w:val="28"/>
          <w:lang w:val="es-ES_tradnl"/>
        </w:rPr>
      </w:pPr>
      <w:r w:rsidRPr="000304E8">
        <w:rPr>
          <w:lang w:val="es-ES_tradnl"/>
        </w:rPr>
        <w:t>Resumen</w:t>
      </w:r>
    </w:p>
    <w:p w:rsidR="00CF13A0" w:rsidRPr="000304E8" w:rsidRDefault="00FF68B3" w:rsidP="00AC0F39">
      <w:pPr>
        <w:spacing w:after="240"/>
        <w:rPr>
          <w:rFonts w:cstheme="minorHAnsi"/>
          <w:lang w:val="es-ES_tradnl"/>
        </w:rPr>
      </w:pPr>
      <w:r>
        <w:rPr>
          <w:rStyle w:val="hps"/>
          <w:rFonts w:cs="Arial"/>
          <w:color w:val="222222"/>
          <w:lang w:val="es-ES"/>
        </w:rPr>
        <w:t>El proceso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debe ser parte de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la preparación para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una actividad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más amplia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y está</w:t>
      </w:r>
      <w:r>
        <w:rPr>
          <w:rFonts w:cs="Arial"/>
          <w:color w:val="222222"/>
          <w:lang w:val="es-ES"/>
        </w:rPr>
        <w:t xml:space="preserve">, por lo tanto, es </w:t>
      </w:r>
      <w:r>
        <w:rPr>
          <w:rStyle w:val="hps"/>
          <w:rFonts w:cs="Arial"/>
          <w:color w:val="222222"/>
          <w:lang w:val="es-ES"/>
        </w:rPr>
        <w:t>iterativo</w:t>
      </w:r>
      <w:r>
        <w:rPr>
          <w:rFonts w:cs="Arial"/>
          <w:color w:val="222222"/>
          <w:lang w:val="es-ES"/>
        </w:rPr>
        <w:t xml:space="preserve"> ya que </w:t>
      </w:r>
      <w:r>
        <w:rPr>
          <w:rStyle w:val="hps"/>
          <w:rFonts w:cs="Arial"/>
          <w:color w:val="222222"/>
          <w:lang w:val="es-ES"/>
        </w:rPr>
        <w:t>las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 xml:space="preserve">actividades de preparación evolucionan a lo largo del tiempo.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65"/>
        <w:gridCol w:w="6155"/>
      </w:tblGrid>
      <w:tr w:rsidR="00AC0F39" w:rsidRPr="000304E8" w:rsidTr="004A3AE0">
        <w:tc>
          <w:tcPr>
            <w:tcW w:w="3402" w:type="dxa"/>
            <w:tcBorders>
              <w:bottom w:val="single" w:sz="4" w:space="0" w:color="auto"/>
            </w:tcBorders>
            <w:shd w:val="clear" w:color="auto" w:fill="DC281E"/>
          </w:tcPr>
          <w:p w:rsidR="00203011" w:rsidRPr="000304E8" w:rsidRDefault="00544DB0" w:rsidP="00544DB0">
            <w:pPr>
              <w:spacing w:before="120"/>
              <w:rPr>
                <w:rFonts w:cstheme="minorHAnsi"/>
                <w:b/>
                <w:bCs/>
                <w:color w:val="FFFFFF" w:themeColor="background1"/>
                <w:lang w:val="es-ES_tradnl"/>
              </w:rPr>
            </w:pPr>
            <w:r w:rsidRPr="000304E8">
              <w:rPr>
                <w:rFonts w:cstheme="minorHAnsi"/>
                <w:b/>
                <w:bCs/>
                <w:color w:val="FFFFFF" w:themeColor="background1"/>
                <w:lang w:val="es-ES_tradnl"/>
              </w:rPr>
              <w:t xml:space="preserve">El proceso de autoevaluación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C281E"/>
          </w:tcPr>
          <w:p w:rsidR="00203011" w:rsidRPr="000304E8" w:rsidRDefault="00544DB0" w:rsidP="00544DB0">
            <w:pPr>
              <w:spacing w:before="120"/>
              <w:jc w:val="center"/>
              <w:rPr>
                <w:rFonts w:cstheme="minorHAnsi"/>
                <w:b/>
                <w:bCs/>
                <w:color w:val="FFFFFF" w:themeColor="background1"/>
                <w:lang w:val="es-ES_tradnl"/>
              </w:rPr>
            </w:pPr>
            <w:r w:rsidRPr="000304E8">
              <w:rPr>
                <w:rFonts w:cstheme="minorHAnsi"/>
                <w:b/>
                <w:bCs/>
                <w:color w:val="FFFFFF" w:themeColor="background1"/>
                <w:lang w:val="es-ES_tradnl"/>
              </w:rPr>
              <w:t>A</w:t>
            </w:r>
            <w:r w:rsidR="006E5D44" w:rsidRPr="000304E8">
              <w:rPr>
                <w:rFonts w:cstheme="minorHAnsi"/>
                <w:b/>
                <w:bCs/>
                <w:color w:val="FFFFFF" w:themeColor="background1"/>
                <w:lang w:val="es-ES_tradnl"/>
              </w:rPr>
              <w:t>ctivi</w:t>
            </w:r>
            <w:r w:rsidRPr="000304E8">
              <w:rPr>
                <w:rFonts w:cstheme="minorHAnsi"/>
                <w:b/>
                <w:bCs/>
                <w:color w:val="FFFFFF" w:themeColor="background1"/>
                <w:lang w:val="es-ES_tradnl"/>
              </w:rPr>
              <w:t xml:space="preserve">dades principales </w:t>
            </w:r>
          </w:p>
        </w:tc>
      </w:tr>
      <w:tr w:rsidR="006E5D44" w:rsidRPr="008843F9" w:rsidTr="004A3AE0">
        <w:tc>
          <w:tcPr>
            <w:tcW w:w="3402" w:type="dxa"/>
            <w:shd w:val="clear" w:color="auto" w:fill="A6A6A6"/>
            <w:vAlign w:val="center"/>
          </w:tcPr>
          <w:p w:rsidR="00203011" w:rsidRPr="000304E8" w:rsidRDefault="00544DB0" w:rsidP="00544DB0">
            <w:p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 xml:space="preserve">1. Reunir a los principales interesados </w:t>
            </w:r>
          </w:p>
        </w:tc>
        <w:tc>
          <w:tcPr>
            <w:tcW w:w="6237" w:type="dxa"/>
            <w:shd w:val="clear" w:color="auto" w:fill="E6E6E6"/>
          </w:tcPr>
          <w:p w:rsidR="00203011" w:rsidRPr="000304E8" w:rsidRDefault="00544DB0" w:rsidP="00544DB0">
            <w:pPr>
              <w:pStyle w:val="ListParagraph"/>
              <w:numPr>
                <w:ilvl w:val="0"/>
                <w:numId w:val="21"/>
              </w:num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Style w:val="hps"/>
                <w:rFonts w:cs="Arial"/>
                <w:color w:val="222222"/>
                <w:lang w:val="es-ES_tradnl"/>
              </w:rPr>
              <w:t>Identificar</w:t>
            </w:r>
            <w:r w:rsidRPr="000304E8">
              <w:rPr>
                <w:rFonts w:cs="Arial"/>
                <w:color w:val="222222"/>
                <w:lang w:val="es-ES_tradnl"/>
              </w:rPr>
              <w:t xml:space="preserve"> </w:t>
            </w:r>
            <w:r w:rsidRPr="000304E8">
              <w:rPr>
                <w:rStyle w:val="hps"/>
                <w:rFonts w:cs="Arial"/>
                <w:color w:val="222222"/>
                <w:lang w:val="es-ES_tradnl"/>
              </w:rPr>
              <w:t>un grupo con funciones técnicas, de gestión y de servicios de apoyo</w:t>
            </w:r>
          </w:p>
        </w:tc>
      </w:tr>
      <w:tr w:rsidR="006E5D44" w:rsidRPr="008843F9" w:rsidTr="004A3AE0">
        <w:tc>
          <w:tcPr>
            <w:tcW w:w="3402" w:type="dxa"/>
            <w:shd w:val="clear" w:color="auto" w:fill="A6A6A6"/>
            <w:vAlign w:val="center"/>
          </w:tcPr>
          <w:p w:rsidR="00203011" w:rsidRPr="000304E8" w:rsidRDefault="00544DB0" w:rsidP="00544DB0">
            <w:p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2. Programar y planificar el taller</w:t>
            </w:r>
          </w:p>
        </w:tc>
        <w:tc>
          <w:tcPr>
            <w:tcW w:w="6237" w:type="dxa"/>
            <w:shd w:val="clear" w:color="auto" w:fill="E6E6E6"/>
          </w:tcPr>
          <w:p w:rsidR="00544DB0" w:rsidRPr="000304E8" w:rsidRDefault="00544DB0" w:rsidP="00544DB0">
            <w:pPr>
              <w:pStyle w:val="ListParagraph"/>
              <w:numPr>
                <w:ilvl w:val="0"/>
                <w:numId w:val="21"/>
              </w:num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Asegurar un lugar apropiado para un taller de uno o dos días</w:t>
            </w:r>
          </w:p>
          <w:p w:rsidR="00544DB0" w:rsidRPr="000304E8" w:rsidRDefault="00544DB0" w:rsidP="00544DB0">
            <w:pPr>
              <w:pStyle w:val="ListParagraph"/>
              <w:numPr>
                <w:ilvl w:val="0"/>
                <w:numId w:val="21"/>
              </w:num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Enviar invitaciones a los principales interesados con mucha antelación para asegurar su disponibilidad</w:t>
            </w:r>
          </w:p>
          <w:p w:rsidR="00203011" w:rsidRPr="000304E8" w:rsidRDefault="00544DB0" w:rsidP="00544DB0">
            <w:pPr>
              <w:pStyle w:val="ListParagraph"/>
              <w:numPr>
                <w:ilvl w:val="0"/>
                <w:numId w:val="21"/>
              </w:num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Asegurar que el facilitador del taller es alguien con experiencia PTE</w:t>
            </w:r>
          </w:p>
        </w:tc>
      </w:tr>
      <w:tr w:rsidR="006E5D44" w:rsidRPr="008843F9" w:rsidTr="004A3AE0">
        <w:tc>
          <w:tcPr>
            <w:tcW w:w="3402" w:type="dxa"/>
            <w:shd w:val="clear" w:color="auto" w:fill="A6A6A6"/>
            <w:vAlign w:val="center"/>
          </w:tcPr>
          <w:p w:rsidR="00203011" w:rsidRPr="000304E8" w:rsidRDefault="00544DB0" w:rsidP="00E32E03">
            <w:p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3. Realizar el taller</w:t>
            </w:r>
          </w:p>
        </w:tc>
        <w:tc>
          <w:tcPr>
            <w:tcW w:w="6237" w:type="dxa"/>
            <w:shd w:val="clear" w:color="auto" w:fill="E6E6E6"/>
          </w:tcPr>
          <w:p w:rsidR="00544DB0" w:rsidRPr="000304E8" w:rsidRDefault="00544DB0" w:rsidP="00544DB0">
            <w:pPr>
              <w:pStyle w:val="ListParagraph"/>
              <w:numPr>
                <w:ilvl w:val="0"/>
                <w:numId w:val="21"/>
              </w:num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Desarrollar un escenario</w:t>
            </w:r>
          </w:p>
          <w:p w:rsidR="00544DB0" w:rsidRPr="000304E8" w:rsidRDefault="00544DB0" w:rsidP="00544DB0">
            <w:pPr>
              <w:pStyle w:val="ListParagraph"/>
              <w:numPr>
                <w:ilvl w:val="0"/>
                <w:numId w:val="21"/>
              </w:num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Discutir y obtener un consenso sobre los resultados de la evaluación</w:t>
            </w:r>
          </w:p>
          <w:p w:rsidR="00544DB0" w:rsidRPr="000304E8" w:rsidRDefault="00544DB0" w:rsidP="00544DB0">
            <w:pPr>
              <w:pStyle w:val="ListParagraph"/>
              <w:numPr>
                <w:ilvl w:val="0"/>
                <w:numId w:val="21"/>
              </w:num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Realizar el gráfico y presentar los resultados de las puntuaciones al grupo</w:t>
            </w:r>
          </w:p>
          <w:p w:rsidR="00544DB0" w:rsidRPr="000304E8" w:rsidRDefault="00544DB0" w:rsidP="00544DB0">
            <w:pPr>
              <w:pStyle w:val="ListParagraph"/>
              <w:numPr>
                <w:ilvl w:val="0"/>
                <w:numId w:val="21"/>
              </w:num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Proponer una serie de actividades para ayudar a fortalecer la capacidad para PTE en base a los resultados de la evaluación</w:t>
            </w:r>
          </w:p>
          <w:p w:rsidR="00203011" w:rsidRPr="000304E8" w:rsidRDefault="00203011" w:rsidP="00544DB0">
            <w:pPr>
              <w:pStyle w:val="ListParagraph"/>
              <w:spacing w:before="60" w:after="20"/>
              <w:jc w:val="left"/>
              <w:rPr>
                <w:rFonts w:cstheme="minorHAnsi"/>
                <w:lang w:val="es-ES_tradnl"/>
              </w:rPr>
            </w:pPr>
          </w:p>
        </w:tc>
      </w:tr>
      <w:tr w:rsidR="006E5D44" w:rsidRPr="008843F9" w:rsidTr="004A3AE0">
        <w:tc>
          <w:tcPr>
            <w:tcW w:w="3402" w:type="dxa"/>
            <w:shd w:val="clear" w:color="auto" w:fill="A6A6A6"/>
            <w:vAlign w:val="center"/>
          </w:tcPr>
          <w:p w:rsidR="00203011" w:rsidRPr="000304E8" w:rsidRDefault="00544DB0" w:rsidP="00E32E03">
            <w:p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4. Desarrollar el Plan de acción</w:t>
            </w:r>
          </w:p>
        </w:tc>
        <w:tc>
          <w:tcPr>
            <w:tcW w:w="6237" w:type="dxa"/>
            <w:shd w:val="clear" w:color="auto" w:fill="E6E6E6"/>
          </w:tcPr>
          <w:p w:rsidR="0055047F" w:rsidRPr="000304E8" w:rsidRDefault="0055047F" w:rsidP="0055047F">
            <w:pPr>
              <w:pStyle w:val="ListParagraph"/>
              <w:numPr>
                <w:ilvl w:val="0"/>
                <w:numId w:val="21"/>
              </w:num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Priorizar y el detallar de las acciones</w:t>
            </w:r>
          </w:p>
          <w:p w:rsidR="0055047F" w:rsidRPr="000304E8" w:rsidRDefault="0055047F" w:rsidP="0055047F">
            <w:pPr>
              <w:pStyle w:val="ListParagraph"/>
              <w:numPr>
                <w:ilvl w:val="0"/>
                <w:numId w:val="21"/>
              </w:num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>Presentar el borrador del Plan de acción para la aprobación por parte de</w:t>
            </w:r>
            <w:r w:rsidR="00FF68B3">
              <w:rPr>
                <w:rFonts w:cstheme="minorHAnsi"/>
                <w:lang w:val="es-ES_tradnl"/>
              </w:rPr>
              <w:t xml:space="preserve"> la dirección </w:t>
            </w:r>
            <w:r w:rsidRPr="000304E8">
              <w:rPr>
                <w:rFonts w:cstheme="minorHAnsi"/>
                <w:lang w:val="es-ES_tradnl"/>
              </w:rPr>
              <w:t xml:space="preserve">de la Sociedad Nacional  </w:t>
            </w:r>
          </w:p>
          <w:p w:rsidR="00203011" w:rsidRPr="000304E8" w:rsidRDefault="0055047F" w:rsidP="0055047F">
            <w:pPr>
              <w:pStyle w:val="ListParagraph"/>
              <w:numPr>
                <w:ilvl w:val="0"/>
                <w:numId w:val="21"/>
              </w:numPr>
              <w:spacing w:before="60" w:after="20"/>
              <w:jc w:val="left"/>
              <w:rPr>
                <w:rFonts w:cstheme="minorHAnsi"/>
                <w:lang w:val="es-ES_tradnl"/>
              </w:rPr>
            </w:pPr>
            <w:r w:rsidRPr="000304E8">
              <w:rPr>
                <w:rFonts w:cstheme="minorHAnsi"/>
                <w:lang w:val="es-ES_tradnl"/>
              </w:rPr>
              <w:t xml:space="preserve">Dar seguimiento a través del Plan de acción mediante la implementación del Plan de Acción, incorporándolo a los planes internos, </w:t>
            </w:r>
            <w:r w:rsidR="00FF68B3" w:rsidRPr="000304E8">
              <w:rPr>
                <w:rFonts w:cstheme="minorHAnsi"/>
                <w:lang w:val="es-ES_tradnl"/>
              </w:rPr>
              <w:t>utilizándolo</w:t>
            </w:r>
            <w:r w:rsidRPr="000304E8">
              <w:rPr>
                <w:rFonts w:cstheme="minorHAnsi"/>
                <w:lang w:val="es-ES_tradnl"/>
              </w:rPr>
              <w:t xml:space="preserve"> para la búsqueda </w:t>
            </w:r>
            <w:r w:rsidR="00FF68B3" w:rsidRPr="000304E8">
              <w:rPr>
                <w:rFonts w:cstheme="minorHAnsi"/>
                <w:lang w:val="es-ES_tradnl"/>
              </w:rPr>
              <w:t>de financiación</w:t>
            </w:r>
            <w:r w:rsidRPr="000304E8">
              <w:rPr>
                <w:rFonts w:cstheme="minorHAnsi"/>
                <w:lang w:val="es-ES_tradnl"/>
              </w:rPr>
              <w:t>, etc.</w:t>
            </w:r>
          </w:p>
        </w:tc>
      </w:tr>
    </w:tbl>
    <w:p w:rsidR="00971B2B" w:rsidRPr="000304E8" w:rsidRDefault="00971B2B" w:rsidP="004F1E5C">
      <w:pPr>
        <w:rPr>
          <w:rFonts w:eastAsia="Arial"/>
          <w:w w:val="102"/>
          <w:lang w:val="es-ES_tradnl"/>
        </w:rPr>
      </w:pPr>
    </w:p>
    <w:p w:rsidR="00525171" w:rsidRPr="000304E8" w:rsidRDefault="00525171">
      <w:pPr>
        <w:spacing w:after="200" w:line="276" w:lineRule="auto"/>
        <w:jc w:val="left"/>
        <w:rPr>
          <w:rFonts w:eastAsia="Arial"/>
          <w:b/>
          <w:caps/>
          <w:w w:val="102"/>
          <w:sz w:val="24"/>
          <w:szCs w:val="26"/>
          <w:lang w:val="es-ES_tradnl"/>
        </w:rPr>
      </w:pPr>
      <w:r w:rsidRPr="000304E8">
        <w:rPr>
          <w:rFonts w:eastAsia="Arial"/>
          <w:w w:val="102"/>
          <w:lang w:val="es-ES_tradnl"/>
        </w:rPr>
        <w:br w:type="page"/>
      </w:r>
    </w:p>
    <w:p w:rsidR="00E3136E" w:rsidRPr="000304E8" w:rsidRDefault="0055047F" w:rsidP="00D73D20">
      <w:pPr>
        <w:pStyle w:val="Heading2"/>
        <w:rPr>
          <w:rFonts w:eastAsia="Arial"/>
          <w:w w:val="102"/>
          <w:lang w:val="es-ES_tradnl"/>
        </w:rPr>
      </w:pPr>
      <w:r w:rsidRPr="000304E8">
        <w:rPr>
          <w:rFonts w:eastAsia="Arial"/>
          <w:w w:val="102"/>
          <w:lang w:val="es-ES_tradnl"/>
        </w:rPr>
        <w:lastRenderedPageBreak/>
        <w:t xml:space="preserve">LAS PREGUNTAS DE LA AUTOEVALUACIÓN PARA PREPARACIÓN PARA </w:t>
      </w:r>
      <w:r w:rsidR="009517F0" w:rsidRPr="000304E8">
        <w:rPr>
          <w:rFonts w:eastAsia="Arial"/>
          <w:w w:val="102"/>
          <w:lang w:val="es-ES_tradnl"/>
        </w:rPr>
        <w:t>PTE</w:t>
      </w:r>
      <w:r w:rsidR="004A1B46" w:rsidRPr="000304E8">
        <w:rPr>
          <w:rFonts w:eastAsia="Arial"/>
          <w:w w:val="102"/>
          <w:lang w:val="es-ES_tradnl"/>
        </w:rPr>
        <w:t xml:space="preserve"> </w:t>
      </w:r>
    </w:p>
    <w:p w:rsidR="00733F2A" w:rsidRDefault="0055047F" w:rsidP="004F1E5C">
      <w:pPr>
        <w:keepNext/>
        <w:keepLines/>
        <w:spacing w:after="240"/>
        <w:rPr>
          <w:rFonts w:eastAsia="Arial" w:cstheme="minorHAnsi"/>
          <w:iCs/>
          <w:color w:val="C0504D" w:themeColor="accent2"/>
          <w:spacing w:val="-3"/>
          <w:w w:val="102"/>
          <w:lang w:val="es-ES_tradnl"/>
        </w:rPr>
      </w:pPr>
      <w:r w:rsidRPr="000304E8">
        <w:rPr>
          <w:rFonts w:eastAsia="Arial" w:cstheme="minorHAnsi"/>
          <w:i/>
          <w:iCs/>
          <w:color w:val="C0504D" w:themeColor="accent2"/>
          <w:spacing w:val="-3"/>
          <w:w w:val="102"/>
          <w:lang w:val="es-ES_tradnl"/>
        </w:rPr>
        <w:t>Vertiente</w:t>
      </w:r>
      <w:r w:rsidR="00FF68B3">
        <w:rPr>
          <w:rFonts w:eastAsia="Arial" w:cstheme="minorHAnsi"/>
          <w:i/>
          <w:iCs/>
          <w:color w:val="C0504D" w:themeColor="accent2"/>
          <w:spacing w:val="-3"/>
          <w:w w:val="102"/>
          <w:lang w:val="es-ES_tradnl"/>
        </w:rPr>
        <w:t xml:space="preserve"> </w:t>
      </w:r>
      <w:r w:rsidR="008166E5" w:rsidRPr="000304E8">
        <w:rPr>
          <w:rFonts w:eastAsia="Arial" w:cstheme="minorHAnsi"/>
          <w:i/>
          <w:iCs/>
          <w:color w:val="C0504D" w:themeColor="accent2"/>
          <w:spacing w:val="-3"/>
          <w:w w:val="102"/>
          <w:lang w:val="es-ES_tradnl"/>
        </w:rPr>
        <w:t>1</w:t>
      </w:r>
      <w:r w:rsidR="00733F2A" w:rsidRPr="000304E8">
        <w:rPr>
          <w:rFonts w:eastAsia="Arial" w:cstheme="minorHAnsi"/>
          <w:i/>
          <w:iCs/>
          <w:color w:val="C0504D" w:themeColor="accent2"/>
          <w:spacing w:val="-3"/>
          <w:w w:val="102"/>
          <w:lang w:val="es-ES_tradnl"/>
        </w:rPr>
        <w:t xml:space="preserve"> – </w:t>
      </w:r>
      <w:r w:rsidRPr="000304E8">
        <w:rPr>
          <w:rFonts w:eastAsia="Arial" w:cstheme="minorHAnsi"/>
          <w:i/>
          <w:iCs/>
          <w:color w:val="C0504D" w:themeColor="accent2"/>
          <w:spacing w:val="-3"/>
          <w:w w:val="102"/>
          <w:lang w:val="es-ES_tradnl"/>
        </w:rPr>
        <w:t>Si</w:t>
      </w:r>
      <w:r w:rsidR="00733F2A" w:rsidRPr="000304E8">
        <w:rPr>
          <w:rFonts w:eastAsia="Arial" w:cstheme="minorHAnsi"/>
          <w:i/>
          <w:iCs/>
          <w:color w:val="C0504D" w:themeColor="accent2"/>
          <w:spacing w:val="-3"/>
          <w:w w:val="102"/>
          <w:lang w:val="es-ES_tradnl"/>
        </w:rPr>
        <w:t>stem</w:t>
      </w:r>
      <w:r w:rsidRPr="000304E8">
        <w:rPr>
          <w:rFonts w:eastAsia="Arial" w:cstheme="minorHAnsi"/>
          <w:i/>
          <w:iCs/>
          <w:color w:val="C0504D" w:themeColor="accent2"/>
          <w:spacing w:val="-3"/>
          <w:w w:val="102"/>
          <w:lang w:val="es-ES_tradnl"/>
        </w:rPr>
        <w:t>a</w:t>
      </w:r>
      <w:r w:rsidR="00733F2A" w:rsidRPr="000304E8">
        <w:rPr>
          <w:rFonts w:eastAsia="Arial" w:cstheme="minorHAnsi"/>
          <w:i/>
          <w:iCs/>
          <w:color w:val="C0504D" w:themeColor="accent2"/>
          <w:spacing w:val="-3"/>
          <w:w w:val="102"/>
          <w:lang w:val="es-ES_tradnl"/>
        </w:rPr>
        <w:t xml:space="preserve">s </w:t>
      </w:r>
      <w:r w:rsidRPr="000304E8">
        <w:rPr>
          <w:rFonts w:eastAsia="Arial" w:cstheme="minorHAnsi"/>
          <w:i/>
          <w:iCs/>
          <w:color w:val="C0504D" w:themeColor="accent2"/>
          <w:spacing w:val="-3"/>
          <w:w w:val="102"/>
          <w:lang w:val="es-ES_tradnl"/>
        </w:rPr>
        <w:t>favorables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19D1" w:rsidRPr="00496EDC" w:rsidTr="006A6AF4">
        <w:trPr>
          <w:trHeight w:val="737"/>
        </w:trPr>
        <w:tc>
          <w:tcPr>
            <w:tcW w:w="9628" w:type="dxa"/>
            <w:tcBorders>
              <w:top w:val="single" w:sz="12" w:space="0" w:color="FFFFFF" w:themeColor="background1"/>
            </w:tcBorders>
            <w:shd w:val="clear" w:color="auto" w:fill="FF7F57"/>
            <w:vAlign w:val="center"/>
          </w:tcPr>
          <w:p w:rsidR="00D719D1" w:rsidRPr="00496EDC" w:rsidRDefault="00D719D1" w:rsidP="006A6A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noProof/>
                <w:lang w:val="es-ES" w:eastAsia="en-GB"/>
              </w:rPr>
            </w:pPr>
            <w:r w:rsidRPr="00496EDC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Los sistemas adecuados crean las condiciones para que las estrategias, los planes, los sistemas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y los procedimientos apoyen una intervención rápida basada en una transferencia de dinero en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efectivo, similar en escala, puntualidad y eficacia a las habituales distribuciones de artículos.</w:t>
            </w:r>
          </w:p>
        </w:tc>
      </w:tr>
      <w:tr w:rsidR="00D719D1" w:rsidTr="006A6AF4">
        <w:trPr>
          <w:trHeight w:val="1191"/>
        </w:trPr>
        <w:tc>
          <w:tcPr>
            <w:tcW w:w="9628" w:type="dxa"/>
            <w:tcBorders>
              <w:bottom w:val="single" w:sz="24" w:space="0" w:color="FFFFFF" w:themeColor="background1"/>
            </w:tcBorders>
            <w:shd w:val="clear" w:color="auto" w:fill="FF7F57"/>
            <w:vAlign w:val="center"/>
          </w:tcPr>
          <w:p w:rsidR="00D719D1" w:rsidRPr="00496EDC" w:rsidRDefault="00D719D1" w:rsidP="006A6A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noProof/>
                <w:lang w:val="es-ES" w:eastAsia="en-GB"/>
              </w:rPr>
            </w:pPr>
            <w:r w:rsidRPr="00496EDC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Esto incluye incorporar los programas de transferencias de dinero en efectivo en los planes estratégicos y en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los planes de intervención y de contingencia de cada Sociedad Nacional, así como elaborar, poner a prueba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y aprobar procedimientos operativos institucionales para los programas de transferencias. Los sistemas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adecuados incluyen también la identificación y selección de mecanismos de entrega o de pago adecuados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496EDC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para facilitar una distribución rápida y segura del efectivo.</w:t>
            </w:r>
          </w:p>
        </w:tc>
      </w:tr>
    </w:tbl>
    <w:p w:rsidR="00D719D1" w:rsidRPr="00D719D1" w:rsidRDefault="00D719D1" w:rsidP="004F1E5C">
      <w:pPr>
        <w:keepNext/>
        <w:keepLines/>
        <w:spacing w:after="240"/>
        <w:rPr>
          <w:rFonts w:eastAsia="Arial" w:cstheme="minorHAnsi"/>
          <w:iCs/>
          <w:color w:val="C0504D" w:themeColor="accent2"/>
          <w:spacing w:val="-3"/>
          <w:w w:val="102"/>
          <w:lang w:val="es-ES_tradnl"/>
        </w:rPr>
      </w:pPr>
    </w:p>
    <w:p w:rsidR="00DF2D4B" w:rsidRPr="000304E8" w:rsidRDefault="0055047F" w:rsidP="009931FC">
      <w:pPr>
        <w:pStyle w:val="Heading3"/>
        <w:rPr>
          <w:lang w:val="es-ES_tradnl"/>
        </w:rPr>
      </w:pPr>
      <w:r w:rsidRPr="000304E8">
        <w:rPr>
          <w:lang w:val="es-ES_tradnl"/>
        </w:rPr>
        <w:t xml:space="preserve">Dimensión 1: Visión y estrategia </w:t>
      </w:r>
    </w:p>
    <w:p w:rsidR="0055047F" w:rsidRPr="000304E8" w:rsidRDefault="0055047F" w:rsidP="0055047F">
      <w:pPr>
        <w:rPr>
          <w:lang w:val="es-ES_tradnl"/>
        </w:rPr>
      </w:pPr>
      <w:r w:rsidRPr="000304E8">
        <w:rPr>
          <w:lang w:val="es-ES_tradnl"/>
        </w:rPr>
        <w:t>1. ¿En qué medida e</w:t>
      </w:r>
      <w:r w:rsidR="004C369D" w:rsidRPr="000304E8">
        <w:rPr>
          <w:lang w:val="es-ES_tradnl"/>
        </w:rPr>
        <w:t xml:space="preserve">xiste </w:t>
      </w:r>
      <w:r w:rsidRPr="000304E8">
        <w:rPr>
          <w:lang w:val="es-ES_tradnl"/>
        </w:rPr>
        <w:t xml:space="preserve">apoyo activo </w:t>
      </w:r>
      <w:r w:rsidR="004C369D" w:rsidRPr="000304E8">
        <w:rPr>
          <w:lang w:val="es-ES_tradnl"/>
        </w:rPr>
        <w:t xml:space="preserve">por parte </w:t>
      </w:r>
      <w:r w:rsidRPr="000304E8">
        <w:rPr>
          <w:lang w:val="es-ES_tradnl"/>
        </w:rPr>
        <w:t xml:space="preserve">de los principales dirigentes de la Sociedad Nacional </w:t>
      </w:r>
      <w:r w:rsidR="00FF68B3" w:rsidRPr="000304E8">
        <w:rPr>
          <w:lang w:val="es-ES_tradnl"/>
        </w:rPr>
        <w:t>para PTE</w:t>
      </w:r>
      <w:r w:rsidRPr="000304E8">
        <w:rPr>
          <w:lang w:val="es-ES_tradnl"/>
        </w:rPr>
        <w:t>?</w:t>
      </w:r>
    </w:p>
    <w:p w:rsidR="0055047F" w:rsidRPr="000304E8" w:rsidRDefault="0055047F" w:rsidP="0055047F">
      <w:pPr>
        <w:rPr>
          <w:lang w:val="es-ES_tradnl"/>
        </w:rPr>
      </w:pPr>
      <w:r w:rsidRPr="000304E8">
        <w:rPr>
          <w:lang w:val="es-ES_tradnl"/>
        </w:rPr>
        <w:t xml:space="preserve">2. ¿Hasta qué punto se </w:t>
      </w:r>
      <w:r w:rsidR="004C369D" w:rsidRPr="000304E8">
        <w:rPr>
          <w:lang w:val="es-ES_tradnl"/>
        </w:rPr>
        <w:t xml:space="preserve">ha </w:t>
      </w:r>
      <w:r w:rsidRPr="000304E8">
        <w:rPr>
          <w:lang w:val="es-ES_tradnl"/>
        </w:rPr>
        <w:t>establec</w:t>
      </w:r>
      <w:r w:rsidR="004C369D" w:rsidRPr="000304E8">
        <w:rPr>
          <w:lang w:val="es-ES_tradnl"/>
        </w:rPr>
        <w:t>ido la institucionalización d</w:t>
      </w:r>
      <w:r w:rsidRPr="000304E8">
        <w:rPr>
          <w:lang w:val="es-ES_tradnl"/>
        </w:rPr>
        <w:t>e la estrategia general para PTE?</w:t>
      </w:r>
    </w:p>
    <w:p w:rsidR="0055047F" w:rsidRPr="000304E8" w:rsidRDefault="004C369D" w:rsidP="0055047F">
      <w:pPr>
        <w:rPr>
          <w:lang w:val="es-ES_tradnl"/>
        </w:rPr>
      </w:pPr>
      <w:r w:rsidRPr="000304E8">
        <w:rPr>
          <w:lang w:val="es-ES_tradnl"/>
        </w:rPr>
        <w:t xml:space="preserve">3. ¿En qué medida </w:t>
      </w:r>
      <w:r w:rsidR="0055047F" w:rsidRPr="000304E8">
        <w:rPr>
          <w:lang w:val="es-ES_tradnl"/>
        </w:rPr>
        <w:t xml:space="preserve">la adopción de PTE </w:t>
      </w:r>
      <w:r w:rsidRPr="000304E8">
        <w:rPr>
          <w:lang w:val="es-ES_tradnl"/>
        </w:rPr>
        <w:t xml:space="preserve">está </w:t>
      </w:r>
      <w:r w:rsidR="0055047F" w:rsidRPr="000304E8">
        <w:rPr>
          <w:lang w:val="es-ES_tradnl"/>
        </w:rPr>
        <w:t xml:space="preserve">basará en </w:t>
      </w:r>
      <w:r w:rsidRPr="000304E8">
        <w:rPr>
          <w:lang w:val="es-ES_tradnl"/>
        </w:rPr>
        <w:t>evidencias</w:t>
      </w:r>
      <w:r w:rsidR="0055047F" w:rsidRPr="000304E8">
        <w:rPr>
          <w:lang w:val="es-ES_tradnl"/>
        </w:rPr>
        <w:t xml:space="preserve"> creíbles?</w:t>
      </w:r>
    </w:p>
    <w:p w:rsidR="0055047F" w:rsidRPr="000304E8" w:rsidRDefault="0055047F" w:rsidP="0055047F">
      <w:pPr>
        <w:rPr>
          <w:lang w:val="es-ES_tradnl"/>
        </w:rPr>
      </w:pPr>
      <w:r w:rsidRPr="000304E8">
        <w:rPr>
          <w:lang w:val="es-ES_tradnl"/>
        </w:rPr>
        <w:t xml:space="preserve">4. ¿Hasta qué punto hay un plan de acción para lograr </w:t>
      </w:r>
      <w:r w:rsidR="004C369D" w:rsidRPr="000304E8">
        <w:rPr>
          <w:lang w:val="es-ES_tradnl"/>
        </w:rPr>
        <w:t xml:space="preserve">la institucionalización de </w:t>
      </w:r>
      <w:r w:rsidRPr="000304E8">
        <w:rPr>
          <w:lang w:val="es-ES_tradnl"/>
        </w:rPr>
        <w:t>PTE?</w:t>
      </w:r>
    </w:p>
    <w:p w:rsidR="0055047F" w:rsidRPr="000304E8" w:rsidRDefault="0055047F" w:rsidP="0055047F">
      <w:pPr>
        <w:rPr>
          <w:lang w:val="es-ES_tradnl"/>
        </w:rPr>
      </w:pPr>
      <w:r w:rsidRPr="000304E8">
        <w:rPr>
          <w:lang w:val="es-ES_tradnl"/>
        </w:rPr>
        <w:t>5. ¿</w:t>
      </w:r>
      <w:r w:rsidR="004C369D" w:rsidRPr="000304E8">
        <w:rPr>
          <w:lang w:val="es-ES_tradnl"/>
        </w:rPr>
        <w:t>Hasta qué punto los PTE se consideran de manera constante</w:t>
      </w:r>
      <w:r w:rsidRPr="000304E8">
        <w:rPr>
          <w:lang w:val="es-ES_tradnl"/>
        </w:rPr>
        <w:t xml:space="preserve"> como una opción de respuesta?</w:t>
      </w:r>
    </w:p>
    <w:p w:rsidR="004C369D" w:rsidRPr="000304E8" w:rsidRDefault="004C369D" w:rsidP="004C369D">
      <w:pPr>
        <w:pStyle w:val="Heading3"/>
        <w:rPr>
          <w:lang w:val="es-ES_tradnl"/>
        </w:rPr>
      </w:pPr>
      <w:r w:rsidRPr="000304E8">
        <w:rPr>
          <w:lang w:val="es-ES_tradnl"/>
        </w:rPr>
        <w:t>Dimensión 2: Estructura Organizacional</w:t>
      </w:r>
    </w:p>
    <w:p w:rsidR="004C369D" w:rsidRPr="000304E8" w:rsidRDefault="004C369D" w:rsidP="004C369D">
      <w:pPr>
        <w:rPr>
          <w:lang w:val="es-ES_tradnl"/>
        </w:rPr>
      </w:pPr>
      <w:r w:rsidRPr="000304E8">
        <w:rPr>
          <w:lang w:val="es-ES_tradnl"/>
        </w:rPr>
        <w:t>1. ¿En qué medida existe un apoyo activo por parte de la sede y de las seccionales de la SN?</w:t>
      </w:r>
    </w:p>
    <w:p w:rsidR="004C369D" w:rsidRPr="000304E8" w:rsidRDefault="004C369D" w:rsidP="004C369D">
      <w:pPr>
        <w:rPr>
          <w:lang w:val="es-ES_tradnl"/>
        </w:rPr>
      </w:pPr>
      <w:r w:rsidRPr="000304E8">
        <w:rPr>
          <w:lang w:val="es-ES_tradnl"/>
        </w:rPr>
        <w:t xml:space="preserve">2. ¿En qué medida existe una estructura adecuada a todos los niveles (de campo y sede) para apoyar PTE? </w:t>
      </w:r>
    </w:p>
    <w:p w:rsidR="004C369D" w:rsidRPr="000304E8" w:rsidRDefault="004C369D" w:rsidP="004C369D">
      <w:pPr>
        <w:rPr>
          <w:lang w:val="es-ES_tradnl"/>
        </w:rPr>
      </w:pPr>
      <w:r w:rsidRPr="000304E8">
        <w:rPr>
          <w:lang w:val="es-ES_tradnl"/>
        </w:rPr>
        <w:t>3. ¿Hasta qué punto existe segregación de funciones para implementar PTE de manera ef</w:t>
      </w:r>
      <w:r w:rsidR="00A0384F" w:rsidRPr="000304E8">
        <w:rPr>
          <w:lang w:val="es-ES_tradnl"/>
        </w:rPr>
        <w:t>icaz</w:t>
      </w:r>
      <w:r w:rsidRPr="000304E8">
        <w:rPr>
          <w:lang w:val="es-ES_tradnl"/>
        </w:rPr>
        <w:t>?</w:t>
      </w:r>
    </w:p>
    <w:p w:rsidR="004C369D" w:rsidRPr="000304E8" w:rsidRDefault="004C369D" w:rsidP="004C369D">
      <w:pPr>
        <w:rPr>
          <w:lang w:val="es-ES_tradnl"/>
        </w:rPr>
      </w:pPr>
      <w:r w:rsidRPr="000304E8">
        <w:rPr>
          <w:lang w:val="es-ES_tradnl"/>
        </w:rPr>
        <w:t>4. ¿Existe adhesión a las políticas relativas a PTE?</w:t>
      </w:r>
    </w:p>
    <w:p w:rsidR="004C369D" w:rsidRPr="000304E8" w:rsidRDefault="004C369D" w:rsidP="004C369D">
      <w:pPr>
        <w:pStyle w:val="Heading3"/>
        <w:rPr>
          <w:lang w:val="es-ES_tradnl"/>
        </w:rPr>
      </w:pPr>
      <w:r w:rsidRPr="000304E8">
        <w:rPr>
          <w:lang w:val="es-ES_tradnl"/>
        </w:rPr>
        <w:t>Dimensión 3: Gestión de procesos</w:t>
      </w:r>
    </w:p>
    <w:p w:rsidR="004C369D" w:rsidRPr="000304E8" w:rsidRDefault="004C369D" w:rsidP="004C369D">
      <w:pPr>
        <w:rPr>
          <w:lang w:val="es-ES_tradnl"/>
        </w:rPr>
      </w:pPr>
      <w:r w:rsidRPr="000304E8">
        <w:rPr>
          <w:lang w:val="es-ES_tradnl"/>
        </w:rPr>
        <w:t xml:space="preserve">1. ¿En qué medida </w:t>
      </w:r>
      <w:r w:rsidR="00B60E3F" w:rsidRPr="000304E8">
        <w:rPr>
          <w:lang w:val="es-ES_tradnl"/>
        </w:rPr>
        <w:t xml:space="preserve">existen </w:t>
      </w:r>
      <w:r w:rsidRPr="000304E8">
        <w:rPr>
          <w:lang w:val="es-ES_tradnl"/>
        </w:rPr>
        <w:t>proce</w:t>
      </w:r>
      <w:r w:rsidR="00B60E3F" w:rsidRPr="000304E8">
        <w:rPr>
          <w:lang w:val="es-ES_tradnl"/>
        </w:rPr>
        <w:t>sos estandarizados que facilitan</w:t>
      </w:r>
      <w:r w:rsidRPr="000304E8">
        <w:rPr>
          <w:lang w:val="es-ES_tradnl"/>
        </w:rPr>
        <w:t xml:space="preserve"> la ejecución </w:t>
      </w:r>
      <w:r w:rsidR="00B60E3F" w:rsidRPr="000304E8">
        <w:rPr>
          <w:lang w:val="es-ES_tradnl"/>
        </w:rPr>
        <w:t>de PTE</w:t>
      </w:r>
      <w:r w:rsidRPr="000304E8">
        <w:rPr>
          <w:lang w:val="es-ES_tradnl"/>
        </w:rPr>
        <w:t>?</w:t>
      </w:r>
    </w:p>
    <w:p w:rsidR="004C369D" w:rsidRPr="000304E8" w:rsidRDefault="004C369D" w:rsidP="004C369D">
      <w:pPr>
        <w:rPr>
          <w:lang w:val="es-ES_tradnl"/>
        </w:rPr>
      </w:pPr>
      <w:r w:rsidRPr="000304E8">
        <w:rPr>
          <w:lang w:val="es-ES_tradnl"/>
        </w:rPr>
        <w:t>2. ¿En qué medida se han probado los procesos estandarizados?</w:t>
      </w:r>
    </w:p>
    <w:p w:rsidR="004C369D" w:rsidRPr="000304E8" w:rsidRDefault="00B60E3F" w:rsidP="004C369D">
      <w:pPr>
        <w:rPr>
          <w:lang w:val="es-ES_tradnl"/>
        </w:rPr>
      </w:pPr>
      <w:r w:rsidRPr="000304E8">
        <w:rPr>
          <w:lang w:val="es-ES_tradnl"/>
        </w:rPr>
        <w:t xml:space="preserve">3. ¿En qué medida </w:t>
      </w:r>
      <w:r w:rsidR="004C369D" w:rsidRPr="000304E8">
        <w:rPr>
          <w:lang w:val="es-ES_tradnl"/>
        </w:rPr>
        <w:t xml:space="preserve">los procesos estandarizados </w:t>
      </w:r>
      <w:r w:rsidRPr="000304E8">
        <w:rPr>
          <w:lang w:val="es-ES_tradnl"/>
        </w:rPr>
        <w:t>son utilizados a</w:t>
      </w:r>
      <w:r w:rsidR="004C369D" w:rsidRPr="000304E8">
        <w:rPr>
          <w:lang w:val="es-ES_tradnl"/>
        </w:rPr>
        <w:t xml:space="preserve"> todos los niveles (</w:t>
      </w:r>
      <w:r w:rsidRPr="000304E8">
        <w:rPr>
          <w:lang w:val="es-ES_tradnl"/>
        </w:rPr>
        <w:t>sede, seccionales y</w:t>
      </w:r>
      <w:r w:rsidR="004C369D" w:rsidRPr="000304E8">
        <w:rPr>
          <w:lang w:val="es-ES_tradnl"/>
        </w:rPr>
        <w:t xml:space="preserve"> </w:t>
      </w:r>
      <w:r w:rsidRPr="000304E8">
        <w:rPr>
          <w:lang w:val="es-ES_tradnl"/>
        </w:rPr>
        <w:t>locales</w:t>
      </w:r>
      <w:r w:rsidR="004C369D" w:rsidRPr="000304E8">
        <w:rPr>
          <w:lang w:val="es-ES_tradnl"/>
        </w:rPr>
        <w:t>)?</w:t>
      </w:r>
    </w:p>
    <w:p w:rsidR="004C369D" w:rsidRPr="000304E8" w:rsidRDefault="004C369D" w:rsidP="004C369D">
      <w:pPr>
        <w:rPr>
          <w:lang w:val="es-ES_tradnl"/>
        </w:rPr>
      </w:pPr>
      <w:r w:rsidRPr="000304E8">
        <w:rPr>
          <w:lang w:val="es-ES_tradnl"/>
        </w:rPr>
        <w:t>4. ¿En qué m</w:t>
      </w:r>
      <w:r w:rsidR="00B60E3F" w:rsidRPr="000304E8">
        <w:rPr>
          <w:lang w:val="es-ES_tradnl"/>
        </w:rPr>
        <w:t xml:space="preserve">edida los procesos permiten la </w:t>
      </w:r>
      <w:r w:rsidRPr="000304E8">
        <w:rPr>
          <w:lang w:val="es-ES_tradnl"/>
        </w:rPr>
        <w:t xml:space="preserve">selección </w:t>
      </w:r>
      <w:r w:rsidR="00B60E3F" w:rsidRPr="000304E8">
        <w:rPr>
          <w:lang w:val="es-ES_tradnl"/>
        </w:rPr>
        <w:t xml:space="preserve">de una </w:t>
      </w:r>
      <w:r w:rsidRPr="000304E8">
        <w:rPr>
          <w:lang w:val="es-ES_tradnl"/>
        </w:rPr>
        <w:t>modalidad de costo-eficiente y eficaz?</w:t>
      </w:r>
    </w:p>
    <w:p w:rsidR="004C369D" w:rsidRPr="000304E8" w:rsidRDefault="00B60E3F" w:rsidP="004C369D">
      <w:pPr>
        <w:rPr>
          <w:lang w:val="es-ES_tradnl"/>
        </w:rPr>
      </w:pPr>
      <w:r w:rsidRPr="000304E8">
        <w:rPr>
          <w:lang w:val="es-ES_tradnl"/>
        </w:rPr>
        <w:t xml:space="preserve">5. ¿Cuán integrados están los </w:t>
      </w:r>
      <w:r w:rsidR="004C369D" w:rsidRPr="000304E8">
        <w:rPr>
          <w:lang w:val="es-ES_tradnl"/>
        </w:rPr>
        <w:t>PTE en los planes de contingencia?</w:t>
      </w:r>
    </w:p>
    <w:p w:rsidR="004C369D" w:rsidRPr="000304E8" w:rsidRDefault="004C369D" w:rsidP="004C369D">
      <w:pPr>
        <w:rPr>
          <w:lang w:val="es-ES_tradnl"/>
        </w:rPr>
      </w:pPr>
      <w:r w:rsidRPr="000304E8">
        <w:rPr>
          <w:lang w:val="es-ES_tradnl"/>
        </w:rPr>
        <w:t>6. ¿Cómo calificaría los instrumentos actuales utilizados para la distribución de efectivo y la reconciliación?</w:t>
      </w:r>
    </w:p>
    <w:p w:rsidR="00D73D20" w:rsidRPr="000304E8" w:rsidRDefault="00D73D20">
      <w:pPr>
        <w:spacing w:after="200" w:line="276" w:lineRule="auto"/>
        <w:jc w:val="left"/>
        <w:rPr>
          <w:rFonts w:eastAsia="Arial" w:cstheme="minorHAnsi"/>
          <w:i/>
          <w:iCs/>
          <w:color w:val="9BBB59" w:themeColor="accent3"/>
          <w:spacing w:val="-3"/>
          <w:w w:val="102"/>
          <w:lang w:val="es-ES_tradnl"/>
        </w:rPr>
      </w:pPr>
      <w:r w:rsidRPr="000304E8">
        <w:rPr>
          <w:rFonts w:eastAsia="Arial" w:cstheme="minorHAnsi"/>
          <w:i/>
          <w:iCs/>
          <w:color w:val="9BBB59" w:themeColor="accent3"/>
          <w:spacing w:val="-3"/>
          <w:w w:val="102"/>
          <w:lang w:val="es-ES_tradnl"/>
        </w:rPr>
        <w:br w:type="page"/>
      </w:r>
    </w:p>
    <w:p w:rsidR="00733F2A" w:rsidRPr="000304E8" w:rsidRDefault="0055047F" w:rsidP="004F1E5C">
      <w:pPr>
        <w:spacing w:after="240"/>
        <w:rPr>
          <w:rFonts w:eastAsia="Arial" w:cstheme="minorHAnsi"/>
          <w:i/>
          <w:iCs/>
          <w:color w:val="9BBB59" w:themeColor="accent3"/>
          <w:spacing w:val="-3"/>
          <w:w w:val="102"/>
          <w:lang w:val="es-ES_tradnl"/>
        </w:rPr>
      </w:pPr>
      <w:r w:rsidRPr="000304E8">
        <w:rPr>
          <w:rFonts w:eastAsia="Arial" w:cstheme="minorHAnsi"/>
          <w:i/>
          <w:iCs/>
          <w:color w:val="9BBB59" w:themeColor="accent3"/>
          <w:spacing w:val="-3"/>
          <w:w w:val="102"/>
          <w:lang w:val="es-ES_tradnl"/>
        </w:rPr>
        <w:lastRenderedPageBreak/>
        <w:t>Vertiente</w:t>
      </w:r>
      <w:r w:rsidR="00FF68B3">
        <w:rPr>
          <w:rFonts w:eastAsia="Arial" w:cstheme="minorHAnsi"/>
          <w:i/>
          <w:iCs/>
          <w:color w:val="9BBB59" w:themeColor="accent3"/>
          <w:spacing w:val="-3"/>
          <w:w w:val="102"/>
          <w:lang w:val="es-ES_tradnl"/>
        </w:rPr>
        <w:t xml:space="preserve"> </w:t>
      </w:r>
      <w:r w:rsidR="009E0BE3" w:rsidRPr="000304E8">
        <w:rPr>
          <w:rFonts w:eastAsia="Arial" w:cstheme="minorHAnsi"/>
          <w:i/>
          <w:iCs/>
          <w:color w:val="9BBB59" w:themeColor="accent3"/>
          <w:spacing w:val="-3"/>
          <w:w w:val="102"/>
          <w:lang w:val="es-ES_tradnl"/>
        </w:rPr>
        <w:t xml:space="preserve">2 – </w:t>
      </w:r>
      <w:r w:rsidR="00B60E3F" w:rsidRPr="000304E8">
        <w:rPr>
          <w:rFonts w:eastAsia="Arial" w:cstheme="minorHAnsi"/>
          <w:i/>
          <w:iCs/>
          <w:color w:val="9BBB59" w:themeColor="accent3"/>
          <w:spacing w:val="-3"/>
          <w:w w:val="102"/>
          <w:lang w:val="es-ES_tradnl"/>
        </w:rPr>
        <w:t xml:space="preserve">Herramientas de programas </w:t>
      </w:r>
      <w:r w:rsidR="00733F2A" w:rsidRPr="000304E8">
        <w:rPr>
          <w:rFonts w:eastAsia="Arial" w:cstheme="minorHAnsi"/>
          <w:i/>
          <w:iCs/>
          <w:color w:val="9BBB59" w:themeColor="accent3"/>
          <w:spacing w:val="-3"/>
          <w:w w:val="102"/>
          <w:lang w:val="es-ES_trad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19D1" w:rsidRPr="00496EDC" w:rsidTr="006A6AF4">
        <w:trPr>
          <w:trHeight w:val="886"/>
        </w:trPr>
        <w:tc>
          <w:tcPr>
            <w:tcW w:w="9628" w:type="dxa"/>
            <w:tcBorders>
              <w:top w:val="single" w:sz="12" w:space="0" w:color="FFFFFF" w:themeColor="background1"/>
            </w:tcBorders>
            <w:shd w:val="clear" w:color="auto" w:fill="AFDD7D"/>
            <w:vAlign w:val="center"/>
          </w:tcPr>
          <w:p w:rsidR="00D719D1" w:rsidRPr="00496EDC" w:rsidRDefault="00D719D1" w:rsidP="006A6A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noProof/>
                <w:lang w:val="es-ES" w:eastAsia="en-GB"/>
              </w:rPr>
            </w:pP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Si se desea estar preparado para intervenir rápidamente ante una emergencia con programas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de transferencias de dinero en efectivo es fundamental contar con las herramientas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correspondientes, predefinidas y probadas.</w:t>
            </w:r>
          </w:p>
        </w:tc>
      </w:tr>
      <w:tr w:rsidR="00D719D1" w:rsidTr="006A6AF4">
        <w:trPr>
          <w:trHeight w:val="1410"/>
        </w:trPr>
        <w:tc>
          <w:tcPr>
            <w:tcW w:w="9628" w:type="dxa"/>
            <w:tcBorders>
              <w:bottom w:val="single" w:sz="24" w:space="0" w:color="FFFFFF" w:themeColor="background1"/>
            </w:tcBorders>
            <w:shd w:val="clear" w:color="auto" w:fill="AFDD7D"/>
            <w:vAlign w:val="center"/>
          </w:tcPr>
          <w:p w:rsidR="00D719D1" w:rsidRPr="00496EDC" w:rsidRDefault="00D719D1" w:rsidP="006A6A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noProof/>
                <w:lang w:val="es-ES" w:eastAsia="en-GB"/>
              </w:rPr>
            </w:pP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Es indispensable examinar y establecer con antelación procesos y herramientas institucionales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estándares, que puedan adaptarse a diferentes contextos de emergencia. Cada vez que sea posible, en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las herramientas pertinentes de las Sociedades Nacionales se deben incluir componentes específicos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de programas de transferencias de dinero en efectivo, a través de todo el ciclo de preparación y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respuesta a desastres (por ejemplo, en la evaluación de vulnerabilidad y capacidad, así como en el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diseño, la ejecución y el seguimiento de programas).</w:t>
            </w:r>
          </w:p>
        </w:tc>
      </w:tr>
    </w:tbl>
    <w:p w:rsidR="00A23897" w:rsidRPr="000304E8" w:rsidRDefault="00A23897" w:rsidP="00733F2A">
      <w:pPr>
        <w:spacing w:after="0"/>
        <w:rPr>
          <w:rFonts w:eastAsia="Arial" w:cstheme="minorHAnsi"/>
          <w:i/>
          <w:iCs/>
          <w:color w:val="5F497A" w:themeColor="accent4" w:themeShade="BF"/>
          <w:spacing w:val="-3"/>
          <w:w w:val="102"/>
          <w:lang w:val="es-ES_tradnl"/>
        </w:rPr>
      </w:pPr>
    </w:p>
    <w:p w:rsidR="009F61C0" w:rsidRPr="000304E8" w:rsidRDefault="009F61C0" w:rsidP="009F61C0">
      <w:pPr>
        <w:pStyle w:val="Heading3"/>
        <w:rPr>
          <w:lang w:val="es-ES_tradnl"/>
        </w:rPr>
      </w:pPr>
      <w:r w:rsidRPr="000304E8">
        <w:rPr>
          <w:lang w:val="es-ES_tradnl"/>
        </w:rPr>
        <w:t>Dimensión 1: herramientas específicas PTE</w:t>
      </w:r>
    </w:p>
    <w:p w:rsidR="009F61C0" w:rsidRPr="000304E8" w:rsidRDefault="009F61C0" w:rsidP="009F61C0">
      <w:pPr>
        <w:rPr>
          <w:lang w:val="es-ES_tradnl"/>
        </w:rPr>
      </w:pPr>
      <w:r w:rsidRPr="000304E8">
        <w:rPr>
          <w:lang w:val="es-ES_tradnl"/>
        </w:rPr>
        <w:t>1. ¿En qué medida tenemos herramientas para PTE que se han adaptado a nuestro contexto?</w:t>
      </w:r>
    </w:p>
    <w:p w:rsidR="009F61C0" w:rsidRPr="000304E8" w:rsidRDefault="009F61C0" w:rsidP="009F61C0">
      <w:pPr>
        <w:rPr>
          <w:lang w:val="es-ES_tradnl"/>
        </w:rPr>
      </w:pPr>
      <w:r w:rsidRPr="000304E8">
        <w:rPr>
          <w:lang w:val="es-ES_tradnl"/>
        </w:rPr>
        <w:t>2. ¿Hasta qué punto se han incorporado las herramientas para PTE en las herramientas de la Sociedad Nacional en todo el ciclo de preparación y respuesta en caso de emergencia?</w:t>
      </w:r>
    </w:p>
    <w:p w:rsidR="009F61C0" w:rsidRPr="000304E8" w:rsidRDefault="009F61C0" w:rsidP="009F61C0">
      <w:pPr>
        <w:rPr>
          <w:lang w:val="es-ES_tradnl"/>
        </w:rPr>
      </w:pPr>
      <w:r w:rsidRPr="000304E8">
        <w:rPr>
          <w:lang w:val="es-ES_tradnl"/>
        </w:rPr>
        <w:t>3. ¿Hasta qué punto nuestro marco de monitoreo y evaluación recoge los procesos PTE?</w:t>
      </w:r>
    </w:p>
    <w:p w:rsidR="009F61C0" w:rsidRPr="000304E8" w:rsidRDefault="009F61C0" w:rsidP="009F61C0">
      <w:pPr>
        <w:rPr>
          <w:lang w:val="es-ES_tradnl"/>
        </w:rPr>
      </w:pPr>
      <w:r w:rsidRPr="000304E8">
        <w:rPr>
          <w:lang w:val="es-ES_tradnl"/>
        </w:rPr>
        <w:t xml:space="preserve">4. ¿En qué medida podemos analizar e interpretar </w:t>
      </w:r>
      <w:r w:rsidR="006E0C2D" w:rsidRPr="000304E8">
        <w:rPr>
          <w:lang w:val="es-ES_tradnl"/>
        </w:rPr>
        <w:t>la información relativa a los</w:t>
      </w:r>
      <w:r w:rsidRPr="000304E8">
        <w:rPr>
          <w:lang w:val="es-ES_tradnl"/>
        </w:rPr>
        <w:t xml:space="preserve"> PTE?</w:t>
      </w:r>
    </w:p>
    <w:p w:rsidR="009F61C0" w:rsidRPr="000304E8" w:rsidRDefault="006E0C2D" w:rsidP="009F61C0">
      <w:pPr>
        <w:rPr>
          <w:lang w:val="es-ES_tradnl"/>
        </w:rPr>
      </w:pPr>
      <w:r w:rsidRPr="000304E8">
        <w:rPr>
          <w:lang w:val="es-ES_tradnl"/>
        </w:rPr>
        <w:t>5. ¿En qué punto</w:t>
      </w:r>
      <w:r w:rsidR="009F61C0" w:rsidRPr="000304E8">
        <w:rPr>
          <w:lang w:val="es-ES_tradnl"/>
        </w:rPr>
        <w:t xml:space="preserve"> </w:t>
      </w:r>
      <w:r w:rsidRPr="000304E8">
        <w:rPr>
          <w:lang w:val="es-ES_tradnl"/>
        </w:rPr>
        <w:t xml:space="preserve">los mecanismos de queja y </w:t>
      </w:r>
      <w:r w:rsidR="009F61C0" w:rsidRPr="000304E8">
        <w:rPr>
          <w:lang w:val="es-ES_tradnl"/>
        </w:rPr>
        <w:t xml:space="preserve">retroalimentación </w:t>
      </w:r>
      <w:r w:rsidRPr="000304E8">
        <w:rPr>
          <w:lang w:val="es-ES_tradnl"/>
        </w:rPr>
        <w:t xml:space="preserve">están integrados y sirven para informar y ajustar los PTE? </w:t>
      </w:r>
    </w:p>
    <w:p w:rsidR="009F61C0" w:rsidRPr="000304E8" w:rsidRDefault="009F61C0" w:rsidP="009F61C0">
      <w:pPr>
        <w:rPr>
          <w:lang w:val="es-ES_tradnl"/>
        </w:rPr>
      </w:pPr>
      <w:r w:rsidRPr="000304E8">
        <w:rPr>
          <w:lang w:val="es-ES_tradnl"/>
        </w:rPr>
        <w:t>6. ¿</w:t>
      </w:r>
      <w:r w:rsidR="006E0C2D" w:rsidRPr="000304E8">
        <w:rPr>
          <w:lang w:val="es-ES_tradnl"/>
        </w:rPr>
        <w:t>Cuán adecuadamente los</w:t>
      </w:r>
      <w:r w:rsidRPr="000304E8">
        <w:rPr>
          <w:lang w:val="es-ES_tradnl"/>
        </w:rPr>
        <w:t xml:space="preserve"> PTE integran </w:t>
      </w:r>
      <w:r w:rsidR="006E0C2D" w:rsidRPr="000304E8">
        <w:rPr>
          <w:lang w:val="es-ES_tradnl"/>
        </w:rPr>
        <w:t xml:space="preserve">consideraciones sobre </w:t>
      </w:r>
      <w:r w:rsidRPr="000304E8">
        <w:rPr>
          <w:lang w:val="es-ES_tradnl"/>
        </w:rPr>
        <w:t>gobernanza y dinámica</w:t>
      </w:r>
      <w:r w:rsidR="006E0C2D" w:rsidRPr="000304E8">
        <w:rPr>
          <w:lang w:val="es-ES_tradnl"/>
        </w:rPr>
        <w:t>s</w:t>
      </w:r>
      <w:r w:rsidRPr="000304E8">
        <w:rPr>
          <w:lang w:val="es-ES_tradnl"/>
        </w:rPr>
        <w:t xml:space="preserve"> social</w:t>
      </w:r>
      <w:r w:rsidR="006E0C2D" w:rsidRPr="000304E8">
        <w:rPr>
          <w:lang w:val="es-ES_tradnl"/>
        </w:rPr>
        <w:t>es</w:t>
      </w:r>
      <w:r w:rsidRPr="000304E8">
        <w:rPr>
          <w:lang w:val="es-ES_tradnl"/>
        </w:rPr>
        <w:t xml:space="preserve"> (</w:t>
      </w:r>
      <w:r w:rsidR="00FF68B3" w:rsidRPr="000304E8">
        <w:rPr>
          <w:lang w:val="es-ES_tradnl"/>
        </w:rPr>
        <w:t>como,</w:t>
      </w:r>
      <w:r w:rsidR="006E0C2D" w:rsidRPr="000304E8">
        <w:rPr>
          <w:lang w:val="es-ES_tradnl"/>
        </w:rPr>
        <w:t xml:space="preserve"> </w:t>
      </w:r>
      <w:r w:rsidRPr="000304E8">
        <w:rPr>
          <w:lang w:val="es-ES_tradnl"/>
        </w:rPr>
        <w:t xml:space="preserve">por ejemplo, </w:t>
      </w:r>
      <w:r w:rsidR="006E0C2D" w:rsidRPr="000304E8">
        <w:rPr>
          <w:lang w:val="es-ES_tradnl"/>
        </w:rPr>
        <w:t xml:space="preserve">las políticas de gobierno, temas </w:t>
      </w:r>
      <w:r w:rsidR="00FF68B3" w:rsidRPr="000304E8">
        <w:rPr>
          <w:lang w:val="es-ES_tradnl"/>
        </w:rPr>
        <w:t>de género</w:t>
      </w:r>
      <w:r w:rsidRPr="000304E8">
        <w:rPr>
          <w:lang w:val="es-ES_tradnl"/>
        </w:rPr>
        <w:t xml:space="preserve">, </w:t>
      </w:r>
      <w:r w:rsidR="006E0C2D" w:rsidRPr="000304E8">
        <w:rPr>
          <w:lang w:val="es-ES_tradnl"/>
        </w:rPr>
        <w:t xml:space="preserve">de </w:t>
      </w:r>
      <w:r w:rsidRPr="000304E8">
        <w:rPr>
          <w:lang w:val="es-ES_tradnl"/>
        </w:rPr>
        <w:t xml:space="preserve">protección, </w:t>
      </w:r>
      <w:r w:rsidR="006E0C2D" w:rsidRPr="000304E8">
        <w:rPr>
          <w:lang w:val="es-ES_tradnl"/>
        </w:rPr>
        <w:t xml:space="preserve">de </w:t>
      </w:r>
      <w:r w:rsidRPr="000304E8">
        <w:rPr>
          <w:lang w:val="es-ES_tradnl"/>
        </w:rPr>
        <w:t>discapacidad, etc.)?</w:t>
      </w:r>
    </w:p>
    <w:p w:rsidR="006E0C2D" w:rsidRPr="000304E8" w:rsidRDefault="006E0C2D" w:rsidP="006E0C2D">
      <w:pPr>
        <w:pStyle w:val="Heading3"/>
        <w:rPr>
          <w:lang w:val="es-ES_tradnl"/>
        </w:rPr>
      </w:pPr>
      <w:r w:rsidRPr="000304E8">
        <w:rPr>
          <w:lang w:val="es-ES_tradnl"/>
        </w:rPr>
        <w:t>Dimensión 2: Gestión de la información</w:t>
      </w:r>
    </w:p>
    <w:p w:rsidR="006E0C2D" w:rsidRPr="000304E8" w:rsidRDefault="008B4E04" w:rsidP="006E0C2D">
      <w:pPr>
        <w:rPr>
          <w:lang w:val="es-ES_tradnl"/>
        </w:rPr>
      </w:pPr>
      <w:r w:rsidRPr="000304E8">
        <w:rPr>
          <w:lang w:val="es-ES_tradnl"/>
        </w:rPr>
        <w:t>1. ¿Hasta qué punto</w:t>
      </w:r>
      <w:r w:rsidR="006E0C2D" w:rsidRPr="000304E8">
        <w:rPr>
          <w:lang w:val="es-ES_tradnl"/>
        </w:rPr>
        <w:t xml:space="preserve"> desarrollamos y gestionamos </w:t>
      </w:r>
      <w:r w:rsidRPr="000304E8">
        <w:rPr>
          <w:lang w:val="es-ES_tradnl"/>
        </w:rPr>
        <w:t xml:space="preserve">bien la </w:t>
      </w:r>
      <w:r w:rsidR="006E0C2D" w:rsidRPr="000304E8">
        <w:rPr>
          <w:lang w:val="es-ES_tradnl"/>
        </w:rPr>
        <w:t>información sobre PTE?</w:t>
      </w:r>
    </w:p>
    <w:p w:rsidR="006E0C2D" w:rsidRPr="000304E8" w:rsidRDefault="006E0C2D" w:rsidP="006E0C2D">
      <w:pPr>
        <w:rPr>
          <w:lang w:val="es-ES_tradnl"/>
        </w:rPr>
      </w:pPr>
      <w:r w:rsidRPr="000304E8">
        <w:rPr>
          <w:lang w:val="es-ES_tradnl"/>
        </w:rPr>
        <w:t>2. ¿Hasta qué punto logramos identificar nuevas oportunidades para programas o ajustes para PTE?</w:t>
      </w:r>
    </w:p>
    <w:p w:rsidR="006E0C2D" w:rsidRPr="000304E8" w:rsidRDefault="006E0C2D" w:rsidP="006E0C2D">
      <w:pPr>
        <w:rPr>
          <w:lang w:val="es-ES_tradnl"/>
        </w:rPr>
      </w:pPr>
      <w:r w:rsidRPr="000304E8">
        <w:rPr>
          <w:lang w:val="es-ES_tradnl"/>
        </w:rPr>
        <w:t>3. ¿Hasta qué punto tenemos una base de datos y sistemas de reporte para administrar nuestra información?</w:t>
      </w:r>
    </w:p>
    <w:p w:rsidR="006E0C2D" w:rsidRPr="000304E8" w:rsidRDefault="008B4E04" w:rsidP="006E0C2D">
      <w:pPr>
        <w:rPr>
          <w:lang w:val="es-ES_tradnl"/>
        </w:rPr>
      </w:pPr>
      <w:r w:rsidRPr="000304E8">
        <w:rPr>
          <w:lang w:val="es-ES_tradnl"/>
        </w:rPr>
        <w:t>4. ¿Hasta qué punto</w:t>
      </w:r>
      <w:r w:rsidR="006E0C2D" w:rsidRPr="000304E8">
        <w:rPr>
          <w:lang w:val="es-ES_tradnl"/>
        </w:rPr>
        <w:t xml:space="preserve"> hemos incorporado mecanismos de retroalimentación y quejas para informar y ajustar los PTE?</w:t>
      </w:r>
    </w:p>
    <w:p w:rsidR="006E0C2D" w:rsidRPr="000304E8" w:rsidRDefault="006E0C2D" w:rsidP="006E0C2D">
      <w:pPr>
        <w:pStyle w:val="Heading3"/>
        <w:rPr>
          <w:lang w:val="es-ES_tradnl"/>
        </w:rPr>
      </w:pPr>
      <w:r w:rsidRPr="000304E8">
        <w:rPr>
          <w:lang w:val="es-ES_tradnl"/>
        </w:rPr>
        <w:t>Dimensión 3: Infraestructura, equipamiento y tecnología</w:t>
      </w:r>
    </w:p>
    <w:p w:rsidR="006E0C2D" w:rsidRPr="000304E8" w:rsidRDefault="006E0C2D" w:rsidP="006E0C2D">
      <w:pPr>
        <w:rPr>
          <w:lang w:val="es-ES_tradnl"/>
        </w:rPr>
      </w:pPr>
      <w:r w:rsidRPr="000304E8">
        <w:rPr>
          <w:lang w:val="es-ES_tradnl"/>
        </w:rPr>
        <w:t>1. ¿</w:t>
      </w:r>
      <w:r w:rsidR="008B4E04" w:rsidRPr="000304E8">
        <w:rPr>
          <w:lang w:val="es-ES_tradnl"/>
        </w:rPr>
        <w:t xml:space="preserve">Hasta </w:t>
      </w:r>
      <w:r w:rsidR="00FF68B3" w:rsidRPr="000304E8">
        <w:rPr>
          <w:lang w:val="es-ES_tradnl"/>
        </w:rPr>
        <w:t>qué</w:t>
      </w:r>
      <w:r w:rsidR="008B4E04" w:rsidRPr="000304E8">
        <w:rPr>
          <w:lang w:val="es-ES_tradnl"/>
        </w:rPr>
        <w:t xml:space="preserve"> punto existe la </w:t>
      </w:r>
      <w:r w:rsidRPr="000304E8">
        <w:rPr>
          <w:lang w:val="es-ES_tradnl"/>
        </w:rPr>
        <w:t xml:space="preserve">suficiente infraestructura y equipamiento </w:t>
      </w:r>
      <w:r w:rsidR="008B4E04" w:rsidRPr="000304E8">
        <w:rPr>
          <w:lang w:val="es-ES_tradnl"/>
        </w:rPr>
        <w:t>para la</w:t>
      </w:r>
      <w:r w:rsidRPr="000304E8">
        <w:rPr>
          <w:lang w:val="es-ES_tradnl"/>
        </w:rPr>
        <w:t xml:space="preserve"> ampliación de PTE?</w:t>
      </w:r>
    </w:p>
    <w:p w:rsidR="006E0C2D" w:rsidRPr="000304E8" w:rsidRDefault="006E0C2D" w:rsidP="006E0C2D">
      <w:pPr>
        <w:rPr>
          <w:lang w:val="es-ES_tradnl"/>
        </w:rPr>
      </w:pPr>
      <w:r w:rsidRPr="000304E8">
        <w:rPr>
          <w:lang w:val="es-ES_tradnl"/>
        </w:rPr>
        <w:t xml:space="preserve">2. ¿Hasta qué punto tenemos la tecnología que </w:t>
      </w:r>
      <w:r w:rsidR="008B4E04" w:rsidRPr="000304E8">
        <w:rPr>
          <w:lang w:val="es-ES_tradnl"/>
        </w:rPr>
        <w:t xml:space="preserve">nos </w:t>
      </w:r>
      <w:r w:rsidRPr="000304E8">
        <w:rPr>
          <w:lang w:val="es-ES_tradnl"/>
        </w:rPr>
        <w:t>permite trabaj</w:t>
      </w:r>
      <w:r w:rsidR="008B4E04" w:rsidRPr="000304E8">
        <w:rPr>
          <w:lang w:val="es-ES_tradnl"/>
        </w:rPr>
        <w:t>ar</w:t>
      </w:r>
      <w:r w:rsidRPr="000304E8">
        <w:rPr>
          <w:lang w:val="es-ES_tradnl"/>
        </w:rPr>
        <w:t xml:space="preserve"> en PTE?</w:t>
      </w:r>
    </w:p>
    <w:p w:rsidR="006E0C2D" w:rsidRPr="000304E8" w:rsidRDefault="006E0C2D" w:rsidP="006E0C2D">
      <w:pPr>
        <w:rPr>
          <w:lang w:val="es-ES_tradnl"/>
        </w:rPr>
      </w:pPr>
      <w:r w:rsidRPr="000304E8">
        <w:rPr>
          <w:lang w:val="es-ES_tradnl"/>
        </w:rPr>
        <w:t>3. ¿</w:t>
      </w:r>
      <w:r w:rsidR="008B4E04" w:rsidRPr="000304E8">
        <w:rPr>
          <w:lang w:val="es-ES_tradnl"/>
        </w:rPr>
        <w:t xml:space="preserve">Hasta qué punto </w:t>
      </w:r>
      <w:r w:rsidRPr="000304E8">
        <w:rPr>
          <w:lang w:val="es-ES_tradnl"/>
        </w:rPr>
        <w:t xml:space="preserve">tenemos la tecnología adecuada para registrar </w:t>
      </w:r>
      <w:r w:rsidR="008B4E04" w:rsidRPr="000304E8">
        <w:rPr>
          <w:lang w:val="es-ES_tradnl"/>
        </w:rPr>
        <w:t xml:space="preserve">a </w:t>
      </w:r>
      <w:r w:rsidRPr="000304E8">
        <w:rPr>
          <w:lang w:val="es-ES_tradnl"/>
        </w:rPr>
        <w:t xml:space="preserve">nuestros beneficiarios </w:t>
      </w:r>
      <w:r w:rsidR="008B4E04" w:rsidRPr="000304E8">
        <w:rPr>
          <w:lang w:val="es-ES_tradnl"/>
        </w:rPr>
        <w:t xml:space="preserve">de </w:t>
      </w:r>
      <w:r w:rsidRPr="000304E8">
        <w:rPr>
          <w:lang w:val="es-ES_tradnl"/>
        </w:rPr>
        <w:t>PTE?</w:t>
      </w:r>
    </w:p>
    <w:p w:rsidR="006E0C2D" w:rsidRPr="000304E8" w:rsidRDefault="006E0C2D" w:rsidP="006E0C2D">
      <w:pPr>
        <w:rPr>
          <w:lang w:val="es-ES_tradnl"/>
        </w:rPr>
      </w:pPr>
      <w:r w:rsidRPr="000304E8">
        <w:rPr>
          <w:lang w:val="es-ES_tradnl"/>
        </w:rPr>
        <w:t>4. ¿</w:t>
      </w:r>
      <w:r w:rsidR="008B4E04" w:rsidRPr="000304E8">
        <w:rPr>
          <w:lang w:val="es-ES_tradnl"/>
        </w:rPr>
        <w:t xml:space="preserve">Hasta qué punto </w:t>
      </w:r>
      <w:r w:rsidRPr="000304E8">
        <w:rPr>
          <w:lang w:val="es-ES_tradnl"/>
        </w:rPr>
        <w:t xml:space="preserve">la aplicación </w:t>
      </w:r>
      <w:r w:rsidR="008B4E04" w:rsidRPr="000304E8">
        <w:rPr>
          <w:lang w:val="es-ES_tradnl"/>
        </w:rPr>
        <w:t>de la normativa sobre privacidad de datos obstaculiza/</w:t>
      </w:r>
      <w:r w:rsidRPr="000304E8">
        <w:rPr>
          <w:lang w:val="es-ES_tradnl"/>
        </w:rPr>
        <w:t>reduc</w:t>
      </w:r>
      <w:r w:rsidR="008B4E04" w:rsidRPr="000304E8">
        <w:rPr>
          <w:lang w:val="es-ES_tradnl"/>
        </w:rPr>
        <w:t xml:space="preserve">e </w:t>
      </w:r>
      <w:r w:rsidRPr="000304E8">
        <w:rPr>
          <w:lang w:val="es-ES_tradnl"/>
        </w:rPr>
        <w:t xml:space="preserve">la </w:t>
      </w:r>
      <w:r w:rsidR="00FF68B3" w:rsidRPr="000304E8">
        <w:rPr>
          <w:lang w:val="es-ES_tradnl"/>
        </w:rPr>
        <w:t>velocidad de</w:t>
      </w:r>
      <w:r w:rsidR="008B4E04" w:rsidRPr="000304E8">
        <w:rPr>
          <w:lang w:val="es-ES_tradnl"/>
        </w:rPr>
        <w:t xml:space="preserve"> ejecución de los </w:t>
      </w:r>
      <w:r w:rsidRPr="000304E8">
        <w:rPr>
          <w:lang w:val="es-ES_tradnl"/>
        </w:rPr>
        <w:t>PTE?</w:t>
      </w:r>
    </w:p>
    <w:p w:rsidR="00D73D20" w:rsidRPr="000304E8" w:rsidRDefault="00D73D20">
      <w:pPr>
        <w:spacing w:after="200" w:line="276" w:lineRule="auto"/>
        <w:jc w:val="left"/>
        <w:rPr>
          <w:rFonts w:eastAsia="Arial" w:cstheme="minorHAnsi"/>
          <w:i/>
          <w:iCs/>
          <w:color w:val="00B0F0"/>
          <w:spacing w:val="-3"/>
          <w:w w:val="102"/>
          <w:lang w:val="es-ES_tradnl"/>
        </w:rPr>
      </w:pPr>
      <w:r w:rsidRPr="000304E8">
        <w:rPr>
          <w:rFonts w:eastAsia="Arial" w:cstheme="minorHAnsi"/>
          <w:i/>
          <w:iCs/>
          <w:color w:val="00B0F0"/>
          <w:spacing w:val="-3"/>
          <w:w w:val="102"/>
          <w:lang w:val="es-ES_tradnl"/>
        </w:rPr>
        <w:br w:type="page"/>
      </w:r>
    </w:p>
    <w:p w:rsidR="00733F2A" w:rsidRPr="000304E8" w:rsidRDefault="0055047F" w:rsidP="004F1E5C">
      <w:pPr>
        <w:spacing w:after="240"/>
        <w:rPr>
          <w:rFonts w:cstheme="minorHAnsi"/>
          <w:color w:val="00B0F0"/>
          <w:lang w:val="es-ES_tradnl"/>
        </w:rPr>
      </w:pPr>
      <w:r w:rsidRPr="000304E8">
        <w:rPr>
          <w:rFonts w:eastAsia="Arial" w:cstheme="minorHAnsi"/>
          <w:i/>
          <w:iCs/>
          <w:color w:val="00B0F0"/>
          <w:spacing w:val="-3"/>
          <w:w w:val="102"/>
          <w:lang w:val="es-ES_tradnl"/>
        </w:rPr>
        <w:lastRenderedPageBreak/>
        <w:t>Vertiente</w:t>
      </w:r>
      <w:r w:rsidR="00FF68B3">
        <w:rPr>
          <w:rFonts w:eastAsia="Arial" w:cstheme="minorHAnsi"/>
          <w:i/>
          <w:iCs/>
          <w:color w:val="00B0F0"/>
          <w:spacing w:val="-3"/>
          <w:w w:val="102"/>
          <w:lang w:val="es-ES_tradnl"/>
        </w:rPr>
        <w:t xml:space="preserve"> </w:t>
      </w:r>
      <w:r w:rsidR="009E0BE3" w:rsidRPr="000304E8">
        <w:rPr>
          <w:rFonts w:eastAsia="Arial" w:cstheme="minorHAnsi"/>
          <w:i/>
          <w:iCs/>
          <w:color w:val="00B0F0"/>
          <w:spacing w:val="-3"/>
          <w:w w:val="102"/>
          <w:lang w:val="es-ES_tradnl"/>
        </w:rPr>
        <w:t>3 – Re</w:t>
      </w:r>
      <w:r w:rsidR="00B60E3F" w:rsidRPr="000304E8">
        <w:rPr>
          <w:rFonts w:eastAsia="Arial" w:cstheme="minorHAnsi"/>
          <w:i/>
          <w:iCs/>
          <w:color w:val="00B0F0"/>
          <w:spacing w:val="-3"/>
          <w:w w:val="102"/>
          <w:lang w:val="es-ES_tradnl"/>
        </w:rPr>
        <w:t xml:space="preserve">cursos y capacidades </w:t>
      </w:r>
      <w:r w:rsidR="00733F2A" w:rsidRPr="000304E8">
        <w:rPr>
          <w:rFonts w:eastAsia="Arial" w:cstheme="minorHAnsi"/>
          <w:i/>
          <w:iCs/>
          <w:color w:val="00B0F0"/>
          <w:spacing w:val="-3"/>
          <w:w w:val="102"/>
          <w:lang w:val="es-ES_trad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19D1" w:rsidRPr="00496EDC" w:rsidTr="006A6AF4">
        <w:trPr>
          <w:trHeight w:val="886"/>
        </w:trPr>
        <w:tc>
          <w:tcPr>
            <w:tcW w:w="9628" w:type="dxa"/>
            <w:shd w:val="clear" w:color="auto" w:fill="37CBFF"/>
            <w:vAlign w:val="center"/>
          </w:tcPr>
          <w:p w:rsidR="00D719D1" w:rsidRPr="00496EDC" w:rsidRDefault="00D719D1" w:rsidP="006A6A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noProof/>
                <w:lang w:val="es-ES" w:eastAsia="en-GB"/>
              </w:rPr>
            </w:pP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Deben movilizarse los recursos adecuados para apoyar el fortalecimiento de capacidad y la preparación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operativa de la Sociedad Nacional en la elaboración de programas de transferencias de dinero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en efectivo.</w:t>
            </w:r>
          </w:p>
        </w:tc>
      </w:tr>
      <w:tr w:rsidR="00D719D1" w:rsidTr="006A6AF4">
        <w:trPr>
          <w:trHeight w:val="1410"/>
        </w:trPr>
        <w:tc>
          <w:tcPr>
            <w:tcW w:w="9628" w:type="dxa"/>
            <w:shd w:val="clear" w:color="auto" w:fill="37CBFF"/>
            <w:vAlign w:val="center"/>
          </w:tcPr>
          <w:p w:rsidR="00D719D1" w:rsidRPr="003D3160" w:rsidRDefault="00D719D1" w:rsidP="006A6AF4">
            <w:pPr>
              <w:autoSpaceDE w:val="0"/>
              <w:autoSpaceDN w:val="0"/>
              <w:adjustRightInd w:val="0"/>
              <w:spacing w:after="0"/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</w:pP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Las Sociedades Nacionales necesitarán recursos importantes para fortalecer esa capacidad, lo que podrá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lograrse mediante la formación presencial y en línea, la formación práctica, la preparación individual y la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utilización de mentores, etc. Afortunadamente, algunas de las actividades más importantes tienen un coste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bajo, pero exigen tiempo y dedicación por parte de los altos directivos y del personal técnico de una serie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de departamentos de la Sociedad Nacional. Siempre que sea posible, el fortalecimiento de la capacidad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se debe integrar en los planes de intervención y de contingencia ya existentes, e incluir en esos planes una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reserva anticipada de fondos para programas de transferencias de dinero en efectivo (“dinero en efectivo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para transferencias de dinero en efectivo”) a fin de garantizar un flujo de caja sin trabas durante la operación.</w:t>
            </w:r>
          </w:p>
          <w:p w:rsidR="00D719D1" w:rsidRPr="00496EDC" w:rsidRDefault="00D719D1" w:rsidP="006A6A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noProof/>
                <w:lang w:val="es-ES" w:eastAsia="en-GB"/>
              </w:rPr>
            </w:pP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Es importante implicarse de manera proactiva y comunicarse con los donantes identificados para acceder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a la financiación que necesita la Sociedad Nacional para prepararse en la elaboración de programas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de transferencias de dinero en efectivo, acumular reservas en efectivo para uso específico e intervenir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en escenarios.</w:t>
            </w:r>
          </w:p>
        </w:tc>
      </w:tr>
    </w:tbl>
    <w:p w:rsidR="00D050F7" w:rsidRPr="000304E8" w:rsidRDefault="00D050F7" w:rsidP="003941DE">
      <w:pPr>
        <w:rPr>
          <w:rFonts w:cstheme="minorHAnsi"/>
          <w:b/>
          <w:bCs/>
          <w:u w:val="single"/>
          <w:lang w:val="es-ES_tradnl"/>
        </w:rPr>
      </w:pPr>
    </w:p>
    <w:p w:rsidR="008B4E04" w:rsidRPr="000304E8" w:rsidRDefault="008B4E04" w:rsidP="008B4E04">
      <w:pPr>
        <w:pStyle w:val="Heading3"/>
        <w:rPr>
          <w:lang w:val="es-ES_tradnl"/>
        </w:rPr>
      </w:pPr>
      <w:r w:rsidRPr="000304E8">
        <w:rPr>
          <w:lang w:val="es-ES_tradnl"/>
        </w:rPr>
        <w:t>Dimensión 1: Movilización de recursos y financiación</w:t>
      </w:r>
    </w:p>
    <w:p w:rsidR="008B4E04" w:rsidRPr="000304E8" w:rsidRDefault="008B4E04" w:rsidP="008B4E04">
      <w:pPr>
        <w:rPr>
          <w:lang w:val="es-ES_tradnl"/>
        </w:rPr>
      </w:pPr>
      <w:r w:rsidRPr="000304E8">
        <w:rPr>
          <w:lang w:val="es-ES_tradnl"/>
        </w:rPr>
        <w:t>1. ¿Cómo clasificamos nuestro modelo de financiación en términos de permitir nuestro crecimiento en PTE?</w:t>
      </w:r>
    </w:p>
    <w:p w:rsidR="008B4E04" w:rsidRPr="000304E8" w:rsidRDefault="008B4E04" w:rsidP="008B4E04">
      <w:pPr>
        <w:rPr>
          <w:lang w:val="es-ES_tradnl"/>
        </w:rPr>
      </w:pPr>
      <w:r w:rsidRPr="000304E8">
        <w:rPr>
          <w:lang w:val="es-ES_tradnl"/>
        </w:rPr>
        <w:t>2. ¿Cómo clasificamos nuestros sistemas</w:t>
      </w:r>
      <w:r w:rsidR="00A0384F" w:rsidRPr="000304E8">
        <w:rPr>
          <w:lang w:val="es-ES_tradnl"/>
        </w:rPr>
        <w:t xml:space="preserve"> para la recaudación de fondos</w:t>
      </w:r>
      <w:r w:rsidRPr="000304E8">
        <w:rPr>
          <w:lang w:val="es-ES_tradnl"/>
        </w:rPr>
        <w:t xml:space="preserve"> para PTE?</w:t>
      </w:r>
      <w:r w:rsidR="00A0384F" w:rsidRPr="000304E8">
        <w:rPr>
          <w:lang w:val="es-ES_tradnl"/>
        </w:rPr>
        <w:t xml:space="preserve"> ¿Son eficaces?</w:t>
      </w:r>
    </w:p>
    <w:p w:rsidR="008B4E04" w:rsidRPr="000304E8" w:rsidRDefault="008B4E04" w:rsidP="008B4E04">
      <w:pPr>
        <w:rPr>
          <w:lang w:val="es-ES_tradnl"/>
        </w:rPr>
      </w:pPr>
      <w:r w:rsidRPr="000304E8">
        <w:rPr>
          <w:lang w:val="es-ES_tradnl"/>
        </w:rPr>
        <w:t>3. ¿En qué medida existen los sistemas técnicos y las habilidades para gestionar los presupuestos de manera ef</w:t>
      </w:r>
      <w:r w:rsidR="00A0384F" w:rsidRPr="000304E8">
        <w:rPr>
          <w:lang w:val="es-ES_tradnl"/>
        </w:rPr>
        <w:t>icaz</w:t>
      </w:r>
      <w:r w:rsidRPr="000304E8">
        <w:rPr>
          <w:lang w:val="es-ES_tradnl"/>
        </w:rPr>
        <w:t>?</w:t>
      </w:r>
    </w:p>
    <w:p w:rsidR="008B4E04" w:rsidRPr="000304E8" w:rsidRDefault="008B4E04" w:rsidP="008B4E04">
      <w:pPr>
        <w:rPr>
          <w:lang w:val="es-ES_tradnl"/>
        </w:rPr>
      </w:pPr>
      <w:r w:rsidRPr="000304E8">
        <w:rPr>
          <w:lang w:val="es-ES_tradnl"/>
        </w:rPr>
        <w:t xml:space="preserve">4. ¿Cuál es la capacidad actual para tomar decisiones </w:t>
      </w:r>
      <w:r w:rsidR="00A0384F" w:rsidRPr="000304E8">
        <w:rPr>
          <w:lang w:val="es-ES_tradnl"/>
        </w:rPr>
        <w:t xml:space="preserve">informadas y sólidas </w:t>
      </w:r>
      <w:r w:rsidR="00A0384F" w:rsidRPr="00FF68B3">
        <w:rPr>
          <w:lang w:val="es-ES_tradnl"/>
        </w:rPr>
        <w:t>sobre coste</w:t>
      </w:r>
      <w:r w:rsidRPr="00FF68B3">
        <w:rPr>
          <w:lang w:val="es-ES_tradnl"/>
        </w:rPr>
        <w:t>-efi</w:t>
      </w:r>
      <w:r w:rsidR="00FF68B3" w:rsidRPr="00FF68B3">
        <w:rPr>
          <w:lang w:val="es-ES_tradnl"/>
        </w:rPr>
        <w:t>cacia</w:t>
      </w:r>
      <w:r w:rsidR="00A0384F" w:rsidRPr="00FF68B3">
        <w:rPr>
          <w:lang w:val="es-ES_tradnl"/>
        </w:rPr>
        <w:t>?</w:t>
      </w:r>
      <w:r w:rsidR="00A0384F" w:rsidRPr="000304E8">
        <w:rPr>
          <w:lang w:val="es-ES_tradnl"/>
        </w:rPr>
        <w:t xml:space="preserve"> </w:t>
      </w:r>
    </w:p>
    <w:p w:rsidR="00EC0F2B" w:rsidRPr="000304E8" w:rsidRDefault="00EC0F2B" w:rsidP="00EC0F2B">
      <w:pPr>
        <w:pStyle w:val="Heading3"/>
        <w:rPr>
          <w:lang w:val="es-ES_tradnl"/>
        </w:rPr>
      </w:pPr>
      <w:r w:rsidRPr="000304E8">
        <w:rPr>
          <w:lang w:val="es-ES_tradnl"/>
        </w:rPr>
        <w:t>Dimensión 2: Gestión y liderazgo</w:t>
      </w:r>
    </w:p>
    <w:p w:rsidR="00EC0F2B" w:rsidRPr="000304E8" w:rsidRDefault="00EC0F2B" w:rsidP="00EC0F2B">
      <w:pPr>
        <w:rPr>
          <w:lang w:val="es-ES_tradnl"/>
        </w:rPr>
      </w:pPr>
      <w:r w:rsidRPr="000304E8">
        <w:rPr>
          <w:lang w:val="es-ES_tradnl"/>
        </w:rPr>
        <w:t>1. ¿En qué medida los directivos tienen el nivel adecuado de compromiso y habilidades para apoyar la institucionalización de la PTE?</w:t>
      </w:r>
    </w:p>
    <w:p w:rsidR="00EC0F2B" w:rsidRPr="000304E8" w:rsidRDefault="00EC0F2B" w:rsidP="00EC0F2B">
      <w:pPr>
        <w:rPr>
          <w:lang w:val="es-ES_tradnl"/>
        </w:rPr>
      </w:pPr>
      <w:r w:rsidRPr="000304E8">
        <w:rPr>
          <w:lang w:val="es-ES_tradnl"/>
        </w:rPr>
        <w:t>2. ¿En qué medida los directivos tienen el conocimiento funcional necesario para dirigir la institucionalización de PTE en la organización?</w:t>
      </w:r>
    </w:p>
    <w:p w:rsidR="00EC0F2B" w:rsidRPr="000304E8" w:rsidRDefault="00EC0F2B" w:rsidP="00EC0F2B">
      <w:pPr>
        <w:rPr>
          <w:lang w:val="es-ES_tradnl"/>
        </w:rPr>
      </w:pPr>
      <w:r w:rsidRPr="000304E8">
        <w:rPr>
          <w:lang w:val="es-ES_tradnl"/>
        </w:rPr>
        <w:t>3. ¿En qué medida los directivos tienen la autoridad necesaria para tomar decisiones a tiempo e informadas sobre el PTE?</w:t>
      </w:r>
    </w:p>
    <w:p w:rsidR="00EC0F2B" w:rsidRPr="000304E8" w:rsidRDefault="00EC0F2B" w:rsidP="00EC0F2B">
      <w:pPr>
        <w:rPr>
          <w:lang w:val="es-ES_tradnl"/>
        </w:rPr>
      </w:pPr>
      <w:r w:rsidRPr="000304E8">
        <w:rPr>
          <w:lang w:val="es-ES_tradnl"/>
        </w:rPr>
        <w:t>4. ¿En qué medida los coordinadores técnicos/asesores tienen los conocimientos adecuados para promover la institucionalización de PTE de manera eficaz?</w:t>
      </w:r>
    </w:p>
    <w:p w:rsidR="00EC0F2B" w:rsidRPr="000304E8" w:rsidRDefault="00EC0F2B" w:rsidP="00EC0F2B">
      <w:pPr>
        <w:pStyle w:val="Heading3"/>
        <w:rPr>
          <w:lang w:val="es-ES_tradnl"/>
        </w:rPr>
      </w:pPr>
      <w:r w:rsidRPr="000304E8">
        <w:rPr>
          <w:lang w:val="es-ES_tradnl"/>
        </w:rPr>
        <w:t>Dimensión 3: Recursos humanos</w:t>
      </w:r>
    </w:p>
    <w:p w:rsidR="00EC0F2B" w:rsidRPr="000304E8" w:rsidRDefault="00EC0F2B" w:rsidP="00EC0F2B">
      <w:pPr>
        <w:rPr>
          <w:lang w:val="es-ES_tradnl"/>
        </w:rPr>
      </w:pPr>
      <w:r w:rsidRPr="000304E8">
        <w:rPr>
          <w:lang w:val="es-ES_tradnl"/>
        </w:rPr>
        <w:t>1. ¿</w:t>
      </w:r>
      <w:r w:rsidR="005E3460" w:rsidRPr="000304E8">
        <w:rPr>
          <w:lang w:val="es-ES_tradnl"/>
        </w:rPr>
        <w:t>Hasta qué punto e</w:t>
      </w:r>
      <w:r w:rsidRPr="000304E8">
        <w:rPr>
          <w:lang w:val="es-ES_tradnl"/>
        </w:rPr>
        <w:t>xiste un punto focal dedicado a PTE?</w:t>
      </w:r>
    </w:p>
    <w:p w:rsidR="00EC0F2B" w:rsidRPr="000304E8" w:rsidRDefault="00EC0F2B" w:rsidP="00EC0F2B">
      <w:pPr>
        <w:rPr>
          <w:lang w:val="es-ES_tradnl"/>
        </w:rPr>
      </w:pPr>
      <w:r w:rsidRPr="000304E8">
        <w:rPr>
          <w:lang w:val="es-ES_tradnl"/>
        </w:rPr>
        <w:t xml:space="preserve">2. ¿Nos apoyamos </w:t>
      </w:r>
      <w:r w:rsidR="005E3460" w:rsidRPr="000304E8">
        <w:rPr>
          <w:lang w:val="es-ES_tradnl"/>
        </w:rPr>
        <w:t xml:space="preserve">suficientemente bien y </w:t>
      </w:r>
      <w:r w:rsidRPr="000304E8">
        <w:rPr>
          <w:lang w:val="es-ES_tradnl"/>
        </w:rPr>
        <w:t>activamente el desarrollo del conocimiento de la PTE dentro de nuestro personal?</w:t>
      </w:r>
    </w:p>
    <w:p w:rsidR="00EC0F2B" w:rsidRPr="000304E8" w:rsidRDefault="00EC0F2B" w:rsidP="00EC0F2B">
      <w:pPr>
        <w:rPr>
          <w:lang w:val="es-ES_tradnl"/>
        </w:rPr>
      </w:pPr>
      <w:r w:rsidRPr="000304E8">
        <w:rPr>
          <w:lang w:val="es-ES_tradnl"/>
        </w:rPr>
        <w:t xml:space="preserve">3. ¿Hasta qué punto nuestro personal </w:t>
      </w:r>
      <w:r w:rsidR="00FF68B3">
        <w:rPr>
          <w:lang w:val="es-ES_tradnl"/>
        </w:rPr>
        <w:t>se siente</w:t>
      </w:r>
      <w:r w:rsidR="005E3460" w:rsidRPr="000304E8">
        <w:rPr>
          <w:lang w:val="es-ES_tradnl"/>
        </w:rPr>
        <w:t xml:space="preserve"> capa</w:t>
      </w:r>
      <w:r w:rsidR="00FF68B3">
        <w:rPr>
          <w:lang w:val="es-ES_tradnl"/>
        </w:rPr>
        <w:t>citado</w:t>
      </w:r>
      <w:r w:rsidR="005E3460" w:rsidRPr="000304E8">
        <w:rPr>
          <w:lang w:val="es-ES_tradnl"/>
        </w:rPr>
        <w:t xml:space="preserve"> para PTE a</w:t>
      </w:r>
      <w:r w:rsidRPr="000304E8">
        <w:rPr>
          <w:lang w:val="es-ES_tradnl"/>
        </w:rPr>
        <w:t xml:space="preserve"> todos los niveles y </w:t>
      </w:r>
      <w:r w:rsidR="005E3460" w:rsidRPr="000304E8">
        <w:rPr>
          <w:lang w:val="es-ES_tradnl"/>
        </w:rPr>
        <w:t>en</w:t>
      </w:r>
      <w:r w:rsidRPr="000304E8">
        <w:rPr>
          <w:lang w:val="es-ES_tradnl"/>
        </w:rPr>
        <w:t xml:space="preserve"> cada función?</w:t>
      </w:r>
    </w:p>
    <w:p w:rsidR="00EC0F2B" w:rsidRPr="000304E8" w:rsidRDefault="005E3460" w:rsidP="00EC0F2B">
      <w:pPr>
        <w:rPr>
          <w:lang w:val="es-ES_tradnl"/>
        </w:rPr>
      </w:pPr>
      <w:r w:rsidRPr="000304E8">
        <w:rPr>
          <w:lang w:val="es-ES_tradnl"/>
        </w:rPr>
        <w:t xml:space="preserve">4. ¿Hasta qué punto </w:t>
      </w:r>
      <w:r w:rsidR="00EC0F2B" w:rsidRPr="000304E8">
        <w:rPr>
          <w:lang w:val="es-ES_tradnl"/>
        </w:rPr>
        <w:t xml:space="preserve">nuestros voluntarios </w:t>
      </w:r>
      <w:r w:rsidRPr="000304E8">
        <w:rPr>
          <w:lang w:val="es-ES_tradnl"/>
        </w:rPr>
        <w:t>se sienten capacitados para</w:t>
      </w:r>
      <w:r w:rsidR="00EC0F2B" w:rsidRPr="000304E8">
        <w:rPr>
          <w:lang w:val="es-ES_tradnl"/>
        </w:rPr>
        <w:t xml:space="preserve"> PTE en todos los niveles y para cada función?</w:t>
      </w:r>
    </w:p>
    <w:p w:rsidR="00EC0F2B" w:rsidRPr="000304E8" w:rsidRDefault="00EC0F2B" w:rsidP="00EC0F2B">
      <w:pPr>
        <w:rPr>
          <w:lang w:val="es-ES_tradnl"/>
        </w:rPr>
      </w:pPr>
      <w:r w:rsidRPr="000304E8">
        <w:rPr>
          <w:lang w:val="es-ES_tradnl"/>
        </w:rPr>
        <w:t xml:space="preserve">5. ¿Hasta qué punto </w:t>
      </w:r>
      <w:r w:rsidR="005E3460" w:rsidRPr="000304E8">
        <w:rPr>
          <w:lang w:val="es-ES_tradnl"/>
        </w:rPr>
        <w:t xml:space="preserve">existen </w:t>
      </w:r>
      <w:r w:rsidRPr="000304E8">
        <w:rPr>
          <w:lang w:val="es-ES_tradnl"/>
        </w:rPr>
        <w:t xml:space="preserve">sistemas adecuados para </w:t>
      </w:r>
      <w:r w:rsidR="005E3460" w:rsidRPr="000304E8">
        <w:rPr>
          <w:lang w:val="es-ES_tradnl"/>
        </w:rPr>
        <w:t xml:space="preserve">contratar </w:t>
      </w:r>
      <w:r w:rsidRPr="000304E8">
        <w:rPr>
          <w:lang w:val="es-ES_tradnl"/>
        </w:rPr>
        <w:t>y retener</w:t>
      </w:r>
      <w:r w:rsidR="005E3460" w:rsidRPr="000304E8">
        <w:rPr>
          <w:lang w:val="es-ES_tradnl"/>
        </w:rPr>
        <w:t xml:space="preserve"> a</w:t>
      </w:r>
      <w:r w:rsidRPr="000304E8">
        <w:rPr>
          <w:lang w:val="es-ES_tradnl"/>
        </w:rPr>
        <w:t xml:space="preserve"> personal capacitado</w:t>
      </w:r>
      <w:r w:rsidR="005E3460" w:rsidRPr="000304E8">
        <w:rPr>
          <w:lang w:val="es-ES_tradnl"/>
        </w:rPr>
        <w:t xml:space="preserve"> para </w:t>
      </w:r>
      <w:r w:rsidRPr="000304E8">
        <w:rPr>
          <w:lang w:val="es-ES_tradnl"/>
        </w:rPr>
        <w:t>PTE?</w:t>
      </w:r>
    </w:p>
    <w:p w:rsidR="00EC0F2B" w:rsidRPr="000304E8" w:rsidRDefault="00EC0F2B" w:rsidP="00EC0F2B">
      <w:pPr>
        <w:rPr>
          <w:lang w:val="es-ES_tradnl"/>
        </w:rPr>
      </w:pPr>
      <w:r w:rsidRPr="000304E8">
        <w:rPr>
          <w:lang w:val="es-ES_tradnl"/>
        </w:rPr>
        <w:t>6. ¿</w:t>
      </w:r>
      <w:r w:rsidR="005E3460" w:rsidRPr="000304E8">
        <w:rPr>
          <w:lang w:val="es-ES_tradnl"/>
        </w:rPr>
        <w:t>Hasta qué punto</w:t>
      </w:r>
      <w:r w:rsidRPr="000304E8">
        <w:rPr>
          <w:lang w:val="es-ES_tradnl"/>
        </w:rPr>
        <w:t xml:space="preserve"> tenemos suficiente masa crítica </w:t>
      </w:r>
      <w:r w:rsidR="005E3460" w:rsidRPr="000304E8">
        <w:rPr>
          <w:lang w:val="es-ES_tradnl"/>
        </w:rPr>
        <w:t xml:space="preserve">formada </w:t>
      </w:r>
      <w:r w:rsidRPr="000304E8">
        <w:rPr>
          <w:lang w:val="es-ES_tradnl"/>
        </w:rPr>
        <w:t xml:space="preserve">en PTE para </w:t>
      </w:r>
      <w:r w:rsidR="005E3460" w:rsidRPr="000304E8">
        <w:rPr>
          <w:lang w:val="es-ES_tradnl"/>
        </w:rPr>
        <w:t>una implementación eficaz de PTE</w:t>
      </w:r>
      <w:r w:rsidRPr="000304E8">
        <w:rPr>
          <w:lang w:val="es-ES_tradnl"/>
        </w:rPr>
        <w:t>?</w:t>
      </w:r>
    </w:p>
    <w:p w:rsidR="00D73D20" w:rsidRPr="000304E8" w:rsidRDefault="00D73D20">
      <w:pPr>
        <w:spacing w:after="200" w:line="276" w:lineRule="auto"/>
        <w:jc w:val="left"/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</w:pPr>
      <w:r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br w:type="page"/>
      </w:r>
    </w:p>
    <w:p w:rsidR="00733F2A" w:rsidRPr="000304E8" w:rsidRDefault="0055047F" w:rsidP="004F1E5C">
      <w:pPr>
        <w:keepNext/>
        <w:spacing w:after="240"/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</w:pPr>
      <w:r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lastRenderedPageBreak/>
        <w:t>Vertiente</w:t>
      </w:r>
      <w:r w:rsidR="00FF68B3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t xml:space="preserve"> </w:t>
      </w:r>
      <w:r w:rsidR="00550450"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t>4 – Comunica</w:t>
      </w:r>
      <w:r w:rsidR="005E3460"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t>c</w:t>
      </w:r>
      <w:r w:rsidR="00550450"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t>i</w:t>
      </w:r>
      <w:r w:rsidR="005E3460"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t>ó</w:t>
      </w:r>
      <w:r w:rsidR="00550450"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t xml:space="preserve">n </w:t>
      </w:r>
      <w:r w:rsidR="005E3460"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t>y</w:t>
      </w:r>
      <w:r w:rsidR="009E0BE3"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t xml:space="preserve"> c</w:t>
      </w:r>
      <w:r w:rsidR="00733F2A"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t>oordina</w:t>
      </w:r>
      <w:r w:rsidR="005E3460"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t>ció</w:t>
      </w:r>
      <w:r w:rsidR="00733F2A" w:rsidRPr="000304E8">
        <w:rPr>
          <w:rFonts w:eastAsia="Arial" w:cstheme="minorHAnsi"/>
          <w:i/>
          <w:iCs/>
          <w:color w:val="8064A2" w:themeColor="accent4"/>
          <w:spacing w:val="-3"/>
          <w:w w:val="102"/>
          <w:lang w:val="es-ES_tradnl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19D1" w:rsidRPr="00496EDC" w:rsidTr="006A6AF4">
        <w:trPr>
          <w:trHeight w:val="886"/>
        </w:trPr>
        <w:tc>
          <w:tcPr>
            <w:tcW w:w="9628" w:type="dxa"/>
            <w:tcBorders>
              <w:top w:val="single" w:sz="12" w:space="0" w:color="FFFFFF" w:themeColor="background1"/>
            </w:tcBorders>
            <w:shd w:val="clear" w:color="auto" w:fill="BB6490"/>
            <w:vAlign w:val="center"/>
          </w:tcPr>
          <w:p w:rsidR="00D719D1" w:rsidRPr="00496EDC" w:rsidRDefault="00D719D1" w:rsidP="006A6A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noProof/>
                <w:lang w:val="es-ES" w:eastAsia="en-GB"/>
              </w:rPr>
            </w:pP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La comunicación y la coordinación contribuyen a que se comprendan mejor en general las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intervenciones basadas en transferencias de dinero en efectivo, dentro de una Sociedad Nacional,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entre los componentes del Movimiento que trabajan juntos, y en el conjunto de la comunidad</w:t>
            </w:r>
            <w:r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Md" w:eastAsiaTheme="minorHAnsi" w:hAnsi="HelveticaNeueLTStd-Md" w:cs="HelveticaNeueLTStd-Md"/>
                <w:b/>
                <w:color w:val="FFFFFF"/>
                <w:sz w:val="19"/>
                <w:szCs w:val="19"/>
                <w:lang w:val="es-ES"/>
              </w:rPr>
              <w:t>humanitaria.</w:t>
            </w:r>
          </w:p>
        </w:tc>
      </w:tr>
      <w:tr w:rsidR="00D719D1" w:rsidTr="006A6AF4">
        <w:trPr>
          <w:trHeight w:val="1531"/>
        </w:trPr>
        <w:tc>
          <w:tcPr>
            <w:tcW w:w="9628" w:type="dxa"/>
            <w:tcBorders>
              <w:bottom w:val="single" w:sz="24" w:space="0" w:color="FFFFFF" w:themeColor="background1"/>
            </w:tcBorders>
            <w:shd w:val="clear" w:color="auto" w:fill="BB6490"/>
            <w:vAlign w:val="center"/>
          </w:tcPr>
          <w:p w:rsidR="00D719D1" w:rsidRPr="003D3160" w:rsidRDefault="00D719D1" w:rsidP="006A6AF4">
            <w:pPr>
              <w:autoSpaceDE w:val="0"/>
              <w:autoSpaceDN w:val="0"/>
              <w:adjustRightInd w:val="0"/>
              <w:spacing w:after="0"/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</w:pP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La coordinación es importante, no solo para garantizar un enfoque coherente entre los diferentes agentes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que trabajan con estos programas en una misma zona, sino también para reducir al mínimo los riesgos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relacionados con la seguridad y otros, como la inflación. En paralelo, la promoción y la comunicación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ayudan a que las partes interesadas comprendan mejor los programas, objetivos y procesos necesarios,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y dan a la población afectada la oportunidad de hacerse oír y participar en la toma de decisiones.</w:t>
            </w:r>
          </w:p>
          <w:p w:rsidR="00D719D1" w:rsidRPr="00496EDC" w:rsidRDefault="00D719D1" w:rsidP="006A6A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noProof/>
                <w:lang w:val="es-ES" w:eastAsia="en-GB"/>
              </w:rPr>
            </w:pP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La coordinación, promoción y comunicación son también importantes para implicar a los donantes y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movilizar recursos, así como para difundir la información y los mensajes más importantes en torno a las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intervenciones basadas en transferencias de dinero en efectivo. La promoción también ayuda a que, en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cualquier contexto, se considere sistemáticamente la inclusión de este tipo de programas como una de las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posibles opciones de intervención ante una emergencia, de modo que cuando no se elijan como opción se</w:t>
            </w:r>
            <w:r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 xml:space="preserve"> </w:t>
            </w:r>
            <w:r w:rsidRPr="003D3160">
              <w:rPr>
                <w:rFonts w:ascii="HelveticaNeueLTStd-Lt" w:eastAsiaTheme="minorHAnsi" w:hAnsi="HelveticaNeueLTStd-Lt" w:cs="HelveticaNeueLTStd-Lt"/>
                <w:color w:val="FFFFFF"/>
                <w:sz w:val="19"/>
                <w:szCs w:val="19"/>
                <w:lang w:val="es-ES"/>
              </w:rPr>
              <w:t>deba justificar el motivo.</w:t>
            </w:r>
          </w:p>
        </w:tc>
      </w:tr>
    </w:tbl>
    <w:p w:rsidR="00274597" w:rsidRPr="000304E8" w:rsidRDefault="00274597" w:rsidP="00F51AA2">
      <w:pPr>
        <w:rPr>
          <w:rFonts w:cstheme="minorHAnsi"/>
          <w:u w:val="single"/>
          <w:lang w:val="es-ES_tradnl"/>
        </w:rPr>
      </w:pPr>
    </w:p>
    <w:p w:rsidR="005E3460" w:rsidRPr="000304E8" w:rsidRDefault="005E3460" w:rsidP="005E3460">
      <w:pPr>
        <w:pStyle w:val="Heading3"/>
        <w:rPr>
          <w:lang w:val="es-ES_tradnl"/>
        </w:rPr>
      </w:pPr>
      <w:r w:rsidRPr="000304E8">
        <w:rPr>
          <w:lang w:val="es-ES_tradnl"/>
        </w:rPr>
        <w:t>Dimensión 1: Promoción y comunicación.</w:t>
      </w:r>
    </w:p>
    <w:p w:rsidR="005E3460" w:rsidRPr="000304E8" w:rsidRDefault="005E3460" w:rsidP="005E3460">
      <w:pPr>
        <w:rPr>
          <w:lang w:val="es-ES_tradnl"/>
        </w:rPr>
      </w:pPr>
      <w:r w:rsidRPr="000304E8">
        <w:rPr>
          <w:lang w:val="es-ES_tradnl"/>
        </w:rPr>
        <w:t>1. ¿</w:t>
      </w:r>
      <w:r w:rsidR="00ED6CC7" w:rsidRPr="000304E8">
        <w:rPr>
          <w:lang w:val="es-ES_tradnl"/>
        </w:rPr>
        <w:t xml:space="preserve">Hasta qué punto </w:t>
      </w:r>
      <w:r w:rsidRPr="000304E8">
        <w:rPr>
          <w:lang w:val="es-ES_tradnl"/>
        </w:rPr>
        <w:t xml:space="preserve">ha habido trabajo de </w:t>
      </w:r>
      <w:r w:rsidR="00ED6CC7" w:rsidRPr="000304E8">
        <w:rPr>
          <w:lang w:val="es-ES_tradnl"/>
        </w:rPr>
        <w:t xml:space="preserve">promoción de </w:t>
      </w:r>
      <w:r w:rsidRPr="000304E8">
        <w:rPr>
          <w:lang w:val="es-ES_tradnl"/>
        </w:rPr>
        <w:t>PTE?</w:t>
      </w:r>
    </w:p>
    <w:p w:rsidR="005E3460" w:rsidRPr="000304E8" w:rsidRDefault="005E3460" w:rsidP="005E3460">
      <w:pPr>
        <w:rPr>
          <w:lang w:val="es-ES_tradnl"/>
        </w:rPr>
      </w:pPr>
      <w:r w:rsidRPr="000304E8">
        <w:rPr>
          <w:lang w:val="es-ES_tradnl"/>
        </w:rPr>
        <w:t>2. ¿Hasta qué punto usa</w:t>
      </w:r>
      <w:r w:rsidR="00C0350F" w:rsidRPr="000304E8">
        <w:rPr>
          <w:lang w:val="es-ES_tradnl"/>
        </w:rPr>
        <w:t xml:space="preserve">mos </w:t>
      </w:r>
      <w:r w:rsidRPr="000304E8">
        <w:rPr>
          <w:lang w:val="es-ES_tradnl"/>
        </w:rPr>
        <w:t xml:space="preserve">los instrumentos de promoción para movilizar a </w:t>
      </w:r>
      <w:r w:rsidR="00C0350F" w:rsidRPr="000304E8">
        <w:rPr>
          <w:lang w:val="es-ES_tradnl"/>
        </w:rPr>
        <w:t xml:space="preserve">otros </w:t>
      </w:r>
      <w:r w:rsidRPr="000304E8">
        <w:rPr>
          <w:lang w:val="es-ES_tradnl"/>
        </w:rPr>
        <w:t>a</w:t>
      </w:r>
      <w:r w:rsidR="00C0350F" w:rsidRPr="000304E8">
        <w:rPr>
          <w:lang w:val="es-ES_tradnl"/>
        </w:rPr>
        <w:t>ctores para que apoyen los</w:t>
      </w:r>
      <w:r w:rsidRPr="000304E8">
        <w:rPr>
          <w:lang w:val="es-ES_tradnl"/>
        </w:rPr>
        <w:t xml:space="preserve"> PTE?</w:t>
      </w:r>
    </w:p>
    <w:p w:rsidR="005E3460" w:rsidRPr="000304E8" w:rsidRDefault="005E3460" w:rsidP="005E3460">
      <w:pPr>
        <w:rPr>
          <w:lang w:val="es-ES_tradnl"/>
        </w:rPr>
      </w:pPr>
      <w:r w:rsidRPr="000304E8">
        <w:rPr>
          <w:lang w:val="es-ES_tradnl"/>
        </w:rPr>
        <w:t>3. ¿Hasta qué punto existe</w:t>
      </w:r>
      <w:r w:rsidR="00C0350F" w:rsidRPr="000304E8">
        <w:rPr>
          <w:lang w:val="es-ES_tradnl"/>
        </w:rPr>
        <w:t xml:space="preserve"> una estrategia de comunicación</w:t>
      </w:r>
      <w:r w:rsidRPr="000304E8">
        <w:rPr>
          <w:lang w:val="es-ES_tradnl"/>
        </w:rPr>
        <w:t>?</w:t>
      </w:r>
    </w:p>
    <w:p w:rsidR="005E3460" w:rsidRPr="000304E8" w:rsidRDefault="005E3460" w:rsidP="005E3460">
      <w:pPr>
        <w:rPr>
          <w:lang w:val="es-ES_tradnl"/>
        </w:rPr>
      </w:pPr>
      <w:r w:rsidRPr="000304E8">
        <w:rPr>
          <w:lang w:val="es-ES_tradnl"/>
        </w:rPr>
        <w:t>4. ¿</w:t>
      </w:r>
      <w:r w:rsidR="00C0350F" w:rsidRPr="000304E8">
        <w:rPr>
          <w:lang w:val="es-ES_tradnl"/>
        </w:rPr>
        <w:t xml:space="preserve">Hasta qué punto </w:t>
      </w:r>
      <w:r w:rsidRPr="000304E8">
        <w:rPr>
          <w:lang w:val="es-ES_tradnl"/>
        </w:rPr>
        <w:t xml:space="preserve">comunicamos </w:t>
      </w:r>
      <w:r w:rsidR="00C0350F" w:rsidRPr="000304E8">
        <w:rPr>
          <w:lang w:val="es-ES_tradnl"/>
        </w:rPr>
        <w:t xml:space="preserve">bien nuestros objetivos en PTE, tanto a nivel interno como </w:t>
      </w:r>
      <w:r w:rsidRPr="000304E8">
        <w:rPr>
          <w:lang w:val="es-ES_tradnl"/>
        </w:rPr>
        <w:t>extern</w:t>
      </w:r>
      <w:r w:rsidR="00C0350F" w:rsidRPr="000304E8">
        <w:rPr>
          <w:lang w:val="es-ES_tradnl"/>
        </w:rPr>
        <w:t xml:space="preserve">o? </w:t>
      </w:r>
      <w:r w:rsidRPr="000304E8">
        <w:rPr>
          <w:lang w:val="es-ES_tradnl"/>
        </w:rPr>
        <w:t xml:space="preserve"> </w:t>
      </w:r>
    </w:p>
    <w:p w:rsidR="005E3460" w:rsidRPr="000304E8" w:rsidRDefault="005E3460" w:rsidP="005E3460">
      <w:pPr>
        <w:rPr>
          <w:lang w:val="es-ES_tradnl"/>
        </w:rPr>
      </w:pPr>
      <w:r w:rsidRPr="000304E8">
        <w:rPr>
          <w:lang w:val="es-ES_tradnl"/>
        </w:rPr>
        <w:t>5. ¿</w:t>
      </w:r>
      <w:r w:rsidR="009C3093" w:rsidRPr="000304E8">
        <w:rPr>
          <w:lang w:val="es-ES_tradnl"/>
        </w:rPr>
        <w:t xml:space="preserve">Hasta qué punto </w:t>
      </w:r>
      <w:r w:rsidRPr="000304E8">
        <w:rPr>
          <w:lang w:val="es-ES_tradnl"/>
        </w:rPr>
        <w:t>nos comunicamos y coordina</w:t>
      </w:r>
      <w:r w:rsidR="009C3093" w:rsidRPr="000304E8">
        <w:rPr>
          <w:lang w:val="es-ES_tradnl"/>
        </w:rPr>
        <w:t xml:space="preserve">mos bien </w:t>
      </w:r>
      <w:r w:rsidRPr="000304E8">
        <w:rPr>
          <w:lang w:val="es-ES_tradnl"/>
        </w:rPr>
        <w:t>toda la organización en PTE?</w:t>
      </w:r>
    </w:p>
    <w:p w:rsidR="009C3093" w:rsidRPr="000304E8" w:rsidRDefault="00FF68B3" w:rsidP="009C3093">
      <w:pPr>
        <w:pStyle w:val="Heading3"/>
        <w:rPr>
          <w:lang w:val="es-ES_tradnl"/>
        </w:rPr>
      </w:pPr>
      <w:r w:rsidRPr="000304E8">
        <w:rPr>
          <w:lang w:val="es-ES_tradnl"/>
        </w:rPr>
        <w:t>Dimensión</w:t>
      </w:r>
      <w:r w:rsidR="009C3093" w:rsidRPr="000304E8">
        <w:rPr>
          <w:lang w:val="es-ES_tradnl"/>
        </w:rPr>
        <w:t xml:space="preserve"> 2: Comunicación con los beneficiarios</w:t>
      </w:r>
    </w:p>
    <w:p w:rsidR="009C3093" w:rsidRPr="000304E8" w:rsidRDefault="009C3093" w:rsidP="009C3093">
      <w:pPr>
        <w:rPr>
          <w:lang w:val="es-ES_tradnl"/>
        </w:rPr>
      </w:pPr>
      <w:r w:rsidRPr="000304E8">
        <w:rPr>
          <w:lang w:val="es-ES_tradnl"/>
        </w:rPr>
        <w:t>1. ¿Hasta qué punto existen metodologías para la movilización, la verificación y el seguimiento de los beneficiarios?</w:t>
      </w:r>
    </w:p>
    <w:p w:rsidR="009C3093" w:rsidRPr="000304E8" w:rsidRDefault="009C3093" w:rsidP="009C3093">
      <w:pPr>
        <w:rPr>
          <w:lang w:val="es-ES_tradnl"/>
        </w:rPr>
      </w:pPr>
      <w:r w:rsidRPr="000304E8">
        <w:rPr>
          <w:lang w:val="es-ES_tradnl"/>
        </w:rPr>
        <w:t>2. ¿Hasta qué punto existe retroalimentación y evaluación del aprendizaje continuada para PTE?</w:t>
      </w:r>
    </w:p>
    <w:p w:rsidR="009C3093" w:rsidRPr="000304E8" w:rsidRDefault="009C3093" w:rsidP="009C3093">
      <w:pPr>
        <w:rPr>
          <w:lang w:val="es-ES_tradnl"/>
        </w:rPr>
      </w:pPr>
      <w:r w:rsidRPr="000304E8">
        <w:rPr>
          <w:lang w:val="es-ES_tradnl"/>
        </w:rPr>
        <w:t>3. ¿Hasta qué punto nos comunicamos eficazmente con las comunidades en PTE?</w:t>
      </w:r>
    </w:p>
    <w:p w:rsidR="00C22830" w:rsidRPr="000304E8" w:rsidRDefault="00C22830" w:rsidP="00C22830">
      <w:pPr>
        <w:pStyle w:val="Heading3"/>
        <w:rPr>
          <w:lang w:val="es-ES_tradnl"/>
        </w:rPr>
      </w:pPr>
      <w:r w:rsidRPr="000304E8">
        <w:rPr>
          <w:lang w:val="es-ES_tradnl"/>
        </w:rPr>
        <w:t xml:space="preserve">Dimensión 3: Coordinación y </w:t>
      </w:r>
      <w:proofErr w:type="spellStart"/>
      <w:r w:rsidRPr="000304E8">
        <w:rPr>
          <w:lang w:val="es-ES_tradnl"/>
        </w:rPr>
        <w:t>partenariados</w:t>
      </w:r>
      <w:proofErr w:type="spellEnd"/>
    </w:p>
    <w:p w:rsidR="00C22830" w:rsidRPr="000304E8" w:rsidRDefault="00C22830" w:rsidP="00C22830">
      <w:pPr>
        <w:rPr>
          <w:lang w:val="es-ES_tradnl"/>
        </w:rPr>
      </w:pPr>
      <w:r w:rsidRPr="000304E8">
        <w:rPr>
          <w:lang w:val="es-ES_tradnl"/>
        </w:rPr>
        <w:t>1. ¿En qué medida entendemos el uso de PTE por parte de otras organizaciones dentro de nuestro contexto operacional?</w:t>
      </w:r>
    </w:p>
    <w:p w:rsidR="00C22830" w:rsidRPr="000304E8" w:rsidRDefault="00C22830" w:rsidP="00C22830">
      <w:pPr>
        <w:rPr>
          <w:lang w:val="es-ES_tradnl"/>
        </w:rPr>
      </w:pPr>
      <w:r w:rsidRPr="000304E8">
        <w:rPr>
          <w:lang w:val="es-ES_tradnl"/>
        </w:rPr>
        <w:t xml:space="preserve">2. </w:t>
      </w:r>
      <w:r w:rsidR="00FF68B3" w:rsidRPr="000304E8">
        <w:rPr>
          <w:lang w:val="es-ES_tradnl"/>
        </w:rPr>
        <w:t>¿En</w:t>
      </w:r>
      <w:r w:rsidRPr="000304E8">
        <w:rPr>
          <w:lang w:val="es-ES_tradnl"/>
        </w:rPr>
        <w:t xml:space="preserve"> qué medida apoyamos/participamos en mecanismos de coordinación informales para PTE?</w:t>
      </w:r>
    </w:p>
    <w:p w:rsidR="00C22830" w:rsidRPr="000304E8" w:rsidRDefault="00C22830" w:rsidP="00C22830">
      <w:pPr>
        <w:rPr>
          <w:lang w:val="es-ES_tradnl"/>
        </w:rPr>
      </w:pPr>
      <w:r w:rsidRPr="000304E8">
        <w:rPr>
          <w:lang w:val="es-ES_tradnl"/>
        </w:rPr>
        <w:t>3. ¿En qué medida apoyamos/participamos en mecanismos formales de coordinación para PTE?</w:t>
      </w:r>
    </w:p>
    <w:p w:rsidR="00C22830" w:rsidRPr="000304E8" w:rsidRDefault="00C22830" w:rsidP="00C22830">
      <w:pPr>
        <w:rPr>
          <w:lang w:val="es-ES_tradnl"/>
        </w:rPr>
      </w:pPr>
      <w:r w:rsidRPr="000304E8">
        <w:rPr>
          <w:lang w:val="es-ES_tradnl"/>
        </w:rPr>
        <w:t xml:space="preserve">4. ¿Hasta </w:t>
      </w:r>
      <w:r w:rsidR="00FF68B3" w:rsidRPr="000304E8">
        <w:rPr>
          <w:lang w:val="es-ES_tradnl"/>
        </w:rPr>
        <w:t>qué</w:t>
      </w:r>
      <w:r w:rsidRPr="000304E8">
        <w:rPr>
          <w:lang w:val="es-ES_tradnl"/>
        </w:rPr>
        <w:t xml:space="preserve"> punto dedicamos recursos para la coordinación de PTE?</w:t>
      </w:r>
    </w:p>
    <w:p w:rsidR="00C22830" w:rsidRPr="000304E8" w:rsidRDefault="00C22830" w:rsidP="00C22830">
      <w:pPr>
        <w:rPr>
          <w:lang w:val="es-ES_tradnl"/>
        </w:rPr>
      </w:pPr>
      <w:r w:rsidRPr="000304E8">
        <w:rPr>
          <w:lang w:val="es-ES_tradnl"/>
        </w:rPr>
        <w:t>5. ¿Con qué eficacia coordinamos sistemas del gobierno durante la implementación de PTE?</w:t>
      </w:r>
    </w:p>
    <w:p w:rsidR="00C22830" w:rsidRPr="000304E8" w:rsidRDefault="00C22830" w:rsidP="00C22830">
      <w:pPr>
        <w:rPr>
          <w:lang w:val="es-ES_tradnl"/>
        </w:rPr>
      </w:pPr>
      <w:r w:rsidRPr="000304E8">
        <w:rPr>
          <w:lang w:val="es-ES_tradnl"/>
        </w:rPr>
        <w:t>6. ¿Hasta qué punto diversificamos nuestra gama de socios que apoyan los PTE?</w:t>
      </w:r>
    </w:p>
    <w:p w:rsidR="00C22830" w:rsidRPr="000304E8" w:rsidRDefault="00C22830" w:rsidP="00C22830">
      <w:pPr>
        <w:rPr>
          <w:lang w:val="es-ES_tradnl"/>
        </w:rPr>
      </w:pPr>
      <w:r w:rsidRPr="000304E8">
        <w:rPr>
          <w:lang w:val="es-ES_tradnl"/>
        </w:rPr>
        <w:t>7. ¿En qué medida hemos sido capaces de construir alianzas efectivas con empresas para PTE?</w:t>
      </w:r>
    </w:p>
    <w:p w:rsidR="00C22830" w:rsidRPr="000304E8" w:rsidRDefault="00C22830" w:rsidP="00C22830">
      <w:pPr>
        <w:rPr>
          <w:lang w:val="es-ES_tradnl"/>
        </w:rPr>
      </w:pPr>
      <w:r w:rsidRPr="000304E8">
        <w:rPr>
          <w:lang w:val="es-ES_tradnl"/>
        </w:rPr>
        <w:t>8. ¿Hasta qué punto podemos construir alianzas eficaces con los donantes tradicionales y no tradicionales para PTE?</w:t>
      </w:r>
    </w:p>
    <w:p w:rsidR="00C22830" w:rsidRPr="000304E8" w:rsidRDefault="00C22830" w:rsidP="00C22830">
      <w:pPr>
        <w:rPr>
          <w:lang w:val="es-ES_tradnl"/>
        </w:rPr>
      </w:pPr>
    </w:p>
    <w:p w:rsidR="00C22830" w:rsidRPr="000304E8" w:rsidRDefault="00C22830" w:rsidP="00C22830">
      <w:pPr>
        <w:rPr>
          <w:lang w:val="es-ES_tradnl"/>
        </w:rPr>
      </w:pPr>
    </w:p>
    <w:sectPr w:rsidR="00C22830" w:rsidRPr="000304E8" w:rsidSect="00494277">
      <w:headerReference w:type="default" r:id="rId10"/>
      <w:footerReference w:type="default" r:id="rId11"/>
      <w:type w:val="continuous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5C" w:rsidRDefault="00926D5C" w:rsidP="00783D48">
      <w:pPr>
        <w:spacing w:after="0"/>
      </w:pPr>
      <w:r>
        <w:separator/>
      </w:r>
    </w:p>
  </w:endnote>
  <w:endnote w:type="continuationSeparator" w:id="0">
    <w:p w:rsidR="00926D5C" w:rsidRDefault="00926D5C" w:rsidP="00783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04" w:rsidRPr="00B45C74" w:rsidRDefault="008B4E04" w:rsidP="0091643D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F24BD0">
      <w:rPr>
        <w:b/>
        <w:noProof/>
        <w:color w:val="808080" w:themeColor="background1" w:themeShade="80"/>
        <w:sz w:val="18"/>
        <w:szCs w:val="18"/>
      </w:rPr>
      <w:t>9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8B4E04" w:rsidRPr="003A3500" w:rsidRDefault="008B4E04" w:rsidP="0091643D">
    <w:pPr>
      <w:pStyle w:val="Footer"/>
    </w:pPr>
    <w:proofErr w:type="spellStart"/>
    <w:r>
      <w:rPr>
        <w:b/>
      </w:rPr>
      <w:t>Módulo</w:t>
    </w:r>
    <w:proofErr w:type="spellEnd"/>
    <w:r w:rsidRPr="00107E15">
      <w:rPr>
        <w:b/>
      </w:rPr>
      <w:t xml:space="preserve"> </w:t>
    </w:r>
    <w:r w:rsidR="00F24BD0">
      <w:rPr>
        <w:b/>
      </w:rPr>
      <w:t>2</w:t>
    </w:r>
    <w:r w:rsidRPr="00107E15">
      <w:rPr>
        <w:b/>
      </w:rPr>
      <w:t>.</w:t>
    </w:r>
    <w:r>
      <w:t xml:space="preserve"> </w:t>
    </w:r>
    <w:proofErr w:type="spellStart"/>
    <w:r>
      <w:t>Etapa</w:t>
    </w:r>
    <w:proofErr w:type="spellEnd"/>
    <w:r w:rsidRPr="00107E15">
      <w:t xml:space="preserve"> </w:t>
    </w:r>
    <w:r w:rsidR="00F24BD0">
      <w:t>4</w:t>
    </w:r>
    <w:r w:rsidRPr="00107E15">
      <w:t>.</w:t>
    </w:r>
    <w:r w:rsidR="00F24BD0">
      <w:t xml:space="preserve"> Sub-</w:t>
    </w:r>
    <w:proofErr w:type="spellStart"/>
    <w:r w:rsidR="00F24BD0">
      <w:t>etapa</w:t>
    </w:r>
    <w:proofErr w:type="spellEnd"/>
    <w:r w:rsidR="00F24BD0">
      <w:t xml:space="preserve"> 2</w:t>
    </w:r>
    <w:r>
      <w:t>.</w:t>
    </w:r>
    <w:r w:rsidRPr="009C266C">
      <w:t xml:space="preserve"> </w:t>
    </w:r>
    <w:r w:rsidR="00926D5C">
      <w:fldChar w:fldCharType="begin"/>
    </w:r>
    <w:r w:rsidR="00926D5C">
      <w:instrText xml:space="preserve"> STYLEREF  H1 \t  \* MERGEFORMAT </w:instrText>
    </w:r>
    <w:r w:rsidR="00926D5C">
      <w:fldChar w:fldCharType="separate"/>
    </w:r>
    <w:r w:rsidR="00F24BD0" w:rsidRPr="00F24BD0">
      <w:rPr>
        <w:bCs/>
        <w:noProof/>
      </w:rPr>
      <w:t>Plantilla de autoevaluación para</w:t>
    </w:r>
    <w:r w:rsidR="00F24BD0">
      <w:rPr>
        <w:noProof/>
      </w:rPr>
      <w:t xml:space="preserve"> la preparación a los PTE</w:t>
    </w:r>
    <w:r w:rsidR="00926D5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5C" w:rsidRDefault="00926D5C" w:rsidP="00783D48">
      <w:pPr>
        <w:spacing w:after="0"/>
      </w:pPr>
      <w:r>
        <w:separator/>
      </w:r>
    </w:p>
  </w:footnote>
  <w:footnote w:type="continuationSeparator" w:id="0">
    <w:p w:rsidR="00926D5C" w:rsidRDefault="00926D5C" w:rsidP="00783D48">
      <w:pPr>
        <w:spacing w:after="0"/>
      </w:pPr>
      <w:r>
        <w:continuationSeparator/>
      </w:r>
    </w:p>
  </w:footnote>
  <w:footnote w:id="1">
    <w:p w:rsidR="008B4E04" w:rsidRPr="008843F9" w:rsidRDefault="008B4E0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8843F9">
        <w:rPr>
          <w:lang w:val="es-ES"/>
        </w:rPr>
        <w:t xml:space="preserve"> Basada y adaptada de OCAC de la FICR y de PTEOCAT de CaLP para ajustarse al marco de preparación a los PTE del Movimento de CRMLR</w:t>
      </w:r>
    </w:p>
  </w:footnote>
  <w:footnote w:id="2">
    <w:p w:rsidR="008B4E04" w:rsidRPr="008843F9" w:rsidRDefault="008B4E0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8843F9">
        <w:rPr>
          <w:lang w:val="es-ES"/>
        </w:rPr>
        <w:t xml:space="preserve"> CICR Y Federación Internacional de las Sociedades de la Cruz Roja y la Media Luna Roja (2015), ‘Directrices para la preparación y la integración insti</w:t>
      </w:r>
      <w:bookmarkStart w:id="0" w:name="_GoBack"/>
      <w:bookmarkEnd w:id="0"/>
      <w:r w:rsidRPr="008843F9">
        <w:rPr>
          <w:lang w:val="es-ES"/>
        </w:rPr>
        <w:t>tucional de Programas de transferencias de dinero en efectivo’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04" w:rsidRPr="008843F9" w:rsidRDefault="008B4E04" w:rsidP="009C5221">
    <w:pPr>
      <w:pStyle w:val="Header"/>
      <w:rPr>
        <w:szCs w:val="16"/>
        <w:lang w:val="es-ES"/>
      </w:rPr>
    </w:pPr>
    <w:r w:rsidRPr="008843F9">
      <w:rPr>
        <w:rStyle w:val="Pantone485"/>
        <w:lang w:val="es-ES"/>
      </w:rPr>
      <w:t xml:space="preserve">Movimiento International de la Cruz Roja y de la Media Luna Roja </w:t>
    </w:r>
    <w:r w:rsidRPr="008843F9">
      <w:rPr>
        <w:rStyle w:val="PageNumber"/>
        <w:bCs/>
        <w:szCs w:val="16"/>
        <w:lang w:val="es-ES"/>
      </w:rPr>
      <w:t>I</w:t>
    </w:r>
    <w:r w:rsidRPr="008843F9">
      <w:rPr>
        <w:rStyle w:val="PageNumber"/>
        <w:color w:val="FF0000"/>
        <w:szCs w:val="16"/>
        <w:lang w:val="es-ES"/>
      </w:rPr>
      <w:t xml:space="preserve"> </w:t>
    </w:r>
    <w:r w:rsidRPr="008843F9">
      <w:rPr>
        <w:b/>
        <w:szCs w:val="16"/>
        <w:lang w:val="es-ES"/>
      </w:rPr>
      <w:t xml:space="preserve">Caja de herramientas para PTE en emergencias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459"/>
    <w:multiLevelType w:val="hybridMultilevel"/>
    <w:tmpl w:val="0164DA9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2A4D"/>
    <w:multiLevelType w:val="hybridMultilevel"/>
    <w:tmpl w:val="F752C9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882"/>
    <w:multiLevelType w:val="hybridMultilevel"/>
    <w:tmpl w:val="82940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14E5"/>
    <w:multiLevelType w:val="hybridMultilevel"/>
    <w:tmpl w:val="8B2A5D24"/>
    <w:lvl w:ilvl="0" w:tplc="1F9AB4E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42725"/>
    <w:multiLevelType w:val="multilevel"/>
    <w:tmpl w:val="48B6C08C"/>
    <w:styleLink w:val="List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4DD58A6"/>
    <w:multiLevelType w:val="hybridMultilevel"/>
    <w:tmpl w:val="540CD6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0A602D"/>
    <w:multiLevelType w:val="hybridMultilevel"/>
    <w:tmpl w:val="EC342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6906"/>
    <w:multiLevelType w:val="hybridMultilevel"/>
    <w:tmpl w:val="966A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1AE2"/>
    <w:multiLevelType w:val="hybridMultilevel"/>
    <w:tmpl w:val="F6BAC508"/>
    <w:lvl w:ilvl="0" w:tplc="1F9AB4E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D3182"/>
    <w:multiLevelType w:val="hybridMultilevel"/>
    <w:tmpl w:val="2194AD54"/>
    <w:lvl w:ilvl="0" w:tplc="B02AE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67847"/>
    <w:multiLevelType w:val="hybridMultilevel"/>
    <w:tmpl w:val="1BC48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B1887"/>
    <w:multiLevelType w:val="hybridMultilevel"/>
    <w:tmpl w:val="4F060C7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ED43B6"/>
    <w:multiLevelType w:val="hybridMultilevel"/>
    <w:tmpl w:val="DFBCA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E1D16"/>
    <w:multiLevelType w:val="multilevel"/>
    <w:tmpl w:val="29AAA7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384151"/>
    <w:multiLevelType w:val="hybridMultilevel"/>
    <w:tmpl w:val="03B0F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75BEF"/>
    <w:multiLevelType w:val="hybridMultilevel"/>
    <w:tmpl w:val="3362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A28DD"/>
    <w:multiLevelType w:val="hybridMultilevel"/>
    <w:tmpl w:val="D85E1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E3FC6"/>
    <w:multiLevelType w:val="hybridMultilevel"/>
    <w:tmpl w:val="C6A421D0"/>
    <w:lvl w:ilvl="0" w:tplc="0809000F">
      <w:start w:val="1"/>
      <w:numFmt w:val="decimal"/>
      <w:lvlText w:val="%1."/>
      <w:lvlJc w:val="left"/>
      <w:pPr>
        <w:ind w:left="3479" w:hanging="360"/>
      </w:p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23"/>
  </w:num>
  <w:num w:numId="5">
    <w:abstractNumId w:val="14"/>
  </w:num>
  <w:num w:numId="6">
    <w:abstractNumId w:val="4"/>
  </w:num>
  <w:num w:numId="7">
    <w:abstractNumId w:val="12"/>
  </w:num>
  <w:num w:numId="8">
    <w:abstractNumId w:val="22"/>
  </w:num>
  <w:num w:numId="9">
    <w:abstractNumId w:val="8"/>
  </w:num>
  <w:num w:numId="10">
    <w:abstractNumId w:val="1"/>
  </w:num>
  <w:num w:numId="11">
    <w:abstractNumId w:val="13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17"/>
  </w:num>
  <w:num w:numId="17">
    <w:abstractNumId w:val="6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  <w:num w:numId="22">
    <w:abstractNumId w:val="21"/>
  </w:num>
  <w:num w:numId="23">
    <w:abstractNumId w:val="11"/>
  </w:num>
  <w:num w:numId="2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D0"/>
    <w:rsid w:val="000304E8"/>
    <w:rsid w:val="0003540C"/>
    <w:rsid w:val="00037D95"/>
    <w:rsid w:val="000465AE"/>
    <w:rsid w:val="00052F83"/>
    <w:rsid w:val="00057F00"/>
    <w:rsid w:val="000637FC"/>
    <w:rsid w:val="00076540"/>
    <w:rsid w:val="000926C2"/>
    <w:rsid w:val="000D4652"/>
    <w:rsid w:val="000D466D"/>
    <w:rsid w:val="000D4F63"/>
    <w:rsid w:val="000E22C1"/>
    <w:rsid w:val="000F1059"/>
    <w:rsid w:val="0011671E"/>
    <w:rsid w:val="00117153"/>
    <w:rsid w:val="00125860"/>
    <w:rsid w:val="0013632D"/>
    <w:rsid w:val="00156499"/>
    <w:rsid w:val="0019156D"/>
    <w:rsid w:val="0019271A"/>
    <w:rsid w:val="001A343E"/>
    <w:rsid w:val="001B6CCC"/>
    <w:rsid w:val="001B7972"/>
    <w:rsid w:val="001C63C6"/>
    <w:rsid w:val="001E689B"/>
    <w:rsid w:val="001F02C6"/>
    <w:rsid w:val="00203011"/>
    <w:rsid w:val="00215A0D"/>
    <w:rsid w:val="0022510D"/>
    <w:rsid w:val="00233014"/>
    <w:rsid w:val="002355AA"/>
    <w:rsid w:val="00236ACE"/>
    <w:rsid w:val="00254E79"/>
    <w:rsid w:val="00274597"/>
    <w:rsid w:val="00290977"/>
    <w:rsid w:val="00291793"/>
    <w:rsid w:val="00293933"/>
    <w:rsid w:val="002B1E9A"/>
    <w:rsid w:val="002B722D"/>
    <w:rsid w:val="002C7B2C"/>
    <w:rsid w:val="002E02CB"/>
    <w:rsid w:val="002E1236"/>
    <w:rsid w:val="002E13C8"/>
    <w:rsid w:val="0030288E"/>
    <w:rsid w:val="0031029C"/>
    <w:rsid w:val="00315DB0"/>
    <w:rsid w:val="00323A76"/>
    <w:rsid w:val="00324D0C"/>
    <w:rsid w:val="00326EB0"/>
    <w:rsid w:val="00330B99"/>
    <w:rsid w:val="0035625C"/>
    <w:rsid w:val="00391FB6"/>
    <w:rsid w:val="003941DE"/>
    <w:rsid w:val="003A5F48"/>
    <w:rsid w:val="003A74D9"/>
    <w:rsid w:val="003B6FB3"/>
    <w:rsid w:val="003B79D7"/>
    <w:rsid w:val="003C2EFE"/>
    <w:rsid w:val="003C4910"/>
    <w:rsid w:val="003C5F3C"/>
    <w:rsid w:val="003D1AD8"/>
    <w:rsid w:val="003D3160"/>
    <w:rsid w:val="003D3D72"/>
    <w:rsid w:val="00415EE3"/>
    <w:rsid w:val="00471468"/>
    <w:rsid w:val="00474C95"/>
    <w:rsid w:val="00475BAA"/>
    <w:rsid w:val="004832A5"/>
    <w:rsid w:val="00494277"/>
    <w:rsid w:val="00496EDC"/>
    <w:rsid w:val="004A1B46"/>
    <w:rsid w:val="004A2C9F"/>
    <w:rsid w:val="004A3AE0"/>
    <w:rsid w:val="004A60D0"/>
    <w:rsid w:val="004C1940"/>
    <w:rsid w:val="004C369D"/>
    <w:rsid w:val="004D1BBC"/>
    <w:rsid w:val="004D6004"/>
    <w:rsid w:val="004F1E5C"/>
    <w:rsid w:val="004F60CE"/>
    <w:rsid w:val="00501666"/>
    <w:rsid w:val="00502C1D"/>
    <w:rsid w:val="00525171"/>
    <w:rsid w:val="00531853"/>
    <w:rsid w:val="00544DB0"/>
    <w:rsid w:val="00550450"/>
    <w:rsid w:val="0055047F"/>
    <w:rsid w:val="00551840"/>
    <w:rsid w:val="005610AD"/>
    <w:rsid w:val="005635BE"/>
    <w:rsid w:val="00564A36"/>
    <w:rsid w:val="00571C7F"/>
    <w:rsid w:val="00581333"/>
    <w:rsid w:val="00584D2B"/>
    <w:rsid w:val="00586A20"/>
    <w:rsid w:val="005951AA"/>
    <w:rsid w:val="005A13F6"/>
    <w:rsid w:val="005A196B"/>
    <w:rsid w:val="005A1BC7"/>
    <w:rsid w:val="005A298A"/>
    <w:rsid w:val="005B149D"/>
    <w:rsid w:val="005B3092"/>
    <w:rsid w:val="005B7AC2"/>
    <w:rsid w:val="005C3306"/>
    <w:rsid w:val="005D29C7"/>
    <w:rsid w:val="005D6C85"/>
    <w:rsid w:val="005E3460"/>
    <w:rsid w:val="005F1360"/>
    <w:rsid w:val="00607E64"/>
    <w:rsid w:val="00613F3D"/>
    <w:rsid w:val="006159EB"/>
    <w:rsid w:val="00635B14"/>
    <w:rsid w:val="00660835"/>
    <w:rsid w:val="00686EE6"/>
    <w:rsid w:val="006954D3"/>
    <w:rsid w:val="00696A32"/>
    <w:rsid w:val="006A5B3C"/>
    <w:rsid w:val="006E0C2D"/>
    <w:rsid w:val="006E5D44"/>
    <w:rsid w:val="00715969"/>
    <w:rsid w:val="007163B0"/>
    <w:rsid w:val="00720B52"/>
    <w:rsid w:val="00733F2A"/>
    <w:rsid w:val="007421B3"/>
    <w:rsid w:val="007463BB"/>
    <w:rsid w:val="00754C00"/>
    <w:rsid w:val="00755215"/>
    <w:rsid w:val="0076558F"/>
    <w:rsid w:val="007775A7"/>
    <w:rsid w:val="00783D48"/>
    <w:rsid w:val="007D4D69"/>
    <w:rsid w:val="007F5836"/>
    <w:rsid w:val="008051AE"/>
    <w:rsid w:val="00807F21"/>
    <w:rsid w:val="00814E8F"/>
    <w:rsid w:val="008166E5"/>
    <w:rsid w:val="008301FB"/>
    <w:rsid w:val="00832AF9"/>
    <w:rsid w:val="008339DB"/>
    <w:rsid w:val="00846424"/>
    <w:rsid w:val="008658E0"/>
    <w:rsid w:val="00866CD2"/>
    <w:rsid w:val="0088250B"/>
    <w:rsid w:val="008843F9"/>
    <w:rsid w:val="008907BB"/>
    <w:rsid w:val="008A07C3"/>
    <w:rsid w:val="008A5203"/>
    <w:rsid w:val="008B4E04"/>
    <w:rsid w:val="008B67E2"/>
    <w:rsid w:val="008D111F"/>
    <w:rsid w:val="008D70BD"/>
    <w:rsid w:val="008E5EF4"/>
    <w:rsid w:val="00910C37"/>
    <w:rsid w:val="00911988"/>
    <w:rsid w:val="00912505"/>
    <w:rsid w:val="0091643D"/>
    <w:rsid w:val="00917DA3"/>
    <w:rsid w:val="00923FE4"/>
    <w:rsid w:val="00926D5C"/>
    <w:rsid w:val="0094639A"/>
    <w:rsid w:val="009517F0"/>
    <w:rsid w:val="00971947"/>
    <w:rsid w:val="00971B2B"/>
    <w:rsid w:val="0098045B"/>
    <w:rsid w:val="009931FC"/>
    <w:rsid w:val="009A0EE7"/>
    <w:rsid w:val="009C1D43"/>
    <w:rsid w:val="009C266C"/>
    <w:rsid w:val="009C3093"/>
    <w:rsid w:val="009C5204"/>
    <w:rsid w:val="009C5221"/>
    <w:rsid w:val="009D1FC9"/>
    <w:rsid w:val="009D52F3"/>
    <w:rsid w:val="009D6FC2"/>
    <w:rsid w:val="009E0BE3"/>
    <w:rsid w:val="009E50E6"/>
    <w:rsid w:val="009E6E42"/>
    <w:rsid w:val="009F0313"/>
    <w:rsid w:val="009F0CEA"/>
    <w:rsid w:val="009F1158"/>
    <w:rsid w:val="009F61C0"/>
    <w:rsid w:val="00A006CA"/>
    <w:rsid w:val="00A0384F"/>
    <w:rsid w:val="00A05721"/>
    <w:rsid w:val="00A23897"/>
    <w:rsid w:val="00A6767B"/>
    <w:rsid w:val="00A73E78"/>
    <w:rsid w:val="00A91194"/>
    <w:rsid w:val="00AA167A"/>
    <w:rsid w:val="00AA2905"/>
    <w:rsid w:val="00AB1611"/>
    <w:rsid w:val="00AB2241"/>
    <w:rsid w:val="00AB5F4C"/>
    <w:rsid w:val="00AC0E11"/>
    <w:rsid w:val="00AC0F39"/>
    <w:rsid w:val="00AC14A4"/>
    <w:rsid w:val="00B04236"/>
    <w:rsid w:val="00B13278"/>
    <w:rsid w:val="00B20BF2"/>
    <w:rsid w:val="00B26082"/>
    <w:rsid w:val="00B3054A"/>
    <w:rsid w:val="00B468EC"/>
    <w:rsid w:val="00B60E3F"/>
    <w:rsid w:val="00B66820"/>
    <w:rsid w:val="00B668E8"/>
    <w:rsid w:val="00B676EB"/>
    <w:rsid w:val="00B718E0"/>
    <w:rsid w:val="00B71EE7"/>
    <w:rsid w:val="00B76F9B"/>
    <w:rsid w:val="00B81205"/>
    <w:rsid w:val="00B909AB"/>
    <w:rsid w:val="00BA0A39"/>
    <w:rsid w:val="00BB3A15"/>
    <w:rsid w:val="00BB4895"/>
    <w:rsid w:val="00BB6F3A"/>
    <w:rsid w:val="00BC35CB"/>
    <w:rsid w:val="00C0350F"/>
    <w:rsid w:val="00C12861"/>
    <w:rsid w:val="00C22830"/>
    <w:rsid w:val="00C231D5"/>
    <w:rsid w:val="00C40A90"/>
    <w:rsid w:val="00C63E99"/>
    <w:rsid w:val="00C915E8"/>
    <w:rsid w:val="00CA23F1"/>
    <w:rsid w:val="00CA2BA6"/>
    <w:rsid w:val="00CC628F"/>
    <w:rsid w:val="00CE7FFA"/>
    <w:rsid w:val="00CF13A0"/>
    <w:rsid w:val="00D050F7"/>
    <w:rsid w:val="00D0603B"/>
    <w:rsid w:val="00D32422"/>
    <w:rsid w:val="00D54B28"/>
    <w:rsid w:val="00D57045"/>
    <w:rsid w:val="00D649F8"/>
    <w:rsid w:val="00D6765C"/>
    <w:rsid w:val="00D719D1"/>
    <w:rsid w:val="00D73D20"/>
    <w:rsid w:val="00D75650"/>
    <w:rsid w:val="00D95A25"/>
    <w:rsid w:val="00DC6780"/>
    <w:rsid w:val="00DD019F"/>
    <w:rsid w:val="00DE1A93"/>
    <w:rsid w:val="00DE29D0"/>
    <w:rsid w:val="00DF2D4B"/>
    <w:rsid w:val="00E05795"/>
    <w:rsid w:val="00E06346"/>
    <w:rsid w:val="00E2155D"/>
    <w:rsid w:val="00E2605F"/>
    <w:rsid w:val="00E2703A"/>
    <w:rsid w:val="00E3136E"/>
    <w:rsid w:val="00E32E03"/>
    <w:rsid w:val="00E3366F"/>
    <w:rsid w:val="00E540ED"/>
    <w:rsid w:val="00E54F34"/>
    <w:rsid w:val="00E62BB4"/>
    <w:rsid w:val="00E62BC8"/>
    <w:rsid w:val="00E759AC"/>
    <w:rsid w:val="00EA3099"/>
    <w:rsid w:val="00EB35F9"/>
    <w:rsid w:val="00EB5225"/>
    <w:rsid w:val="00EC0F2B"/>
    <w:rsid w:val="00ED4DBB"/>
    <w:rsid w:val="00ED6CC7"/>
    <w:rsid w:val="00EF5F96"/>
    <w:rsid w:val="00F017A8"/>
    <w:rsid w:val="00F24BD0"/>
    <w:rsid w:val="00F476D9"/>
    <w:rsid w:val="00F51AA2"/>
    <w:rsid w:val="00F631F2"/>
    <w:rsid w:val="00F64CC7"/>
    <w:rsid w:val="00F80450"/>
    <w:rsid w:val="00F84AA3"/>
    <w:rsid w:val="00F91EC4"/>
    <w:rsid w:val="00FB0EC4"/>
    <w:rsid w:val="00FB2BAC"/>
    <w:rsid w:val="00FB6C0D"/>
    <w:rsid w:val="00FC6784"/>
    <w:rsid w:val="00FD5035"/>
    <w:rsid w:val="00FE3E12"/>
    <w:rsid w:val="00FF68B3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C7B4F"/>
  <w15:docId w15:val="{03507AF4-18C9-45ED-9073-E8770270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6424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8464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2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424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4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64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9DB"/>
    <w:rPr>
      <w:rFonts w:ascii="Calibri" w:eastAsia="Times New Roman" w:hAnsi="Calibri"/>
      <w:lang w:val="es-ES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9DB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4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24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846424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46424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6424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84642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846424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804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46424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6424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46424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6424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46424"/>
    <w:rPr>
      <w:rFonts w:ascii="Arial" w:eastAsiaTheme="minorEastAsia" w:hAnsi="Arial" w:cs="Times New Roman"/>
      <w:sz w:val="16"/>
      <w:szCs w:val="18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846424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46424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46424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84642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6424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46424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46424"/>
    <w:rPr>
      <w:rFonts w:ascii="Arial" w:hAnsi="Arial"/>
      <w:sz w:val="20"/>
      <w:lang w:val="en-US"/>
    </w:rPr>
  </w:style>
  <w:style w:type="paragraph" w:customStyle="1" w:styleId="Default">
    <w:name w:val="Default"/>
    <w:rsid w:val="00846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unhideWhenUsed/>
    <w:rsid w:val="00846424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46424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84642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84642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846424"/>
    <w:pPr>
      <w:numPr>
        <w:numId w:val="1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84642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84642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846424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846424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846424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846424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846424"/>
    <w:pPr>
      <w:numPr>
        <w:numId w:val="16"/>
      </w:numPr>
      <w:tabs>
        <w:tab w:val="left" w:pos="7230"/>
      </w:tabs>
      <w:spacing w:before="24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47146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1"/>
    </w:rPr>
  </w:style>
  <w:style w:type="paragraph" w:customStyle="1" w:styleId="ListNumber1">
    <w:name w:val="List Number 1"/>
    <w:basedOn w:val="Normal"/>
    <w:rsid w:val="00846424"/>
    <w:pPr>
      <w:numPr>
        <w:ilvl w:val="1"/>
        <w:numId w:val="10"/>
      </w:numPr>
      <w:contextualSpacing/>
    </w:pPr>
    <w:rPr>
      <w:rFonts w:eastAsiaTheme="minorHAnsi" w:cstheme="minorHAnsi"/>
      <w:szCs w:val="22"/>
    </w:rPr>
  </w:style>
  <w:style w:type="numbering" w:customStyle="1" w:styleId="List1">
    <w:name w:val="List 1"/>
    <w:uiPriority w:val="99"/>
    <w:rsid w:val="009A0EE7"/>
    <w:pPr>
      <w:numPr>
        <w:numId w:val="17"/>
      </w:numPr>
    </w:pPr>
  </w:style>
  <w:style w:type="paragraph" w:customStyle="1" w:styleId="NormalNo">
    <w:name w:val="Normal + No"/>
    <w:basedOn w:val="Normal"/>
    <w:qFormat/>
    <w:rsid w:val="00846424"/>
    <w:pPr>
      <w:numPr>
        <w:numId w:val="18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846424"/>
    <w:pPr>
      <w:numPr>
        <w:numId w:val="1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846424"/>
    <w:pPr>
      <w:ind w:left="567"/>
    </w:pPr>
    <w:rPr>
      <w:rFonts w:cs="Arial"/>
      <w:b/>
    </w:rPr>
  </w:style>
  <w:style w:type="paragraph" w:customStyle="1" w:styleId="Heading3NotBold">
    <w:name w:val="Heading 3 Not Bold"/>
    <w:basedOn w:val="Normal"/>
    <w:qFormat/>
    <w:rsid w:val="000D466D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Normal"/>
    <w:qFormat/>
    <w:rsid w:val="0084642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46424"/>
    <w:pPr>
      <w:keepNext/>
      <w:keepLines/>
      <w:framePr w:hSpace="141" w:wrap="around" w:vAnchor="text" w:hAnchor="margin" w:y="402"/>
      <w:numPr>
        <w:numId w:val="24"/>
      </w:numPr>
      <w:spacing w:beforeLines="60" w:before="60" w:afterLines="20" w:after="20"/>
    </w:pPr>
  </w:style>
  <w:style w:type="character" w:customStyle="1" w:styleId="hps">
    <w:name w:val="hps"/>
    <w:basedOn w:val="DefaultParagraphFont"/>
    <w:rsid w:val="004832A5"/>
  </w:style>
  <w:style w:type="character" w:customStyle="1" w:styleId="shorttext">
    <w:name w:val="short_text"/>
    <w:basedOn w:val="DefaultParagraphFont"/>
    <w:rsid w:val="005B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75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2322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74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76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9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marker>
            <c:symbol val="none"/>
          </c:marker>
          <c:cat>
            <c:strRef>
              <c:f>Sheet1!$B$1:$E$1</c:f>
              <c:strCache>
                <c:ptCount val="4"/>
                <c:pt idx="0">
                  <c:v>Enabling systems</c:v>
                </c:pt>
                <c:pt idx="1">
                  <c:v>Programme tools</c:v>
                </c:pt>
                <c:pt idx="2">
                  <c:v>Resource and capacity</c:v>
                </c:pt>
                <c:pt idx="3">
                  <c:v>Communication and coordination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3.4</c:v>
                </c:pt>
                <c:pt idx="1">
                  <c:v>4.2</c:v>
                </c:pt>
                <c:pt idx="2">
                  <c:v>4</c:v>
                </c:pt>
                <c:pt idx="3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FC-4703-AD55-87C7B3A3C0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884352"/>
        <c:axId val="179131136"/>
      </c:radarChart>
      <c:catAx>
        <c:axId val="176884352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s-ES_tradnl"/>
          </a:p>
        </c:txPr>
        <c:crossAx val="179131136"/>
        <c:crosses val="autoZero"/>
        <c:auto val="1"/>
        <c:lblAlgn val="ctr"/>
        <c:lblOffset val="100"/>
        <c:noMultiLvlLbl val="0"/>
      </c:catAx>
      <c:valAx>
        <c:axId val="17913113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76884352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9C64-2A13-4F84-840A-5C4CBB5C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37</TotalTime>
  <Pages>1</Pages>
  <Words>4043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BRASS</dc:creator>
  <cp:lastModifiedBy>Ines DALMAU i GUTSENS</cp:lastModifiedBy>
  <cp:revision>5</cp:revision>
  <cp:lastPrinted>2015-09-12T13:45:00Z</cp:lastPrinted>
  <dcterms:created xsi:type="dcterms:W3CDTF">2016-02-22T10:44:00Z</dcterms:created>
  <dcterms:modified xsi:type="dcterms:W3CDTF">2016-02-22T14:59:00Z</dcterms:modified>
</cp:coreProperties>
</file>