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CA6E" w14:textId="2DAD37CD" w:rsidR="002D2351" w:rsidRPr="001B72DD" w:rsidRDefault="006E095B" w:rsidP="00E36E89">
      <w:pPr>
        <w:pStyle w:val="H1"/>
      </w:pPr>
      <w:r w:rsidRPr="001B72DD">
        <w:t xml:space="preserve">Feuille de route pour la distribution </w:t>
      </w:r>
      <w:r w:rsidR="00B752F1" w:rsidRPr="001B72DD">
        <w:t xml:space="preserve">des équipements </w:t>
      </w:r>
      <w:r w:rsidRPr="001B72DD">
        <w:t xml:space="preserve">et </w:t>
      </w:r>
      <w:r w:rsidR="00E36E89" w:rsidRPr="001B72DD">
        <w:t>le versement des fonds</w:t>
      </w:r>
    </w:p>
    <w:p w14:paraId="184D2878" w14:textId="5803373E" w:rsidR="001D2A29" w:rsidRPr="001B72DD" w:rsidRDefault="00046449" w:rsidP="001D2A29">
      <w:pPr>
        <w:pStyle w:val="H1"/>
        <w:ind w:left="-170"/>
        <w:rPr>
          <w:sz w:val="20"/>
        </w:rPr>
      </w:pPr>
      <w:r>
        <w:pict w14:anchorId="17398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3in">
            <v:imagedata r:id="rId9" o:title="04-Setup_Implementation-rodmap-EN5"/>
          </v:shape>
        </w:pict>
      </w:r>
    </w:p>
    <w:p w14:paraId="47945F96" w14:textId="77777777" w:rsidR="006C7416" w:rsidRPr="001B72DD" w:rsidRDefault="00D27308" w:rsidP="005255BE">
      <w:pPr>
        <w:pStyle w:val="Heading2"/>
      </w:pPr>
      <w:r w:rsidRPr="001B72DD">
        <w:t>INTRODUCTION</w:t>
      </w:r>
    </w:p>
    <w:p w14:paraId="2223E8A4" w14:textId="41F90937" w:rsidR="00952148" w:rsidRPr="001B72DD" w:rsidRDefault="00D27308" w:rsidP="00046449">
      <w:r w:rsidRPr="001B72DD">
        <w:t xml:space="preserve">Cette feuille de route vous guidera </w:t>
      </w:r>
      <w:r w:rsidR="00E36E89" w:rsidRPr="001B72DD">
        <w:t xml:space="preserve">tout au long du </w:t>
      </w:r>
      <w:r w:rsidRPr="001B72DD">
        <w:t>processus de</w:t>
      </w:r>
      <w:r w:rsidR="00E36E89" w:rsidRPr="001B72DD">
        <w:t xml:space="preserve"> distribution du matériel requis en fonction du </w:t>
      </w:r>
      <w:r w:rsidRPr="001B72DD">
        <w:t xml:space="preserve">mécanisme </w:t>
      </w:r>
      <w:r w:rsidR="00E36E89" w:rsidRPr="001B72DD">
        <w:t xml:space="preserve">de versement </w:t>
      </w:r>
      <w:r w:rsidR="00046449">
        <w:t>choisi</w:t>
      </w:r>
      <w:bookmarkStart w:id="0" w:name="_GoBack"/>
      <w:bookmarkEnd w:id="0"/>
      <w:r w:rsidRPr="001B72DD">
        <w:t xml:space="preserve">. </w:t>
      </w:r>
      <w:r w:rsidR="00E36E89" w:rsidRPr="001B72DD">
        <w:t>Pour les besoins de la Boîte à outils, l</w:t>
      </w:r>
      <w:r w:rsidRPr="001B72DD">
        <w:t>a distribution d</w:t>
      </w:r>
      <w:r w:rsidR="008375AF" w:rsidRPr="001B72DD">
        <w:t>’</w:t>
      </w:r>
      <w:r w:rsidRPr="001B72DD">
        <w:t>argent, qu</w:t>
      </w:r>
      <w:r w:rsidR="008375AF" w:rsidRPr="001B72DD">
        <w:t>’</w:t>
      </w:r>
      <w:r w:rsidRPr="001B72DD">
        <w:t>elle soit effectuée directement par l</w:t>
      </w:r>
      <w:r w:rsidR="008375AF" w:rsidRPr="001B72DD">
        <w:t>’</w:t>
      </w:r>
      <w:r w:rsidRPr="001B72DD">
        <w:t>organis</w:t>
      </w:r>
      <w:r w:rsidR="00E36E89" w:rsidRPr="001B72DD">
        <w:t>ation</w:t>
      </w:r>
      <w:r w:rsidRPr="001B72DD">
        <w:t xml:space="preserve"> ou par l</w:t>
      </w:r>
      <w:r w:rsidR="008375AF" w:rsidRPr="001B72DD">
        <w:t>’</w:t>
      </w:r>
      <w:r w:rsidRPr="001B72DD">
        <w:t xml:space="preserve">intermédiaire des </w:t>
      </w:r>
      <w:r w:rsidR="00E36E89" w:rsidRPr="001B72DD">
        <w:t>prestataires</w:t>
      </w:r>
      <w:r w:rsidRPr="001B72DD">
        <w:t xml:space="preserve"> de services financiers, sera appelée </w:t>
      </w:r>
      <w:r w:rsidR="00E36E89" w:rsidRPr="001B72DD">
        <w:t>versement des fonds</w:t>
      </w:r>
      <w:r w:rsidRPr="001B72DD">
        <w:t xml:space="preserve">. Parfois, en particulier lorsque les systèmes financiers sont faibles ou inexistants </w:t>
      </w:r>
      <w:r w:rsidR="00E36E89" w:rsidRPr="001B72DD">
        <w:t>du fait de la situation</w:t>
      </w:r>
      <w:r w:rsidRPr="001B72DD">
        <w:t xml:space="preserve"> d</w:t>
      </w:r>
      <w:r w:rsidR="008375AF" w:rsidRPr="001B72DD">
        <w:t>’</w:t>
      </w:r>
      <w:r w:rsidRPr="001B72DD">
        <w:t>urgence, l</w:t>
      </w:r>
      <w:r w:rsidR="00E36E89" w:rsidRPr="001B72DD">
        <w:t>e versement</w:t>
      </w:r>
      <w:r w:rsidRPr="001B72DD">
        <w:t xml:space="preserve"> direct est la seule option disponible. </w:t>
      </w:r>
    </w:p>
    <w:p w14:paraId="41F3CB17" w14:textId="0AB2D91F" w:rsidR="00E36E89" w:rsidRPr="001B72DD" w:rsidRDefault="00E36E89" w:rsidP="00E36E89">
      <w:r w:rsidRPr="001B72DD">
        <w:t>Elle vous indiquera également quel</w:t>
      </w:r>
      <w:r w:rsidR="005B29DB">
        <w:t>le</w:t>
      </w:r>
      <w:r w:rsidRPr="001B72DD">
        <w:t xml:space="preserve">s sont les ressources de la Boîte à outils qui sont les plus utiles pour cette étape et ses étapes subsidiaires. Ces outils devront être adaptés à vos besoins et à votre contexte.  </w:t>
      </w:r>
    </w:p>
    <w:p w14:paraId="40C2FD7C" w14:textId="77777777" w:rsidR="00E36E89" w:rsidRPr="001B72DD" w:rsidRDefault="00E36E89" w:rsidP="00E36E89">
      <w:r w:rsidRPr="001B72DD">
        <w:t xml:space="preserve">Il est important de respecter les normes minimales définies pour cette étape aux fins de garantir la qualité des PTM. </w:t>
      </w:r>
    </w:p>
    <w:p w14:paraId="13834681" w14:textId="77777777" w:rsidR="00E36E89" w:rsidRPr="001B72DD" w:rsidRDefault="00E36E89" w:rsidP="00E36E89">
      <w:r w:rsidRPr="001B72DD">
        <w:t xml:space="preserve">Il est probable que vous deviez </w:t>
      </w:r>
      <w:r w:rsidRPr="001B72DD">
        <w:rPr>
          <w:b/>
        </w:rPr>
        <w:t>aller et venir</w:t>
      </w:r>
      <w:r w:rsidRPr="001B72DD">
        <w:t xml:space="preserve"> entre les différentes étapes subsidiaires pour orienter la prise de décisions à mesure que des informations deviennent disponibles et que la mise en œuvre du processus progresse.</w:t>
      </w:r>
    </w:p>
    <w:p w14:paraId="2F0AD747" w14:textId="6BB8FE93" w:rsidR="005D7F72" w:rsidRPr="001B72DD" w:rsidRDefault="00E36E89" w:rsidP="00E36E89">
      <w:r w:rsidRPr="001B72DD">
        <w:t xml:space="preserve">Pour obtenir des orientations plus détaillées sur </w:t>
      </w:r>
      <w:r w:rsidR="005D7F72" w:rsidRPr="001B72DD">
        <w:t>la distribution et</w:t>
      </w:r>
      <w:r w:rsidRPr="001B72DD">
        <w:t xml:space="preserve"> le versement des fonds</w:t>
      </w:r>
      <w:r w:rsidR="005D7F72" w:rsidRPr="001B72DD">
        <w:t xml:space="preserve">, </w:t>
      </w:r>
      <w:r w:rsidRPr="001B72DD">
        <w:t>veuillez consulter les documents de référence mentionnés à la fin du document.</w:t>
      </w:r>
      <w:r w:rsidR="005D7F72" w:rsidRPr="001B72DD">
        <w:t xml:space="preserve"> </w:t>
      </w:r>
    </w:p>
    <w:p w14:paraId="6CE6EC5A" w14:textId="77777777" w:rsidR="006C7416" w:rsidRPr="001B72DD" w:rsidRDefault="00D27308" w:rsidP="005255BE">
      <w:pPr>
        <w:pStyle w:val="Heading2"/>
      </w:pPr>
      <w:r w:rsidRPr="001B72DD">
        <w:t>NORMES MINIMALES</w:t>
      </w:r>
    </w:p>
    <w:p w14:paraId="72063719" w14:textId="3270F8E7" w:rsidR="00113FA3" w:rsidRPr="001B72DD" w:rsidRDefault="00C2507C" w:rsidP="00C2507C">
      <w:pPr>
        <w:pStyle w:val="Bullet1"/>
      </w:pPr>
      <w:r w:rsidRPr="001B72DD">
        <w:t>L</w:t>
      </w:r>
      <w:r w:rsidR="00D27308" w:rsidRPr="001B72DD">
        <w:t>e personnel de l</w:t>
      </w:r>
      <w:r w:rsidR="008375AF" w:rsidRPr="001B72DD">
        <w:t>’</w:t>
      </w:r>
      <w:r w:rsidRPr="001B72DD">
        <w:t>organisation et du</w:t>
      </w:r>
      <w:r w:rsidR="00D27308" w:rsidRPr="001B72DD">
        <w:t xml:space="preserve"> </w:t>
      </w:r>
      <w:r w:rsidRPr="001B72DD">
        <w:t>prestataire</w:t>
      </w:r>
      <w:r w:rsidR="00D27308" w:rsidRPr="001B72DD">
        <w:t xml:space="preserve"> de services doit être sensibilisé, informé et/ou formé au sujet des programmes de transferts </w:t>
      </w:r>
      <w:r w:rsidR="004303F2" w:rsidRPr="001B72DD">
        <w:t>monétaires</w:t>
      </w:r>
      <w:r w:rsidR="00D27308" w:rsidRPr="001B72DD">
        <w:t>, en fonction de leur niveau de participation aux di</w:t>
      </w:r>
      <w:r w:rsidR="004303F2" w:rsidRPr="001B72DD">
        <w:t xml:space="preserve">stributions et </w:t>
      </w:r>
      <w:r w:rsidRPr="001B72DD">
        <w:t>aux versements</w:t>
      </w:r>
      <w:r w:rsidR="00E61FF6" w:rsidRPr="001B72DD">
        <w:t>.</w:t>
      </w:r>
    </w:p>
    <w:p w14:paraId="737CA467" w14:textId="50DE22BB" w:rsidR="00DA703F" w:rsidRPr="001B72DD" w:rsidRDefault="00C2507C" w:rsidP="00E61FF6">
      <w:pPr>
        <w:pStyle w:val="Bullet1"/>
      </w:pPr>
      <w:r w:rsidRPr="001B72DD">
        <w:t>Vérifier que les plans de versement sont compatibles avec l’emplacement et les capacités du prestataire de services</w:t>
      </w:r>
      <w:r w:rsidR="00E61FF6" w:rsidRPr="001B72DD">
        <w:t>.</w:t>
      </w:r>
    </w:p>
    <w:p w14:paraId="0FBBFA08" w14:textId="3B5CBF1E" w:rsidR="006C7416" w:rsidRPr="001B72DD" w:rsidRDefault="00D27308" w:rsidP="00E61FF6">
      <w:pPr>
        <w:pStyle w:val="Bullet1"/>
      </w:pPr>
      <w:r w:rsidRPr="001B72DD">
        <w:lastRenderedPageBreak/>
        <w:t xml:space="preserve">Vérifier que les sites de distribution directe </w:t>
      </w:r>
      <w:r w:rsidR="00E61FF6" w:rsidRPr="001B72DD">
        <w:t>d’argent</w:t>
      </w:r>
      <w:r w:rsidRPr="001B72DD">
        <w:t xml:space="preserve"> sont sécurisés et </w:t>
      </w:r>
      <w:r w:rsidR="00E61FF6" w:rsidRPr="001B72DD">
        <w:t>respectent</w:t>
      </w:r>
      <w:r w:rsidRPr="001B72DD">
        <w:t xml:space="preserve"> la dignité des bénéficiaires.</w:t>
      </w:r>
    </w:p>
    <w:p w14:paraId="3973CD10" w14:textId="66840B15" w:rsidR="006C7416" w:rsidRPr="001B72DD" w:rsidRDefault="00E61FF6" w:rsidP="005255BE">
      <w:pPr>
        <w:pStyle w:val="Heading2"/>
      </w:pPr>
      <w:r w:rsidRPr="001B72DD">
        <w:t>ÉTAPES ET ÉTAPES SUBSIDIAIRES</w:t>
      </w:r>
    </w:p>
    <w:p w14:paraId="2A8EB595" w14:textId="77777777" w:rsidR="00594E14" w:rsidRPr="001B72DD" w:rsidRDefault="00D27308" w:rsidP="005255BE">
      <w:pPr>
        <w:pStyle w:val="Heading3"/>
      </w:pPr>
      <w:r w:rsidRPr="001B72DD">
        <w:t>Formation et communication</w:t>
      </w:r>
    </w:p>
    <w:p w14:paraId="3FD8D5A4" w14:textId="5A9E9871" w:rsidR="00594E14" w:rsidRPr="001B72DD" w:rsidRDefault="00D27308" w:rsidP="00AF6E40">
      <w:r w:rsidRPr="001B72DD">
        <w:t xml:space="preserve">Avant de </w:t>
      </w:r>
      <w:r w:rsidR="004303F2" w:rsidRPr="001B72DD">
        <w:t xml:space="preserve">procéder aux </w:t>
      </w:r>
      <w:r w:rsidRPr="001B72DD">
        <w:t>distributions et</w:t>
      </w:r>
      <w:r w:rsidR="004303F2" w:rsidRPr="001B72DD">
        <w:t xml:space="preserve"> </w:t>
      </w:r>
      <w:r w:rsidR="001B72DD" w:rsidRPr="001B72DD">
        <w:t>aux versements</w:t>
      </w:r>
      <w:r w:rsidRPr="001B72DD">
        <w:t xml:space="preserve">, le personnel sur le terrain devrait avoir un aperçu général </w:t>
      </w:r>
      <w:r w:rsidR="00951884" w:rsidRPr="001B72DD">
        <w:t>de ce que sont les programmes de</w:t>
      </w:r>
      <w:r w:rsidRPr="001B72DD">
        <w:t xml:space="preserve"> transferts monétaires. L</w:t>
      </w:r>
      <w:r w:rsidR="008375AF" w:rsidRPr="001B72DD">
        <w:t>’</w:t>
      </w:r>
      <w:r w:rsidRPr="001B72DD">
        <w:t xml:space="preserve">accent devrait être mis sur les activités </w:t>
      </w:r>
      <w:r w:rsidR="00951884" w:rsidRPr="001B72DD">
        <w:t>aux</w:t>
      </w:r>
      <w:r w:rsidRPr="001B72DD">
        <w:t xml:space="preserve">quelles </w:t>
      </w:r>
      <w:r w:rsidR="00951884" w:rsidRPr="001B72DD">
        <w:t>il</w:t>
      </w:r>
      <w:r w:rsidRPr="001B72DD">
        <w:t xml:space="preserve"> </w:t>
      </w:r>
      <w:r w:rsidR="00951884" w:rsidRPr="001B72DD">
        <w:t>participera directement. Toutefois, le personnel</w:t>
      </w:r>
      <w:r w:rsidRPr="001B72DD">
        <w:t xml:space="preserve"> devrait être en mesure de répondre aux questions </w:t>
      </w:r>
      <w:r w:rsidR="00951884" w:rsidRPr="001B72DD">
        <w:t>les plus fréquentes des</w:t>
      </w:r>
      <w:r w:rsidRPr="001B72DD">
        <w:t xml:space="preserve"> bénéficiaires </w:t>
      </w:r>
      <w:r w:rsidR="004303F2" w:rsidRPr="001B72DD">
        <w:t xml:space="preserve">ou, au moins, </w:t>
      </w:r>
      <w:r w:rsidR="00AF6E40">
        <w:t xml:space="preserve">de </w:t>
      </w:r>
      <w:r w:rsidR="004303F2" w:rsidRPr="001B72DD">
        <w:t>pouvoir</w:t>
      </w:r>
      <w:r w:rsidRPr="001B72DD">
        <w:t xml:space="preserve"> les orienter de manière appropriée. Parmi les outils </w:t>
      </w:r>
      <w:r w:rsidR="00951884" w:rsidRPr="001B72DD">
        <w:t>de cette</w:t>
      </w:r>
      <w:r w:rsidRPr="001B72DD">
        <w:t xml:space="preserve"> </w:t>
      </w:r>
      <w:r w:rsidR="00951884" w:rsidRPr="001B72DD">
        <w:t>étape subsidiaire</w:t>
      </w:r>
      <w:r w:rsidRPr="001B72DD">
        <w:t>, vous trouverez un</w:t>
      </w:r>
      <w:r w:rsidR="00533E43">
        <w:t xml:space="preserve"> modèle de présentation pour un</w:t>
      </w:r>
      <w:r w:rsidRPr="001B72DD">
        <w:t xml:space="preserve">e </w:t>
      </w:r>
      <w:r w:rsidR="00AF6E40">
        <w:t>formation</w:t>
      </w:r>
      <w:r w:rsidR="00951884" w:rsidRPr="001B72DD">
        <w:t xml:space="preserve"> aux</w:t>
      </w:r>
      <w:r w:rsidRPr="001B72DD">
        <w:t xml:space="preserve"> programmes de transferts monétaires et un questionnaire de fin de </w:t>
      </w:r>
      <w:r w:rsidR="00951884" w:rsidRPr="001B72DD">
        <w:t>séance</w:t>
      </w:r>
      <w:r w:rsidRPr="001B72DD">
        <w:t>.</w:t>
      </w:r>
    </w:p>
    <w:p w14:paraId="7C88DD79" w14:textId="0E92F5E0" w:rsidR="00594E14" w:rsidRPr="001B72DD" w:rsidRDefault="00D27308" w:rsidP="00951884">
      <w:r w:rsidRPr="001B72DD">
        <w:t xml:space="preserve">Lorsque vous travaillez avec des </w:t>
      </w:r>
      <w:r w:rsidR="00951884" w:rsidRPr="001B72DD">
        <w:t>prestataires</w:t>
      </w:r>
      <w:r w:rsidRPr="001B72DD">
        <w:t xml:space="preserve"> de services financiers, leur personnel devra également être sen</w:t>
      </w:r>
      <w:r w:rsidR="00B97FAB">
        <w:t>sibilisé et informé au sujet du programme</w:t>
      </w:r>
      <w:r w:rsidRPr="001B72DD">
        <w:t xml:space="preserve"> de transferts monétaires.</w:t>
      </w:r>
      <w:r w:rsidR="00951884" w:rsidRPr="001B72DD">
        <w:t xml:space="preserve"> Les informations à communiquer dépendent du niveau de responsabilité des membres du personnel</w:t>
      </w:r>
      <w:r w:rsidRPr="001B72DD">
        <w:t>. Au minimum, l</w:t>
      </w:r>
      <w:r w:rsidR="008375AF" w:rsidRPr="001B72DD">
        <w:t>’</w:t>
      </w:r>
      <w:r w:rsidRPr="001B72DD">
        <w:t xml:space="preserve">ensemble du personnel doit </w:t>
      </w:r>
      <w:r w:rsidR="00951884" w:rsidRPr="001B72DD">
        <w:t>connaître le</w:t>
      </w:r>
      <w:r w:rsidRPr="001B72DD">
        <w:t xml:space="preserve"> mandat et </w:t>
      </w:r>
      <w:r w:rsidR="00951884" w:rsidRPr="001B72DD">
        <w:t>l</w:t>
      </w:r>
      <w:r w:rsidRPr="001B72DD">
        <w:t xml:space="preserve">es principes de la Croix-Rouge et du Croissant-Rouge, </w:t>
      </w:r>
      <w:r w:rsidR="00951884" w:rsidRPr="001B72DD">
        <w:t>l</w:t>
      </w:r>
      <w:r w:rsidRPr="001B72DD">
        <w:t>es objectifs</w:t>
      </w:r>
      <w:r w:rsidR="00951884" w:rsidRPr="001B72DD">
        <w:t xml:space="preserve"> et la portée </w:t>
      </w:r>
      <w:r w:rsidRPr="001B72DD">
        <w:t xml:space="preserve">du programme, </w:t>
      </w:r>
      <w:r w:rsidR="00951884" w:rsidRPr="001B72DD">
        <w:t xml:space="preserve">les différents rôles et </w:t>
      </w:r>
      <w:r w:rsidRPr="001B72DD">
        <w:t>responsabilités,</w:t>
      </w:r>
      <w:r w:rsidR="00951884" w:rsidRPr="001B72DD">
        <w:t xml:space="preserve"> et</w:t>
      </w:r>
      <w:r w:rsidRPr="001B72DD">
        <w:t xml:space="preserve"> </w:t>
      </w:r>
      <w:r w:rsidR="00951884" w:rsidRPr="001B72DD">
        <w:t>les systèmes de redevabilité et de</w:t>
      </w:r>
      <w:r w:rsidRPr="001B72DD">
        <w:t xml:space="preserve"> communication avec les bénéficiaire</w:t>
      </w:r>
      <w:r w:rsidR="002F16F2" w:rsidRPr="001B72DD">
        <w:t>s</w:t>
      </w:r>
      <w:r w:rsidRPr="001B72DD">
        <w:t xml:space="preserve"> (y compris le mécanisme de </w:t>
      </w:r>
      <w:r w:rsidR="00951884" w:rsidRPr="001B72DD">
        <w:t>réclamation et d</w:t>
      </w:r>
      <w:r w:rsidRPr="001B72DD">
        <w:t xml:space="preserve">e réponse). </w:t>
      </w:r>
      <w:r w:rsidR="00951884" w:rsidRPr="001B72DD">
        <w:t xml:space="preserve">Parmi les outils de cette étape subsidiaire, vous trouverez des orientations relatives à la </w:t>
      </w:r>
      <w:r w:rsidRPr="001B72DD">
        <w:t xml:space="preserve">formation des </w:t>
      </w:r>
      <w:r w:rsidR="00951884" w:rsidRPr="001B72DD">
        <w:t>prestataires</w:t>
      </w:r>
      <w:r w:rsidRPr="001B72DD">
        <w:t xml:space="preserve"> de services.</w:t>
      </w:r>
    </w:p>
    <w:p w14:paraId="29A5768D" w14:textId="57407668" w:rsidR="00594E14" w:rsidRPr="001B72DD" w:rsidRDefault="00D27308" w:rsidP="00D93685">
      <w:r w:rsidRPr="001B72DD">
        <w:t>Si le réseau d</w:t>
      </w:r>
      <w:r w:rsidR="008375AF" w:rsidRPr="001B72DD">
        <w:t>’</w:t>
      </w:r>
      <w:r w:rsidRPr="001B72DD">
        <w:t xml:space="preserve">agents </w:t>
      </w:r>
      <w:r w:rsidR="00D93685" w:rsidRPr="001B72DD">
        <w:t>est très vaste</w:t>
      </w:r>
      <w:r w:rsidRPr="001B72DD">
        <w:t xml:space="preserve">, il peut être utile de leur envoyer une lettre </w:t>
      </w:r>
      <w:r w:rsidR="00D93685" w:rsidRPr="001B72DD">
        <w:t>détaillant le</w:t>
      </w:r>
      <w:r w:rsidRPr="001B72DD">
        <w:t xml:space="preserve"> programme et </w:t>
      </w:r>
      <w:r w:rsidR="00D93685" w:rsidRPr="001B72DD">
        <w:t>l</w:t>
      </w:r>
      <w:r w:rsidRPr="001B72DD">
        <w:t>es exceptions qui peuvent s</w:t>
      </w:r>
      <w:r w:rsidR="008375AF" w:rsidRPr="001B72DD">
        <w:t>’</w:t>
      </w:r>
      <w:r w:rsidRPr="001B72DD">
        <w:t xml:space="preserve">appliquer à certains bénéficiaires. Cela peut améliorer la préparation des agents, accroître la transparence du programme et faciliter le suivi. À cet effet, </w:t>
      </w:r>
      <w:r w:rsidR="00D93685" w:rsidRPr="001B72DD">
        <w:t>les outils de cette étape subsidiaire comprennent</w:t>
      </w:r>
      <w:r w:rsidRPr="001B72DD">
        <w:t xml:space="preserve"> un modèle de lettre </w:t>
      </w:r>
      <w:r w:rsidR="00D93685" w:rsidRPr="001B72DD">
        <w:t xml:space="preserve">à adresser </w:t>
      </w:r>
      <w:r w:rsidRPr="001B72DD">
        <w:t xml:space="preserve">aux commerçants. </w:t>
      </w:r>
    </w:p>
    <w:p w14:paraId="4BC1C1FC" w14:textId="6F3BF300" w:rsidR="00594E14" w:rsidRPr="001B72DD" w:rsidRDefault="00F42F8F" w:rsidP="00D93685">
      <w:pPr>
        <w:pStyle w:val="Heading3"/>
      </w:pPr>
      <w:r>
        <w:t>Planification et distribution</w:t>
      </w:r>
      <w:r w:rsidR="00D93685" w:rsidRPr="001B72DD">
        <w:t xml:space="preserve"> de l’équipement nécessaire</w:t>
      </w:r>
    </w:p>
    <w:p w14:paraId="633BB451" w14:textId="6080B8EC" w:rsidR="0082053B" w:rsidRPr="001B72DD" w:rsidRDefault="00D27308" w:rsidP="00C135C4">
      <w:r w:rsidRPr="001B72DD">
        <w:t xml:space="preserve">Selon le mécanisme de </w:t>
      </w:r>
      <w:r w:rsidR="00D93685" w:rsidRPr="001B72DD">
        <w:t>distribution choisi</w:t>
      </w:r>
      <w:r w:rsidRPr="001B72DD">
        <w:t xml:space="preserve">, vous devrez </w:t>
      </w:r>
      <w:r w:rsidR="00D93685" w:rsidRPr="001B72DD">
        <w:t>fournir</w:t>
      </w:r>
      <w:r w:rsidRPr="001B72DD">
        <w:t xml:space="preserve"> des </w:t>
      </w:r>
      <w:r w:rsidR="00D93685" w:rsidRPr="001B72DD">
        <w:t>équipements</w:t>
      </w:r>
      <w:r w:rsidRPr="001B72DD">
        <w:t xml:space="preserve"> tels que des bons, des cartes, des téléphones mobiles et/ou des cartes SIM, etc. Les sites de distribution d</w:t>
      </w:r>
      <w:r w:rsidR="00D93685" w:rsidRPr="001B72DD">
        <w:t>oive</w:t>
      </w:r>
      <w:r w:rsidRPr="001B72DD">
        <w:t xml:space="preserve">nt être choisis et </w:t>
      </w:r>
      <w:r w:rsidR="00D93685" w:rsidRPr="001B72DD">
        <w:t>mis en place</w:t>
      </w:r>
      <w:r w:rsidRPr="001B72DD">
        <w:t xml:space="preserve"> avec soin, et les distribution</w:t>
      </w:r>
      <w:r w:rsidR="00D93685" w:rsidRPr="001B72DD">
        <w:t>s</w:t>
      </w:r>
      <w:r w:rsidRPr="001B72DD">
        <w:t xml:space="preserve"> </w:t>
      </w:r>
      <w:r w:rsidR="00D93685" w:rsidRPr="001B72DD">
        <w:t xml:space="preserve">doivent </w:t>
      </w:r>
      <w:r w:rsidRPr="001B72DD">
        <w:t>être planifié</w:t>
      </w:r>
      <w:r w:rsidR="00D93685" w:rsidRPr="001B72DD">
        <w:t>e</w:t>
      </w:r>
      <w:r w:rsidRPr="001B72DD">
        <w:t xml:space="preserve">s </w:t>
      </w:r>
      <w:r w:rsidR="00D93685" w:rsidRPr="001B72DD">
        <w:t xml:space="preserve">bien </w:t>
      </w:r>
      <w:r w:rsidRPr="001B72DD">
        <w:t>à l</w:t>
      </w:r>
      <w:r w:rsidR="008375AF" w:rsidRPr="001B72DD">
        <w:t>’</w:t>
      </w:r>
      <w:r w:rsidRPr="001B72DD">
        <w:t xml:space="preserve">avance, en collaboration avec la communauté et le </w:t>
      </w:r>
      <w:r w:rsidR="00D93685" w:rsidRPr="001B72DD">
        <w:t>prestataire</w:t>
      </w:r>
      <w:r w:rsidRPr="001B72DD">
        <w:t xml:space="preserve"> de services financiers. </w:t>
      </w:r>
      <w:r w:rsidR="00D93685" w:rsidRPr="001B72DD">
        <w:t>Parmi les outils de cette étape subsidiaire</w:t>
      </w:r>
      <w:r w:rsidRPr="001B72DD">
        <w:t xml:space="preserve">, vous trouverez </w:t>
      </w:r>
      <w:r w:rsidR="00C135C4">
        <w:t>une liste de contrôle pour l</w:t>
      </w:r>
      <w:r w:rsidR="008375AF" w:rsidRPr="001B72DD">
        <w:t>’</w:t>
      </w:r>
      <w:r w:rsidR="00DD5171">
        <w:t>évaluation des</w:t>
      </w:r>
      <w:r w:rsidRPr="001B72DD">
        <w:t xml:space="preserve"> site</w:t>
      </w:r>
      <w:r w:rsidR="00DD5171">
        <w:t>s</w:t>
      </w:r>
      <w:r w:rsidRPr="001B72DD">
        <w:t xml:space="preserve"> de distribution, un plan d</w:t>
      </w:r>
      <w:r w:rsidR="008375AF" w:rsidRPr="001B72DD">
        <w:t>’</w:t>
      </w:r>
      <w:r w:rsidRPr="001B72DD">
        <w:t xml:space="preserve">organisation du site de distribution, une liste de distribution et un aperçu du plan de distribution. </w:t>
      </w:r>
    </w:p>
    <w:p w14:paraId="72EA7A75" w14:textId="16819122" w:rsidR="00E9433A" w:rsidRPr="001B72DD" w:rsidRDefault="00D27308" w:rsidP="00E97C82">
      <w:pPr>
        <w:pStyle w:val="Heading3"/>
      </w:pPr>
      <w:r w:rsidRPr="001B72DD">
        <w:t xml:space="preserve">Planification </w:t>
      </w:r>
      <w:r w:rsidR="00E97C82" w:rsidRPr="001B72DD">
        <w:t>des versements</w:t>
      </w:r>
      <w:r w:rsidRPr="001B72DD">
        <w:t xml:space="preserve"> et mobilisation des agents</w:t>
      </w:r>
    </w:p>
    <w:p w14:paraId="2868D71D" w14:textId="75FF8CE2" w:rsidR="00AB1275" w:rsidRPr="001B72DD" w:rsidRDefault="00D27308" w:rsidP="001F3DE9">
      <w:r w:rsidRPr="001B72DD">
        <w:t xml:space="preserve">Les </w:t>
      </w:r>
      <w:r w:rsidR="00B752F1" w:rsidRPr="001B72DD">
        <w:t>prestataires</w:t>
      </w:r>
      <w:r w:rsidRPr="001B72DD">
        <w:t xml:space="preserve"> de services financiers comptent normalement sur des agents indépendants pour couvrir le dernier </w:t>
      </w:r>
      <w:r w:rsidR="001F3DE9" w:rsidRPr="001B72DD">
        <w:t>kilomètre qui les séparent des bénéficiaires</w:t>
      </w:r>
      <w:r w:rsidRPr="001B72DD">
        <w:t xml:space="preserve">. Les agents peuvent être </w:t>
      </w:r>
      <w:r w:rsidR="00F31AE4" w:rsidRPr="001B72DD">
        <w:t xml:space="preserve">des </w:t>
      </w:r>
      <w:r w:rsidRPr="001B72DD">
        <w:t xml:space="preserve">propriétaires de magasins, </w:t>
      </w:r>
      <w:r w:rsidR="00F31AE4" w:rsidRPr="001B72DD">
        <w:t xml:space="preserve">des </w:t>
      </w:r>
      <w:r w:rsidRPr="001B72DD">
        <w:t>concessionnaires de temps d</w:t>
      </w:r>
      <w:r w:rsidR="008375AF" w:rsidRPr="001B72DD">
        <w:t>’</w:t>
      </w:r>
      <w:r w:rsidRPr="001B72DD">
        <w:t xml:space="preserve">antenne, ou toute autre entreprise </w:t>
      </w:r>
      <w:r w:rsidR="001F3DE9" w:rsidRPr="001B72DD">
        <w:t>disposée à fournir des services de versement en</w:t>
      </w:r>
      <w:r w:rsidR="00F31AE4" w:rsidRPr="001B72DD">
        <w:t xml:space="preserve"> parallèle à</w:t>
      </w:r>
      <w:r w:rsidRPr="001B72DD">
        <w:t xml:space="preserve"> son activité principale.</w:t>
      </w:r>
    </w:p>
    <w:p w14:paraId="591129B5" w14:textId="5CA2C82A" w:rsidR="00AB1275" w:rsidRPr="001B72DD" w:rsidRDefault="001F3DE9" w:rsidP="007A1A29">
      <w:r w:rsidRPr="001B72DD">
        <w:t>Le prestataire</w:t>
      </w:r>
      <w:r w:rsidR="00D27308" w:rsidRPr="001B72DD">
        <w:t xml:space="preserve"> de services </w:t>
      </w:r>
      <w:r w:rsidRPr="001B72DD">
        <w:t>devrait vous fournir la</w:t>
      </w:r>
      <w:r w:rsidR="00D27308" w:rsidRPr="001B72DD">
        <w:t xml:space="preserve"> liste de ses agents</w:t>
      </w:r>
      <w:r w:rsidRPr="001B72DD">
        <w:t>, ainsi que des</w:t>
      </w:r>
      <w:r w:rsidR="00D27308" w:rsidRPr="001B72DD">
        <w:t xml:space="preserve"> informations sur leur emplacement et leur capacité journalière </w:t>
      </w:r>
      <w:r w:rsidRPr="001B72DD">
        <w:t xml:space="preserve">de versement. Cela permettra de </w:t>
      </w:r>
      <w:r w:rsidR="007A1A29" w:rsidRPr="001B72DD">
        <w:t xml:space="preserve">déterminer quels </w:t>
      </w:r>
      <w:r w:rsidR="00D27308" w:rsidRPr="001B72DD">
        <w:t>bénéficiaires</w:t>
      </w:r>
      <w:r w:rsidR="007A1A29" w:rsidRPr="001B72DD">
        <w:t xml:space="preserve"> se rendront dans quel point de versement</w:t>
      </w:r>
      <w:r w:rsidR="00D27308" w:rsidRPr="001B72DD">
        <w:t xml:space="preserve">. Les </w:t>
      </w:r>
      <w:r w:rsidR="007A1A29" w:rsidRPr="001B72DD">
        <w:t>prestataires</w:t>
      </w:r>
      <w:r w:rsidR="00D27308" w:rsidRPr="001B72DD">
        <w:t xml:space="preserve"> de services doivent expliquer la méthode de calcul utilisée. </w:t>
      </w:r>
    </w:p>
    <w:p w14:paraId="0279EB1C" w14:textId="07100987" w:rsidR="00AB1275" w:rsidRPr="001B72DD" w:rsidRDefault="00D27308" w:rsidP="00420FD8">
      <w:pPr>
        <w:rPr>
          <w:color w:val="000000"/>
        </w:rPr>
      </w:pPr>
      <w:r w:rsidRPr="001B72DD">
        <w:t xml:space="preserve">Parmi les outils </w:t>
      </w:r>
      <w:r w:rsidR="007A1A29" w:rsidRPr="001B72DD">
        <w:t>de cette étape subsidiaire</w:t>
      </w:r>
      <w:r w:rsidRPr="001B72DD">
        <w:t xml:space="preserve">, vous trouverez un outil </w:t>
      </w:r>
      <w:r w:rsidR="007A1A29" w:rsidRPr="001B72DD">
        <w:t>relatif à la</w:t>
      </w:r>
      <w:r w:rsidRPr="001B72DD">
        <w:t xml:space="preserve"> capacité </w:t>
      </w:r>
      <w:r w:rsidR="007A1A29" w:rsidRPr="001B72DD">
        <w:t>de versement des prestataires de services qui leur donnera des orientations sur les informations à fournir</w:t>
      </w:r>
      <w:r w:rsidRPr="001B72DD">
        <w:t xml:space="preserve">. En outre, vous trouverez un </w:t>
      </w:r>
      <w:r w:rsidR="007A1A29" w:rsidRPr="001B72DD">
        <w:t>modèle d’estimation du temps nécessaire pour effectuer les versements</w:t>
      </w:r>
      <w:r w:rsidRPr="001B72DD">
        <w:t xml:space="preserve"> qui vous </w:t>
      </w:r>
      <w:r w:rsidR="007A1A29" w:rsidRPr="001B72DD">
        <w:t>donnera une idée du nombre de jours dont</w:t>
      </w:r>
      <w:r w:rsidRPr="001B72DD">
        <w:t xml:space="preserve"> chaque agent a besoin pour effectuer les distributions </w:t>
      </w:r>
      <w:r w:rsidR="007A1A29" w:rsidRPr="001B72DD">
        <w:t>aux</w:t>
      </w:r>
      <w:r w:rsidRPr="001B72DD">
        <w:t xml:space="preserve"> bénéficiaires qui lui sont </w:t>
      </w:r>
      <w:r w:rsidR="00B019A3" w:rsidRPr="001B72DD">
        <w:t>attribués</w:t>
      </w:r>
      <w:r w:rsidRPr="001B72DD">
        <w:t xml:space="preserve">. Cela vous permettra de remplir le modèle de plan de mobilisation </w:t>
      </w:r>
      <w:r w:rsidR="007A1A29" w:rsidRPr="001B72DD">
        <w:t>des</w:t>
      </w:r>
      <w:r w:rsidRPr="001B72DD">
        <w:t xml:space="preserve"> agent</w:t>
      </w:r>
      <w:r w:rsidR="007A1A29" w:rsidRPr="001B72DD">
        <w:t>s</w:t>
      </w:r>
      <w:r w:rsidRPr="001B72DD">
        <w:t xml:space="preserve"> où figurent les dates </w:t>
      </w:r>
      <w:r w:rsidR="007A1A29" w:rsidRPr="001B72DD">
        <w:t>auxquelles les</w:t>
      </w:r>
      <w:r w:rsidRPr="001B72DD">
        <w:t xml:space="preserve"> formation</w:t>
      </w:r>
      <w:r w:rsidR="007A1A29" w:rsidRPr="001B72DD">
        <w:t>s</w:t>
      </w:r>
      <w:r w:rsidRPr="001B72DD">
        <w:t xml:space="preserve"> et</w:t>
      </w:r>
      <w:r w:rsidR="007A1A29" w:rsidRPr="001B72DD">
        <w:t xml:space="preserve"> les versements auront lieu, a</w:t>
      </w:r>
      <w:r w:rsidRPr="001B72DD">
        <w:t xml:space="preserve">insi que </w:t>
      </w:r>
      <w:r w:rsidRPr="001B72DD">
        <w:rPr>
          <w:color w:val="000000"/>
        </w:rPr>
        <w:t xml:space="preserve">le modèle de plan </w:t>
      </w:r>
      <w:r w:rsidR="007A1A29" w:rsidRPr="001B72DD">
        <w:rPr>
          <w:color w:val="000000"/>
        </w:rPr>
        <w:t>de versement qui contien</w:t>
      </w:r>
      <w:r w:rsidRPr="001B72DD">
        <w:rPr>
          <w:color w:val="000000"/>
        </w:rPr>
        <w:t>t des informations détaillées sur le nombre de ménages, le montant total à distribuer et le calendrier pour chaque village</w:t>
      </w:r>
      <w:r w:rsidR="00DC0844" w:rsidRPr="001B72DD">
        <w:rPr>
          <w:color w:val="000000"/>
        </w:rPr>
        <w:t>.</w:t>
      </w:r>
      <w:r w:rsidRPr="001B72DD">
        <w:rPr>
          <w:color w:val="000000"/>
        </w:rPr>
        <w:t xml:space="preserve"> </w:t>
      </w:r>
      <w:r w:rsidR="00DC0844" w:rsidRPr="001B72DD">
        <w:rPr>
          <w:color w:val="000000"/>
        </w:rPr>
        <w:t xml:space="preserve">Ce plan </w:t>
      </w:r>
      <w:r w:rsidR="007A1A29" w:rsidRPr="001B72DD">
        <w:rPr>
          <w:color w:val="000000"/>
        </w:rPr>
        <w:t>de versement</w:t>
      </w:r>
      <w:r w:rsidR="00DC0844" w:rsidRPr="001B72DD">
        <w:rPr>
          <w:color w:val="000000"/>
        </w:rPr>
        <w:t xml:space="preserve"> détaillé</w:t>
      </w:r>
      <w:r w:rsidRPr="001B72DD">
        <w:rPr>
          <w:color w:val="000000"/>
        </w:rPr>
        <w:t xml:space="preserve"> est adapté aux distributions à grande échelle</w:t>
      </w:r>
      <w:r w:rsidR="00420FD8" w:rsidRPr="001B72DD">
        <w:rPr>
          <w:color w:val="000000"/>
        </w:rPr>
        <w:t>,</w:t>
      </w:r>
      <w:r w:rsidRPr="001B72DD">
        <w:rPr>
          <w:color w:val="000000"/>
        </w:rPr>
        <w:t xml:space="preserve"> impliquant plusieurs sites et plusieurs communautés. Vous pouvez l</w:t>
      </w:r>
      <w:r w:rsidR="008375AF" w:rsidRPr="001B72DD">
        <w:rPr>
          <w:color w:val="000000"/>
        </w:rPr>
        <w:t>’</w:t>
      </w:r>
      <w:r w:rsidRPr="001B72DD">
        <w:rPr>
          <w:color w:val="000000"/>
        </w:rPr>
        <w:t xml:space="preserve">utiliser pour </w:t>
      </w:r>
      <w:r w:rsidR="00420FD8" w:rsidRPr="001B72DD">
        <w:rPr>
          <w:color w:val="000000"/>
        </w:rPr>
        <w:t>assurer la coordination avec les départements de la logistique, des finances, d</w:t>
      </w:r>
      <w:r w:rsidRPr="001B72DD">
        <w:rPr>
          <w:color w:val="000000"/>
        </w:rPr>
        <w:t xml:space="preserve">es ressources humaines, </w:t>
      </w:r>
      <w:r w:rsidR="00420FD8" w:rsidRPr="001B72DD">
        <w:rPr>
          <w:color w:val="000000"/>
        </w:rPr>
        <w:t xml:space="preserve">de </w:t>
      </w:r>
      <w:r w:rsidRPr="001B72DD">
        <w:rPr>
          <w:color w:val="000000"/>
        </w:rPr>
        <w:t>la sécurité et, si possible, les autorités locales.</w:t>
      </w:r>
    </w:p>
    <w:p w14:paraId="1A3D494C" w14:textId="74CEE924" w:rsidR="00AB1275" w:rsidRPr="001B72DD" w:rsidRDefault="00420FD8" w:rsidP="005255BE">
      <w:pPr>
        <w:pStyle w:val="Heading3"/>
      </w:pPr>
      <w:r w:rsidRPr="001B72DD">
        <w:t>Lancement des versements</w:t>
      </w:r>
    </w:p>
    <w:p w14:paraId="3C319DF6" w14:textId="6E388355" w:rsidR="004F4060" w:rsidRPr="001B72DD" w:rsidRDefault="00D27308" w:rsidP="000D2E8E">
      <w:r w:rsidRPr="001B72DD">
        <w:t xml:space="preserve">Le processus </w:t>
      </w:r>
      <w:r w:rsidR="00420FD8" w:rsidRPr="001B72DD">
        <w:t xml:space="preserve">de versement </w:t>
      </w:r>
      <w:r w:rsidRPr="001B72DD">
        <w:t xml:space="preserve">peut varier en fonction du mécanisme de distribution. Idéalement, vous devriez </w:t>
      </w:r>
      <w:r w:rsidR="00420FD8" w:rsidRPr="001B72DD">
        <w:t xml:space="preserve">vous </w:t>
      </w:r>
      <w:r w:rsidR="000D2E8E" w:rsidRPr="001B72DD">
        <w:t>référer</w:t>
      </w:r>
      <w:r w:rsidR="00420FD8" w:rsidRPr="001B72DD">
        <w:t xml:space="preserve"> aux</w:t>
      </w:r>
      <w:r w:rsidRPr="001B72DD">
        <w:t xml:space="preserve"> procédures internes détaillées </w:t>
      </w:r>
      <w:r w:rsidR="000D2E8E" w:rsidRPr="001B72DD">
        <w:t>relatives aux</w:t>
      </w:r>
      <w:r w:rsidRPr="001B72DD">
        <w:t xml:space="preserve"> </w:t>
      </w:r>
      <w:r w:rsidR="00420FD8" w:rsidRPr="001B72DD">
        <w:t xml:space="preserve">transferts monétaires par le biais de </w:t>
      </w:r>
      <w:r w:rsidRPr="001B72DD">
        <w:t xml:space="preserve">différents mécanismes de </w:t>
      </w:r>
      <w:r w:rsidR="000D2E8E" w:rsidRPr="001B72DD">
        <w:t>distribution et t</w:t>
      </w:r>
      <w:r w:rsidRPr="001B72DD">
        <w:t xml:space="preserve">ypes de </w:t>
      </w:r>
      <w:r w:rsidR="000D2E8E" w:rsidRPr="001B72DD">
        <w:t>prestataires</w:t>
      </w:r>
      <w:r w:rsidRPr="001B72DD">
        <w:t xml:space="preserve"> de services</w:t>
      </w:r>
      <w:r w:rsidR="000D2E8E" w:rsidRPr="001B72DD">
        <w:t>, énoncées</w:t>
      </w:r>
      <w:r w:rsidRPr="001B72DD">
        <w:t xml:space="preserve"> dans les procédures opérationnelles normalisées de votre </w:t>
      </w:r>
      <w:r w:rsidR="000D2E8E" w:rsidRPr="001B72DD">
        <w:t>organisation</w:t>
      </w:r>
      <w:r w:rsidRPr="001B72DD">
        <w:t>.</w:t>
      </w:r>
    </w:p>
    <w:p w14:paraId="5685BD6F" w14:textId="017B0DB7" w:rsidR="00AB1275" w:rsidRPr="001B72DD" w:rsidRDefault="00290D85" w:rsidP="00290D85">
      <w:r w:rsidRPr="001B72DD">
        <w:t>De manière générale</w:t>
      </w:r>
      <w:r w:rsidR="00D27308" w:rsidRPr="001B72DD">
        <w:t xml:space="preserve">, </w:t>
      </w:r>
      <w:r w:rsidRPr="001B72DD">
        <w:t>les versements</w:t>
      </w:r>
      <w:r w:rsidR="00D27308" w:rsidRPr="001B72DD">
        <w:t xml:space="preserve"> débute</w:t>
      </w:r>
      <w:r w:rsidRPr="001B72DD">
        <w:t>nt</w:t>
      </w:r>
      <w:r w:rsidR="00D27308" w:rsidRPr="001B72DD">
        <w:t xml:space="preserve"> avec un ordre de transfert de fonds, qui </w:t>
      </w:r>
      <w:r w:rsidRPr="001B72DD">
        <w:t>invite</w:t>
      </w:r>
      <w:r w:rsidR="00D27308" w:rsidRPr="001B72DD">
        <w:t xml:space="preserve"> et autorise le </w:t>
      </w:r>
      <w:r w:rsidRPr="001B72DD">
        <w:t>prestataire</w:t>
      </w:r>
      <w:r w:rsidR="00D27308" w:rsidRPr="001B72DD">
        <w:t xml:space="preserve"> de services financiers </w:t>
      </w:r>
      <w:r w:rsidR="0075557A" w:rsidRPr="001B72DD">
        <w:t xml:space="preserve">à </w:t>
      </w:r>
      <w:r w:rsidRPr="001B72DD">
        <w:t>distribuer des</w:t>
      </w:r>
      <w:r w:rsidR="00D27308" w:rsidRPr="001B72DD">
        <w:t xml:space="preserve"> fonds au nom de la Croix-Rouge et du Croissant-Rouge. </w:t>
      </w:r>
      <w:r w:rsidRPr="001B72DD">
        <w:t xml:space="preserve">Si l’ordre de transfert vise à donner des informations au prestataire de services sur le processus de planification, il devrait aussi indiquer le </w:t>
      </w:r>
      <w:r w:rsidR="00D27308" w:rsidRPr="001B72DD">
        <w:t xml:space="preserve">point </w:t>
      </w:r>
      <w:r w:rsidRPr="001B72DD">
        <w:t>ou l’agent de versement</w:t>
      </w:r>
      <w:r w:rsidR="00D27308" w:rsidRPr="001B72DD">
        <w:t xml:space="preserve"> prévu. Le </w:t>
      </w:r>
      <w:r w:rsidRPr="001B72DD">
        <w:t>prestataire</w:t>
      </w:r>
      <w:r w:rsidR="00D27308" w:rsidRPr="001B72DD">
        <w:t xml:space="preserve"> de services financiers peut </w:t>
      </w:r>
      <w:r w:rsidRPr="001B72DD">
        <w:t>proposer d’utiliser</w:t>
      </w:r>
      <w:r w:rsidR="00D27308" w:rsidRPr="001B72DD">
        <w:t xml:space="preserve"> son</w:t>
      </w:r>
      <w:r w:rsidRPr="001B72DD">
        <w:t xml:space="preserve"> propre</w:t>
      </w:r>
      <w:r w:rsidR="00D27308" w:rsidRPr="001B72DD">
        <w:t xml:space="preserve"> modèle d</w:t>
      </w:r>
      <w:r w:rsidR="008375AF" w:rsidRPr="001B72DD">
        <w:t>’</w:t>
      </w:r>
      <w:r w:rsidR="00D27308" w:rsidRPr="001B72DD">
        <w:t xml:space="preserve">ordre de transfert </w:t>
      </w:r>
      <w:r w:rsidRPr="001B72DD">
        <w:t>de fonds</w:t>
      </w:r>
      <w:r w:rsidR="00D27308" w:rsidRPr="001B72DD">
        <w:t xml:space="preserve">. Sinon, vous pouvez adapter celui mis à disposition dans les outils </w:t>
      </w:r>
      <w:r w:rsidRPr="001B72DD">
        <w:t>de l’étape subsidiaire</w:t>
      </w:r>
      <w:r w:rsidR="00D27308" w:rsidRPr="001B72DD">
        <w:t xml:space="preserve">. </w:t>
      </w:r>
    </w:p>
    <w:p w14:paraId="63C127B5" w14:textId="71633CD8" w:rsidR="00AB1275" w:rsidRPr="001B72DD" w:rsidRDefault="00D27308" w:rsidP="00B128BF">
      <w:r w:rsidRPr="001B72DD">
        <w:t xml:space="preserve">Vous devriez recevoir </w:t>
      </w:r>
      <w:r w:rsidR="00290D85" w:rsidRPr="001B72DD">
        <w:t>régulièrement, voire quotidiennement, d</w:t>
      </w:r>
      <w:r w:rsidRPr="001B72DD">
        <w:t xml:space="preserve">es rapports du </w:t>
      </w:r>
      <w:r w:rsidR="00290D85" w:rsidRPr="001B72DD">
        <w:t>prestataire</w:t>
      </w:r>
      <w:r w:rsidRPr="001B72DD">
        <w:t xml:space="preserve"> de services financiers </w:t>
      </w:r>
      <w:r w:rsidR="00290D85" w:rsidRPr="001B72DD">
        <w:t>sur le st</w:t>
      </w:r>
      <w:r w:rsidR="00B128BF" w:rsidRPr="001B72DD">
        <w:t>atut</w:t>
      </w:r>
      <w:r w:rsidR="0075557A" w:rsidRPr="001B72DD">
        <w:t xml:space="preserve"> </w:t>
      </w:r>
      <w:r w:rsidR="00B128BF" w:rsidRPr="001B72DD">
        <w:t xml:space="preserve">de chaque transfert. </w:t>
      </w:r>
      <w:r w:rsidRPr="001B72DD">
        <w:t xml:space="preserve">Les rapports devraient être présentés selon le format convenu dans le contrat. Parmi les outils </w:t>
      </w:r>
      <w:r w:rsidR="00B128BF" w:rsidRPr="001B72DD">
        <w:t>de cette étape subsidiaire</w:t>
      </w:r>
      <w:r w:rsidRPr="001B72DD">
        <w:t>, vous trouverez un exemple de rapport d</w:t>
      </w:r>
      <w:r w:rsidR="008375AF" w:rsidRPr="001B72DD">
        <w:t>’</w:t>
      </w:r>
      <w:r w:rsidRPr="001B72DD">
        <w:t>activité.</w:t>
      </w:r>
    </w:p>
    <w:p w14:paraId="041D4989" w14:textId="7F334E1A" w:rsidR="00AB1275" w:rsidRPr="001B72DD" w:rsidRDefault="00D27308" w:rsidP="00ED22C9">
      <w:r w:rsidRPr="001B72DD">
        <w:t>Le cas échéant, en particulier lorsque</w:t>
      </w:r>
      <w:r w:rsidR="00AC248A" w:rsidRPr="001B72DD">
        <w:t xml:space="preserve"> l’organisation verse directement les fonds aux</w:t>
      </w:r>
      <w:r w:rsidRPr="001B72DD">
        <w:t xml:space="preserve"> bénéficiaires, vous pouvez </w:t>
      </w:r>
      <w:r w:rsidR="00A54727" w:rsidRPr="001B72DD">
        <w:t xml:space="preserve">également </w:t>
      </w:r>
      <w:r w:rsidRPr="001B72DD">
        <w:t xml:space="preserve">produire et </w:t>
      </w:r>
      <w:r w:rsidR="00ED22C9" w:rsidRPr="001B72DD">
        <w:t>diffuser</w:t>
      </w:r>
      <w:r w:rsidRPr="001B72DD">
        <w:t xml:space="preserve"> des rapports de distribution internes. Les outils </w:t>
      </w:r>
      <w:r w:rsidR="00ED22C9" w:rsidRPr="001B72DD">
        <w:t xml:space="preserve">de l’étape subsidiaire </w:t>
      </w:r>
      <w:r w:rsidRPr="001B72DD">
        <w:t xml:space="preserve">comprennent un modèle de rapport </w:t>
      </w:r>
      <w:r w:rsidR="00ED22C9" w:rsidRPr="001B72DD">
        <w:t>de versement</w:t>
      </w:r>
      <w:r w:rsidRPr="001B72DD">
        <w:t>. Vous pouvez l</w:t>
      </w:r>
      <w:r w:rsidR="008375AF" w:rsidRPr="001B72DD">
        <w:t>’</w:t>
      </w:r>
      <w:r w:rsidRPr="001B72DD">
        <w:t xml:space="preserve">utiliser pour obtenir un aperçu rapide </w:t>
      </w:r>
      <w:r w:rsidR="00ED22C9" w:rsidRPr="001B72DD">
        <w:t>des fonds</w:t>
      </w:r>
      <w:r w:rsidRPr="001B72DD">
        <w:t xml:space="preserve"> distribué</w:t>
      </w:r>
      <w:r w:rsidR="00ED22C9" w:rsidRPr="001B72DD">
        <w:t>s</w:t>
      </w:r>
      <w:r w:rsidRPr="001B72DD">
        <w:t xml:space="preserve"> et du nombre de bénéficiaires servis.</w:t>
      </w:r>
    </w:p>
    <w:p w14:paraId="729ACD21" w14:textId="5AA0A307" w:rsidR="00AB1275" w:rsidRPr="001B72DD" w:rsidRDefault="00D27308" w:rsidP="00ED22C9">
      <w:pPr>
        <w:pStyle w:val="Heading3"/>
      </w:pPr>
      <w:r w:rsidRPr="001B72DD">
        <w:t xml:space="preserve">Clôture des </w:t>
      </w:r>
      <w:r w:rsidR="00ED22C9" w:rsidRPr="001B72DD">
        <w:t>versements</w:t>
      </w:r>
    </w:p>
    <w:p w14:paraId="37BC6C51" w14:textId="20470AB6" w:rsidR="0082053B" w:rsidRPr="001B72DD" w:rsidRDefault="00ED22C9" w:rsidP="001B72DD">
      <w:pPr>
        <w:spacing w:after="360"/>
      </w:pPr>
      <w:r w:rsidRPr="001B72DD">
        <w:t>Un rapprochement</w:t>
      </w:r>
      <w:r w:rsidR="00D27308" w:rsidRPr="001B72DD">
        <w:t xml:space="preserve"> des fonds </w:t>
      </w:r>
      <w:r w:rsidRPr="001B72DD">
        <w:t>reçus et versés devrait être effectué</w:t>
      </w:r>
      <w:r w:rsidR="00D27308" w:rsidRPr="001B72DD">
        <w:t xml:space="preserve"> régulièrement pendant toute la période </w:t>
      </w:r>
      <w:r w:rsidRPr="001B72DD">
        <w:t>de versement. À la fin du projet, le département des finances devrait effectuer un rapprochement final</w:t>
      </w:r>
      <w:r w:rsidR="00D27308" w:rsidRPr="001B72DD">
        <w:t xml:space="preserve"> des fonds. Tous les comptes</w:t>
      </w:r>
      <w:r w:rsidRPr="001B72DD">
        <w:t xml:space="preserve"> ouverts pour le programme</w:t>
      </w:r>
      <w:r w:rsidR="00D27308" w:rsidRPr="001B72DD">
        <w:t xml:space="preserve"> de transfert</w:t>
      </w:r>
      <w:r w:rsidR="008E6129" w:rsidRPr="001B72DD">
        <w:t>s</w:t>
      </w:r>
      <w:r w:rsidR="00D27308" w:rsidRPr="001B72DD">
        <w:t xml:space="preserve"> </w:t>
      </w:r>
      <w:r w:rsidR="008E6129" w:rsidRPr="001B72DD">
        <w:t>monétaires</w:t>
      </w:r>
      <w:r w:rsidR="00D27308" w:rsidRPr="001B72DD">
        <w:t xml:space="preserve"> doivent être </w:t>
      </w:r>
      <w:r w:rsidRPr="001B72DD">
        <w:t>soldés</w:t>
      </w:r>
      <w:r w:rsidR="00D27308" w:rsidRPr="001B72DD">
        <w:t xml:space="preserve"> et </w:t>
      </w:r>
      <w:r w:rsidRPr="001B72DD">
        <w:t>rapprochés</w:t>
      </w:r>
      <w:r w:rsidR="00D27308" w:rsidRPr="001B72DD">
        <w:t xml:space="preserve">. </w:t>
      </w:r>
      <w:r w:rsidR="001B72DD" w:rsidRPr="001B72DD">
        <w:t>Le prestataire de services financiers doit restituer t</w:t>
      </w:r>
      <w:r w:rsidR="00D27308" w:rsidRPr="001B72DD">
        <w:t>ous les fonds restants</w:t>
      </w:r>
      <w:r w:rsidR="001B72DD" w:rsidRPr="001B72DD">
        <w:t xml:space="preserve"> et les comptes doivent être fermés. </w:t>
      </w:r>
      <w:r w:rsidR="00D27308" w:rsidRPr="001B72DD">
        <w:t>Tous les documents, en version papier et électronique, utilisés pour le traitement et la mise en œuvre des transferts monétaires doivent être conservés conformément aux politiques de conservation des documents de l</w:t>
      </w:r>
      <w:r w:rsidR="008375AF" w:rsidRPr="001B72DD">
        <w:t>’</w:t>
      </w:r>
      <w:r w:rsidR="00D27308" w:rsidRPr="001B72DD">
        <w:t>organisation.</w:t>
      </w:r>
    </w:p>
    <w:tbl>
      <w:tblPr>
        <w:tblStyle w:val="TableGray"/>
        <w:tblW w:w="0" w:type="auto"/>
        <w:tblLook w:val="04A0" w:firstRow="1" w:lastRow="0" w:firstColumn="1" w:lastColumn="0" w:noHBand="0" w:noVBand="1"/>
      </w:tblPr>
      <w:tblGrid>
        <w:gridCol w:w="9848"/>
      </w:tblGrid>
      <w:tr w:rsidR="005255BE" w:rsidRPr="001B72DD" w14:paraId="3FDDE400" w14:textId="77777777" w:rsidTr="005255BE">
        <w:tc>
          <w:tcPr>
            <w:tcW w:w="9848" w:type="dxa"/>
          </w:tcPr>
          <w:p w14:paraId="512FD9AD" w14:textId="77777777" w:rsidR="005255BE" w:rsidRPr="001B72DD" w:rsidRDefault="005255BE" w:rsidP="005255BE">
            <w:pPr>
              <w:pStyle w:val="RefTitre"/>
              <w:keepNext/>
              <w:keepLines/>
              <w:rPr>
                <w:rFonts w:cs="Arial"/>
                <w:sz w:val="20"/>
                <w:szCs w:val="20"/>
              </w:rPr>
            </w:pPr>
            <w:r w:rsidRPr="001B72DD">
              <w:rPr>
                <w:sz w:val="20"/>
              </w:rPr>
              <w:t>DOCUMENTS DE RÉFÉRENCE</w:t>
            </w:r>
          </w:p>
          <w:p w14:paraId="33BEAA13" w14:textId="1CDA2983" w:rsidR="005255BE" w:rsidRPr="001B72DD" w:rsidRDefault="008E6129" w:rsidP="005255BE">
            <w:pPr>
              <w:pStyle w:val="RefItem1"/>
              <w:keepNext/>
              <w:keepLines/>
              <w:rPr>
                <w:rFonts w:cs="Arial"/>
                <w:szCs w:val="20"/>
              </w:rPr>
            </w:pPr>
            <w:r w:rsidRPr="001B72DD">
              <w:t xml:space="preserve">CaLP, </w:t>
            </w:r>
            <w:r w:rsidR="005255BE" w:rsidRPr="001B72DD">
              <w:rPr>
                <w:i/>
              </w:rPr>
              <w:t xml:space="preserve">Directives pour la mise en </w:t>
            </w:r>
            <w:r w:rsidR="000F7938" w:rsidRPr="001B72DD">
              <w:rPr>
                <w:i/>
              </w:rPr>
              <w:t>œuvre</w:t>
            </w:r>
            <w:r w:rsidR="005255BE" w:rsidRPr="001B72DD">
              <w:rPr>
                <w:i/>
              </w:rPr>
              <w:t xml:space="preserve"> de transferts électroniques en situation d</w:t>
            </w:r>
            <w:r w:rsidR="008375AF" w:rsidRPr="001B72DD">
              <w:rPr>
                <w:i/>
              </w:rPr>
              <w:t>’</w:t>
            </w:r>
            <w:r w:rsidR="005255BE" w:rsidRPr="001B72DD">
              <w:rPr>
                <w:i/>
              </w:rPr>
              <w:t>urgence</w:t>
            </w:r>
            <w:r w:rsidRPr="001B72DD">
              <w:rPr>
                <w:i/>
              </w:rPr>
              <w:t xml:space="preserve"> </w:t>
            </w:r>
            <w:r w:rsidR="005255BE" w:rsidRPr="001B72DD">
              <w:t>(2013)</w:t>
            </w:r>
            <w:r w:rsidRPr="001B72DD">
              <w:t xml:space="preserve"> </w:t>
            </w:r>
            <w:r w:rsidRPr="001B72DD">
              <w:br/>
            </w:r>
            <w:hyperlink r:id="rId10">
              <w:r w:rsidR="005255BE" w:rsidRPr="001B72DD">
                <w:rPr>
                  <w:rStyle w:val="Hyperlink"/>
                </w:rPr>
                <w:t>http://www.cashlearning.org/resources/library/429-directives-pour-la-mise-en-oeuvre-de-transferts-lectroniques-en-situation-durgence</w:t>
              </w:r>
            </w:hyperlink>
          </w:p>
          <w:p w14:paraId="348F67C8" w14:textId="74F6FF78" w:rsidR="005255BE" w:rsidRPr="001B72DD" w:rsidRDefault="008E6129" w:rsidP="005255BE">
            <w:pPr>
              <w:pStyle w:val="RefItem1"/>
              <w:keepNext/>
              <w:keepLines/>
              <w:rPr>
                <w:rFonts w:cs="Arial"/>
                <w:szCs w:val="20"/>
              </w:rPr>
            </w:pPr>
            <w:proofErr w:type="spellStart"/>
            <w:r w:rsidRPr="005B29DB">
              <w:rPr>
                <w:lang w:val="en-GB"/>
              </w:rPr>
              <w:t>CaLP</w:t>
            </w:r>
            <w:proofErr w:type="spellEnd"/>
            <w:r w:rsidRPr="005B29DB">
              <w:rPr>
                <w:lang w:val="en-GB"/>
              </w:rPr>
              <w:t xml:space="preserve">, </w:t>
            </w:r>
            <w:r w:rsidR="005255BE" w:rsidRPr="005B29DB">
              <w:rPr>
                <w:i/>
                <w:lang w:val="en-GB"/>
              </w:rPr>
              <w:t>Delivering Money: Cash Transfer Mechanisms in Emergencies</w:t>
            </w:r>
            <w:r w:rsidR="005255BE" w:rsidRPr="005B29DB">
              <w:rPr>
                <w:lang w:val="en-GB"/>
              </w:rPr>
              <w:t xml:space="preserve"> (2010)</w:t>
            </w:r>
            <w:r w:rsidRPr="005B29DB">
              <w:rPr>
                <w:lang w:val="en-GB"/>
              </w:rPr>
              <w:t>.</w:t>
            </w:r>
            <w:r w:rsidR="005255BE" w:rsidRPr="005B29DB">
              <w:rPr>
                <w:lang w:val="en-GB"/>
              </w:rPr>
              <w:t xml:space="preserve"> </w:t>
            </w:r>
            <w:r w:rsidR="005255BE" w:rsidRPr="005B29DB">
              <w:rPr>
                <w:lang w:val="en-GB"/>
              </w:rPr>
              <w:br/>
            </w:r>
            <w:hyperlink r:id="rId11">
              <w:r w:rsidR="005255BE" w:rsidRPr="001B72DD">
                <w:rPr>
                  <w:rStyle w:val="Hyperlink"/>
                </w:rPr>
                <w:t>http://www.cashlearning.org/resources/library/6-delivering-money-cash-transfer-mechanisms-in-emergencies</w:t>
              </w:r>
            </w:hyperlink>
          </w:p>
          <w:p w14:paraId="4DD3ECF8" w14:textId="103FA926" w:rsidR="005255BE" w:rsidRPr="005B29DB" w:rsidRDefault="005255BE" w:rsidP="005255BE">
            <w:pPr>
              <w:pStyle w:val="RefItem1"/>
              <w:keepNext/>
              <w:keepLines/>
              <w:rPr>
                <w:rFonts w:cs="Arial"/>
                <w:szCs w:val="20"/>
                <w:lang w:val="en-GB"/>
              </w:rPr>
            </w:pPr>
            <w:proofErr w:type="spellStart"/>
            <w:r w:rsidRPr="005B29DB">
              <w:rPr>
                <w:lang w:val="en-GB"/>
              </w:rPr>
              <w:t>CaLP</w:t>
            </w:r>
            <w:proofErr w:type="spellEnd"/>
            <w:r w:rsidR="008E6129" w:rsidRPr="005B29DB">
              <w:rPr>
                <w:lang w:val="en-GB"/>
              </w:rPr>
              <w:t>,</w:t>
            </w:r>
            <w:r w:rsidRPr="005B29DB">
              <w:rPr>
                <w:lang w:val="en-GB"/>
              </w:rPr>
              <w:t xml:space="preserve"> </w:t>
            </w:r>
            <w:r w:rsidRPr="005B29DB">
              <w:rPr>
                <w:i/>
                <w:lang w:val="en-GB"/>
              </w:rPr>
              <w:t>e-payments in CTP. A quick information sheet</w:t>
            </w:r>
            <w:r w:rsidRPr="005B29DB">
              <w:rPr>
                <w:lang w:val="en-GB"/>
              </w:rPr>
              <w:t xml:space="preserve">. </w:t>
            </w:r>
            <w:r w:rsidRPr="005B29DB">
              <w:rPr>
                <w:lang w:val="en-GB"/>
              </w:rPr>
              <w:br/>
            </w:r>
            <w:hyperlink r:id="rId12">
              <w:r w:rsidRPr="005B29DB">
                <w:rPr>
                  <w:rStyle w:val="Hyperlink"/>
                  <w:lang w:val="en-GB"/>
                </w:rPr>
                <w:t>http://www.cashlearning.org/resources/library/287-e-payments-in-cash-transfer-programming-quick-tool</w:t>
              </w:r>
            </w:hyperlink>
          </w:p>
          <w:p w14:paraId="5636C03B" w14:textId="16275481" w:rsidR="005255BE" w:rsidRPr="001B72DD" w:rsidRDefault="008E6129" w:rsidP="005255BE">
            <w:pPr>
              <w:pStyle w:val="RefItem1"/>
              <w:keepNext/>
              <w:keepLines/>
              <w:rPr>
                <w:rFonts w:cs="Arial"/>
                <w:szCs w:val="20"/>
              </w:rPr>
            </w:pPr>
            <w:r w:rsidRPr="005B29DB">
              <w:rPr>
                <w:lang w:val="en-GB"/>
              </w:rPr>
              <w:t xml:space="preserve">CaLP, </w:t>
            </w:r>
            <w:r w:rsidR="005255BE" w:rsidRPr="005B29DB">
              <w:rPr>
                <w:i/>
                <w:lang w:val="en-GB"/>
              </w:rPr>
              <w:t>A quick delivery guide: Cheques</w:t>
            </w:r>
            <w:r w:rsidR="005255BE" w:rsidRPr="005B29DB">
              <w:rPr>
                <w:lang w:val="en-GB"/>
              </w:rPr>
              <w:t xml:space="preserve"> (2011)</w:t>
            </w:r>
            <w:r w:rsidRPr="005B29DB">
              <w:rPr>
                <w:lang w:val="en-GB"/>
              </w:rPr>
              <w:t>.</w:t>
            </w:r>
            <w:r w:rsidR="005255BE" w:rsidRPr="005B29DB">
              <w:rPr>
                <w:lang w:val="en-GB"/>
              </w:rPr>
              <w:t xml:space="preserve"> </w:t>
            </w:r>
            <w:r w:rsidR="005255BE" w:rsidRPr="005B29DB">
              <w:rPr>
                <w:lang w:val="en-GB"/>
              </w:rPr>
              <w:br/>
            </w:r>
            <w:hyperlink r:id="rId13">
              <w:r w:rsidR="005255BE" w:rsidRPr="001B72DD">
                <w:rPr>
                  <w:rStyle w:val="Hyperlink"/>
                </w:rPr>
                <w:t>http://www.cashlearning.org/resources/library/22-cheques---a-quick-</w:t>
              </w:r>
              <w:proofErr w:type="spellStart"/>
              <w:r w:rsidR="005255BE" w:rsidRPr="001B72DD">
                <w:rPr>
                  <w:rStyle w:val="Hyperlink"/>
                </w:rPr>
                <w:t>delivery</w:t>
              </w:r>
              <w:proofErr w:type="spellEnd"/>
              <w:r w:rsidR="005255BE" w:rsidRPr="001B72DD">
                <w:rPr>
                  <w:rStyle w:val="Hyperlink"/>
                </w:rPr>
                <w:t>-guide-</w:t>
              </w:r>
              <w:proofErr w:type="spellStart"/>
              <w:r w:rsidR="005255BE" w:rsidRPr="001B72DD">
                <w:rPr>
                  <w:rStyle w:val="Hyperlink"/>
                </w:rPr>
                <w:t>screen</w:t>
              </w:r>
              <w:proofErr w:type="spellEnd"/>
              <w:r w:rsidR="005255BE" w:rsidRPr="001B72DD">
                <w:rPr>
                  <w:rStyle w:val="Hyperlink"/>
                </w:rPr>
                <w:t>-version</w:t>
              </w:r>
            </w:hyperlink>
          </w:p>
          <w:p w14:paraId="0D7984FB" w14:textId="798457F4" w:rsidR="005255BE" w:rsidRPr="001B72DD" w:rsidRDefault="008E6129" w:rsidP="005255BE">
            <w:pPr>
              <w:pStyle w:val="RefItem1"/>
              <w:keepNext/>
              <w:keepLines/>
              <w:rPr>
                <w:rFonts w:cs="Arial"/>
                <w:szCs w:val="20"/>
              </w:rPr>
            </w:pPr>
            <w:r w:rsidRPr="005B29DB">
              <w:rPr>
                <w:lang w:val="en-GB"/>
              </w:rPr>
              <w:t xml:space="preserve">CaLP, </w:t>
            </w:r>
            <w:r w:rsidR="005255BE" w:rsidRPr="005B29DB">
              <w:rPr>
                <w:i/>
                <w:lang w:val="en-GB"/>
              </w:rPr>
              <w:t>A quick delivery guide: Cards</w:t>
            </w:r>
            <w:r w:rsidR="005255BE" w:rsidRPr="005B29DB">
              <w:rPr>
                <w:lang w:val="en-GB"/>
              </w:rPr>
              <w:t xml:space="preserve"> (2011)</w:t>
            </w:r>
            <w:r w:rsidRPr="005B29DB">
              <w:rPr>
                <w:lang w:val="en-GB"/>
              </w:rPr>
              <w:t>.</w:t>
            </w:r>
            <w:r w:rsidR="005255BE" w:rsidRPr="005B29DB">
              <w:rPr>
                <w:lang w:val="en-GB"/>
              </w:rPr>
              <w:t xml:space="preserve"> </w:t>
            </w:r>
            <w:r w:rsidR="005255BE" w:rsidRPr="005B29DB">
              <w:rPr>
                <w:lang w:val="en-GB"/>
              </w:rPr>
              <w:br/>
            </w:r>
            <w:hyperlink r:id="rId14">
              <w:r w:rsidR="005255BE" w:rsidRPr="001B72DD">
                <w:rPr>
                  <w:rStyle w:val="Hyperlink"/>
                </w:rPr>
                <w:t>http://www.cashlearning.org/resources/library/235-delivering-cash-through-cards---a-quick-delivery-guide-booklet</w:t>
              </w:r>
            </w:hyperlink>
          </w:p>
          <w:p w14:paraId="09EF5A18" w14:textId="601211B7" w:rsidR="005255BE" w:rsidRPr="001B72DD" w:rsidRDefault="008E6129" w:rsidP="005255BE">
            <w:pPr>
              <w:pStyle w:val="RefItem1"/>
              <w:keepNext/>
              <w:keepLines/>
              <w:rPr>
                <w:rFonts w:cs="Arial"/>
                <w:szCs w:val="20"/>
              </w:rPr>
            </w:pPr>
            <w:r w:rsidRPr="005B29DB">
              <w:rPr>
                <w:lang w:val="en-GB"/>
              </w:rPr>
              <w:t xml:space="preserve">CaLP, </w:t>
            </w:r>
            <w:r w:rsidR="005255BE" w:rsidRPr="005B29DB">
              <w:rPr>
                <w:i/>
                <w:lang w:val="en-GB"/>
              </w:rPr>
              <w:t>A quick delivery guide: Direct Cash</w:t>
            </w:r>
            <w:r w:rsidR="005255BE" w:rsidRPr="005B29DB">
              <w:rPr>
                <w:lang w:val="en-GB"/>
              </w:rPr>
              <w:t xml:space="preserve"> (2011)</w:t>
            </w:r>
            <w:r w:rsidR="00CD106D" w:rsidRPr="005B29DB">
              <w:rPr>
                <w:lang w:val="en-GB"/>
              </w:rPr>
              <w:t>.</w:t>
            </w:r>
            <w:r w:rsidR="005255BE" w:rsidRPr="005B29DB">
              <w:rPr>
                <w:lang w:val="en-GB"/>
              </w:rPr>
              <w:t xml:space="preserve"> </w:t>
            </w:r>
            <w:r w:rsidR="005255BE" w:rsidRPr="005B29DB">
              <w:rPr>
                <w:lang w:val="en-GB"/>
              </w:rPr>
              <w:br/>
            </w:r>
            <w:hyperlink r:id="rId15">
              <w:r w:rsidR="005255BE" w:rsidRPr="001B72DD">
                <w:rPr>
                  <w:rStyle w:val="Hyperlink"/>
                </w:rPr>
                <w:t>http://www.cashlearning.org/resources/library/24-direct-cash---a-quick-</w:t>
              </w:r>
              <w:proofErr w:type="spellStart"/>
              <w:r w:rsidR="005255BE" w:rsidRPr="001B72DD">
                <w:rPr>
                  <w:rStyle w:val="Hyperlink"/>
                </w:rPr>
                <w:t>delivery</w:t>
              </w:r>
              <w:proofErr w:type="spellEnd"/>
              <w:r w:rsidR="005255BE" w:rsidRPr="001B72DD">
                <w:rPr>
                  <w:rStyle w:val="Hyperlink"/>
                </w:rPr>
                <w:t>-guide-</w:t>
              </w:r>
              <w:proofErr w:type="spellStart"/>
              <w:r w:rsidR="005255BE" w:rsidRPr="001B72DD">
                <w:rPr>
                  <w:rStyle w:val="Hyperlink"/>
                </w:rPr>
                <w:t>screen</w:t>
              </w:r>
              <w:proofErr w:type="spellEnd"/>
              <w:r w:rsidR="005255BE" w:rsidRPr="001B72DD">
                <w:rPr>
                  <w:rStyle w:val="Hyperlink"/>
                </w:rPr>
                <w:t>-version</w:t>
              </w:r>
            </w:hyperlink>
          </w:p>
          <w:p w14:paraId="3E5FF414" w14:textId="68B24D40" w:rsidR="005255BE" w:rsidRPr="001B72DD" w:rsidRDefault="008E6129" w:rsidP="005255BE">
            <w:pPr>
              <w:pStyle w:val="RefItem1"/>
              <w:keepNext/>
              <w:keepLines/>
              <w:rPr>
                <w:rFonts w:cs="Arial"/>
                <w:szCs w:val="20"/>
              </w:rPr>
            </w:pPr>
            <w:r w:rsidRPr="005B29DB">
              <w:rPr>
                <w:lang w:val="en-GB"/>
              </w:rPr>
              <w:t xml:space="preserve">CaLP, </w:t>
            </w:r>
            <w:r w:rsidR="005255BE" w:rsidRPr="005B29DB">
              <w:rPr>
                <w:i/>
                <w:lang w:val="en-GB"/>
              </w:rPr>
              <w:t>A quick delivery guide: Vouchers</w:t>
            </w:r>
            <w:r w:rsidR="005255BE" w:rsidRPr="005B29DB">
              <w:rPr>
                <w:lang w:val="en-GB"/>
              </w:rPr>
              <w:t xml:space="preserve"> (2011)</w:t>
            </w:r>
            <w:r w:rsidR="00CD106D" w:rsidRPr="005B29DB">
              <w:rPr>
                <w:lang w:val="en-GB"/>
              </w:rPr>
              <w:t>.</w:t>
            </w:r>
            <w:r w:rsidR="005255BE" w:rsidRPr="005B29DB">
              <w:rPr>
                <w:lang w:val="en-GB"/>
              </w:rPr>
              <w:t xml:space="preserve"> </w:t>
            </w:r>
            <w:r w:rsidR="005255BE" w:rsidRPr="005B29DB">
              <w:rPr>
                <w:lang w:val="en-GB"/>
              </w:rPr>
              <w:br/>
            </w:r>
            <w:hyperlink r:id="rId16">
              <w:r w:rsidR="005255BE" w:rsidRPr="001B72DD">
                <w:rPr>
                  <w:rStyle w:val="Hyperlink"/>
                </w:rPr>
                <w:t>http://www.cashlearning.org/resources/library/25-vouchers---a-quick-</w:t>
              </w:r>
              <w:proofErr w:type="spellStart"/>
              <w:r w:rsidR="005255BE" w:rsidRPr="001B72DD">
                <w:rPr>
                  <w:rStyle w:val="Hyperlink"/>
                </w:rPr>
                <w:t>delivery</w:t>
              </w:r>
              <w:proofErr w:type="spellEnd"/>
              <w:r w:rsidR="005255BE" w:rsidRPr="001B72DD">
                <w:rPr>
                  <w:rStyle w:val="Hyperlink"/>
                </w:rPr>
                <w:t>-guide-</w:t>
              </w:r>
              <w:proofErr w:type="spellStart"/>
              <w:r w:rsidR="005255BE" w:rsidRPr="001B72DD">
                <w:rPr>
                  <w:rStyle w:val="Hyperlink"/>
                </w:rPr>
                <w:t>booklet</w:t>
              </w:r>
              <w:proofErr w:type="spellEnd"/>
              <w:r w:rsidR="005255BE" w:rsidRPr="001B72DD">
                <w:rPr>
                  <w:rStyle w:val="Hyperlink"/>
                </w:rPr>
                <w:t>-version</w:t>
              </w:r>
            </w:hyperlink>
          </w:p>
          <w:p w14:paraId="29F53ACF" w14:textId="12F6ED75" w:rsidR="005255BE" w:rsidRPr="001B72DD" w:rsidRDefault="008E6129" w:rsidP="00CD106D">
            <w:pPr>
              <w:pStyle w:val="RefItem1"/>
              <w:keepNext/>
              <w:keepLines/>
              <w:rPr>
                <w:rFonts w:cs="Arial"/>
                <w:szCs w:val="20"/>
              </w:rPr>
            </w:pPr>
            <w:r w:rsidRPr="005B29DB">
              <w:rPr>
                <w:lang w:val="en-GB"/>
              </w:rPr>
              <w:t xml:space="preserve">CaLP, </w:t>
            </w:r>
            <w:r w:rsidR="005255BE" w:rsidRPr="005B29DB">
              <w:rPr>
                <w:i/>
                <w:lang w:val="en-GB"/>
              </w:rPr>
              <w:t>A quick delivery guide: Voucher fairs</w:t>
            </w:r>
            <w:r w:rsidR="005255BE" w:rsidRPr="005B29DB">
              <w:rPr>
                <w:lang w:val="en-GB"/>
              </w:rPr>
              <w:t xml:space="preserve"> (2011)</w:t>
            </w:r>
            <w:r w:rsidR="00CD106D" w:rsidRPr="005B29DB">
              <w:rPr>
                <w:lang w:val="en-GB"/>
              </w:rPr>
              <w:t>.</w:t>
            </w:r>
            <w:r w:rsidR="005255BE" w:rsidRPr="005B29DB">
              <w:rPr>
                <w:lang w:val="en-GB"/>
              </w:rPr>
              <w:t xml:space="preserve"> </w:t>
            </w:r>
            <w:r w:rsidR="005255BE" w:rsidRPr="005B29DB">
              <w:rPr>
                <w:lang w:val="en-GB"/>
              </w:rPr>
              <w:br/>
            </w:r>
            <w:hyperlink r:id="rId17">
              <w:r w:rsidR="005255BE" w:rsidRPr="001B72DD">
                <w:rPr>
                  <w:rStyle w:val="Hyperlink"/>
                </w:rPr>
                <w:t>http://www.cashlearning.org/resources/library/217-voucher-fairs-a-quick-delivery-guide-booklet-version</w:t>
              </w:r>
            </w:hyperlink>
          </w:p>
        </w:tc>
      </w:tr>
    </w:tbl>
    <w:p w14:paraId="1707D2A8" w14:textId="77777777" w:rsidR="00537B1F" w:rsidRPr="001B72DD" w:rsidRDefault="00046449" w:rsidP="005255BE">
      <w:pPr>
        <w:rPr>
          <w:rFonts w:cs="Arial"/>
        </w:rPr>
      </w:pPr>
    </w:p>
    <w:sectPr w:rsidR="00537B1F" w:rsidRPr="001B72DD" w:rsidSect="005255BE">
      <w:headerReference w:type="default" r:id="rId18"/>
      <w:footerReference w:type="even" r:id="rId19"/>
      <w:footerReference w:type="default" r:id="rId20"/>
      <w:headerReference w:type="first" r:id="rId21"/>
      <w:footerReference w:type="first" r:id="rId22"/>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989F" w14:textId="77777777" w:rsidR="003C6AF5" w:rsidRDefault="003C6AF5">
      <w:r>
        <w:separator/>
      </w:r>
    </w:p>
  </w:endnote>
  <w:endnote w:type="continuationSeparator" w:id="0">
    <w:p w14:paraId="122AA8E5" w14:textId="77777777" w:rsidR="003C6AF5" w:rsidRDefault="003C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437A" w14:textId="77777777" w:rsidR="00936457" w:rsidRDefault="00936457"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F7EA1" w14:textId="77777777" w:rsidR="00936457" w:rsidRDefault="00936457" w:rsidP="009364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4E04" w14:textId="77777777" w:rsidR="00091AE5" w:rsidRPr="00B45C74" w:rsidRDefault="00091AE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46449">
      <w:rPr>
        <w:b/>
        <w:noProof/>
        <w:color w:val="808080" w:themeColor="background1" w:themeShade="80"/>
        <w:sz w:val="18"/>
        <w:szCs w:val="18"/>
      </w:rPr>
      <w:t>3</w:t>
    </w:r>
    <w:r w:rsidRPr="00B45C74">
      <w:rPr>
        <w:b/>
        <w:color w:val="808080" w:themeColor="background1" w:themeShade="80"/>
        <w:sz w:val="18"/>
        <w:szCs w:val="18"/>
      </w:rPr>
      <w:fldChar w:fldCharType="end"/>
    </w:r>
  </w:p>
  <w:p w14:paraId="0BD4ABEC" w14:textId="5CE5D899" w:rsidR="00091AE5" w:rsidRPr="003A3500" w:rsidRDefault="00091AE5" w:rsidP="00B752F1">
    <w:pPr>
      <w:pStyle w:val="Footer"/>
    </w:pPr>
    <w:r>
      <w:rPr>
        <w:b/>
      </w:rPr>
      <w:t>Module 4.</w:t>
    </w:r>
    <w:r>
      <w:t xml:space="preserve"> Étape 5. </w:t>
    </w:r>
    <w:r w:rsidR="005A73DE" w:rsidRPr="00107E15">
      <w:rPr>
        <w:i/>
      </w:rPr>
      <w:fldChar w:fldCharType="begin"/>
    </w:r>
    <w:r w:rsidR="005A73DE" w:rsidRPr="00107E15">
      <w:rPr>
        <w:i/>
      </w:rPr>
      <w:instrText xml:space="preserve"> STYLEREF  H1 \t  \* MERGEFORMAT </w:instrText>
    </w:r>
    <w:r w:rsidR="005A73DE" w:rsidRPr="00107E15">
      <w:rPr>
        <w:i/>
      </w:rPr>
      <w:fldChar w:fldCharType="end"/>
    </w:r>
    <w:r w:rsidR="005A73DE" w:rsidRPr="00107E15">
      <w:rPr>
        <w:i/>
      </w:rPr>
      <w:fldChar w:fldCharType="begin"/>
    </w:r>
    <w:r w:rsidR="005A73DE" w:rsidRPr="00107E15">
      <w:rPr>
        <w:i/>
      </w:rPr>
      <w:instrText xml:space="preserve"> STYLEREF  H1 \t  \* MERGEFORMAT </w:instrText>
    </w:r>
    <w:r w:rsidR="005A73DE" w:rsidRPr="00107E15">
      <w:rPr>
        <w:i/>
      </w:rPr>
      <w:fldChar w:fldCharType="end"/>
    </w:r>
    <w:r>
      <w:t xml:space="preserve">Feuille de route pour la distribution </w:t>
    </w:r>
    <w:r w:rsidR="00B752F1">
      <w:t>des équipements et le versement des fonds</w:t>
    </w:r>
    <w:r w:rsidRPr="00107E15">
      <w:rPr>
        <w:i/>
      </w:rPr>
      <w:fldChar w:fldCharType="begin"/>
    </w:r>
    <w:r w:rsidRPr="00107E15">
      <w:rPr>
        <w:i/>
      </w:rPr>
      <w:instrText xml:space="preserve"> STYLEREF  H1 \t  \* MERGEFORMAT </w:instrText>
    </w:r>
    <w:r w:rsidRPr="00107E1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77C9" w14:textId="77777777" w:rsidR="005255BE" w:rsidRPr="00B45C74" w:rsidRDefault="005255B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46449">
      <w:rPr>
        <w:b/>
        <w:noProof/>
        <w:color w:val="808080" w:themeColor="background1" w:themeShade="80"/>
        <w:sz w:val="18"/>
        <w:szCs w:val="18"/>
      </w:rPr>
      <w:t>1</w:t>
    </w:r>
    <w:r w:rsidRPr="00B45C74">
      <w:rPr>
        <w:b/>
        <w:color w:val="808080" w:themeColor="background1" w:themeShade="80"/>
        <w:sz w:val="18"/>
        <w:szCs w:val="18"/>
      </w:rPr>
      <w:fldChar w:fldCharType="end"/>
    </w:r>
  </w:p>
  <w:p w14:paraId="68DE477D" w14:textId="4D0E0EBB" w:rsidR="005255BE" w:rsidRPr="004303F2" w:rsidRDefault="005255BE" w:rsidP="00ED1B2B">
    <w:pPr>
      <w:pStyle w:val="Footer"/>
    </w:pPr>
    <w:r>
      <w:rPr>
        <w:b/>
      </w:rPr>
      <w:t>Module 4.</w:t>
    </w:r>
    <w:r>
      <w:t xml:space="preserve"> Étape 5. </w:t>
    </w:r>
    <w:r w:rsidR="00046449">
      <w:fldChar w:fldCharType="begin"/>
    </w:r>
    <w:r w:rsidR="00046449">
      <w:instrText xml:space="preserve"> STYLEREF  H1 \t  \* MERGEFORMAT </w:instrText>
    </w:r>
    <w:r w:rsidR="00046449">
      <w:fldChar w:fldCharType="separate"/>
    </w:r>
    <w:r w:rsidR="00046449" w:rsidRPr="00046449">
      <w:rPr>
        <w:bCs/>
        <w:noProof/>
      </w:rPr>
      <w:t>Feuille de route pour la distribution</w:t>
    </w:r>
    <w:r w:rsidR="00046449">
      <w:rPr>
        <w:noProof/>
      </w:rPr>
      <w:t xml:space="preserve"> des équipements et le versement des fonds</w:t>
    </w:r>
    <w:r w:rsidR="000464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4F8E0" w14:textId="77777777" w:rsidR="003C6AF5" w:rsidRDefault="003C6AF5">
      <w:r>
        <w:separator/>
      </w:r>
    </w:p>
  </w:footnote>
  <w:footnote w:type="continuationSeparator" w:id="0">
    <w:p w14:paraId="16F06272" w14:textId="77777777" w:rsidR="003C6AF5" w:rsidRDefault="003C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F8CC" w14:textId="6C04050A" w:rsidR="005255BE" w:rsidRPr="00074036" w:rsidRDefault="009C1A29" w:rsidP="00173FF2">
    <w:pPr>
      <w:pStyle w:val="Header"/>
      <w:rPr>
        <w:szCs w:val="16"/>
      </w:rPr>
    </w:pPr>
    <w:r w:rsidRPr="006E3407">
      <w:rPr>
        <w:rStyle w:val="Pantone485"/>
        <w:sz w:val="14"/>
        <w:szCs w:val="14"/>
      </w:rPr>
      <w:t>Mouvement international de la Croix-Rouge et du Croissant-Rouge</w:t>
    </w:r>
    <w:r w:rsidRPr="006E3407">
      <w:rPr>
        <w:rFonts w:cs="Caecilia-Light"/>
        <w:color w:val="FF0000"/>
        <w:sz w:val="14"/>
        <w:szCs w:val="14"/>
      </w:rPr>
      <w:t xml:space="preserve"> </w:t>
    </w:r>
    <w:r w:rsidRPr="006E3407">
      <w:rPr>
        <w:rStyle w:val="PageNumber"/>
        <w:bCs/>
        <w:sz w:val="14"/>
        <w:szCs w:val="14"/>
      </w:rPr>
      <w:t>I</w:t>
    </w:r>
    <w:r w:rsidRPr="006E3407">
      <w:rPr>
        <w:rStyle w:val="PageNumber"/>
        <w:color w:val="FF0000"/>
        <w:sz w:val="14"/>
        <w:szCs w:val="14"/>
      </w:rPr>
      <w:t xml:space="preserve"> </w:t>
    </w:r>
    <w:r w:rsidRPr="006E3407">
      <w:rPr>
        <w:b/>
        <w:sz w:val="14"/>
        <w:szCs w:val="14"/>
      </w:rPr>
      <w:t>Boîte à outils pour les transferts monétaires dans les situations d’urgence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9EBB" w14:textId="77777777" w:rsidR="001B6CBC" w:rsidRDefault="001B6CBC" w:rsidP="001B6CBC">
    <w:pPr>
      <w:pStyle w:val="Header1"/>
    </w:pPr>
    <w:r>
      <w:rPr>
        <w:rFonts w:ascii="Arial Bold" w:hAnsi="Arial Bold"/>
        <w:noProof/>
        <w:color w:val="DC281E"/>
        <w:lang w:val="en-GB" w:eastAsia="en-GB" w:bidi="ar-SA"/>
      </w:rPr>
      <w:drawing>
        <wp:anchor distT="0" distB="0" distL="114300" distR="114300" simplePos="0" relativeHeight="251660288" behindDoc="0" locked="0" layoutInCell="1" allowOverlap="1" wp14:anchorId="2674ABBE" wp14:editId="64ED5CCE">
          <wp:simplePos x="0" y="0"/>
          <wp:positionH relativeFrom="margin">
            <wp:posOffset>316865</wp:posOffset>
          </wp:positionH>
          <wp:positionV relativeFrom="margin">
            <wp:posOffset>-1280795</wp:posOffset>
          </wp:positionV>
          <wp:extent cx="630555" cy="735330"/>
          <wp:effectExtent l="0" t="0" r="0" b="7620"/>
          <wp:wrapSquare wrapText="bothSides"/>
          <wp:docPr id="2" name="Picture 2" descr="T:\Language\2015\French\Z_Jonathan\Références\Cash in emergencies\CICR 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anguage\2015\French\Z_Jonathan\Références\Cash in emergencies\CICR logo-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96C83" w14:textId="77777777" w:rsidR="001B6CBC" w:rsidRDefault="001B6CBC" w:rsidP="001B6CBC">
    <w:pPr>
      <w:pStyle w:val="Header1"/>
    </w:pPr>
    <w:r>
      <w:rPr>
        <w:noProof/>
        <w:lang w:val="en-GB" w:eastAsia="en-GB" w:bidi="ar-SA"/>
      </w:rPr>
      <w:drawing>
        <wp:anchor distT="0" distB="0" distL="114300" distR="114300" simplePos="0" relativeHeight="251659264" behindDoc="0" locked="0" layoutInCell="1" allowOverlap="1" wp14:anchorId="010E414D" wp14:editId="1AEBE11F">
          <wp:simplePos x="0" y="0"/>
          <wp:positionH relativeFrom="margin">
            <wp:posOffset>2590165</wp:posOffset>
          </wp:positionH>
          <wp:positionV relativeFrom="margin">
            <wp:posOffset>-915670</wp:posOffset>
          </wp:positionV>
          <wp:extent cx="3187065" cy="30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French logo.jpg"/>
                  <pic:cNvPicPr/>
                </pic:nvPicPr>
                <pic:blipFill>
                  <a:blip r:embed="rId2">
                    <a:extLst>
                      <a:ext uri="{28A0092B-C50C-407E-A947-70E740481C1C}">
                        <a14:useLocalDpi xmlns:a14="http://schemas.microsoft.com/office/drawing/2010/main" val="0"/>
                      </a:ext>
                    </a:extLst>
                  </a:blip>
                  <a:stretch>
                    <a:fillRect/>
                  </a:stretch>
                </pic:blipFill>
                <pic:spPr>
                  <a:xfrm>
                    <a:off x="0" y="0"/>
                    <a:ext cx="3187065" cy="308610"/>
                  </a:xfrm>
                  <a:prstGeom prst="rect">
                    <a:avLst/>
                  </a:prstGeom>
                </pic:spPr>
              </pic:pic>
            </a:graphicData>
          </a:graphic>
          <wp14:sizeRelH relativeFrom="margin">
            <wp14:pctWidth>0</wp14:pctWidth>
          </wp14:sizeRelH>
          <wp14:sizeRelV relativeFrom="margin">
            <wp14:pctHeight>0</wp14:pctHeight>
          </wp14:sizeRelV>
        </wp:anchor>
      </w:drawing>
    </w:r>
  </w:p>
  <w:p w14:paraId="5F9801F4" w14:textId="77777777" w:rsidR="005255BE" w:rsidRDefault="005255BE" w:rsidP="00C16D71">
    <w:pPr>
      <w:pStyle w:val="Header"/>
      <w:spacing w:line="240" w:lineRule="auto"/>
      <w:rPr>
        <w:b/>
        <w:color w:val="DC281E"/>
        <w:sz w:val="24"/>
        <w:szCs w:val="24"/>
      </w:rPr>
    </w:pPr>
  </w:p>
  <w:p w14:paraId="662813F0" w14:textId="77777777" w:rsidR="001B6CBC" w:rsidRDefault="001B6CBC" w:rsidP="00C16D71">
    <w:pPr>
      <w:pStyle w:val="Header"/>
      <w:spacing w:line="240" w:lineRule="auto"/>
      <w:rPr>
        <w:b/>
        <w:color w:val="DC281E"/>
        <w:sz w:val="24"/>
        <w:szCs w:val="24"/>
      </w:rPr>
    </w:pPr>
  </w:p>
  <w:p w14:paraId="658FD39E" w14:textId="77777777" w:rsidR="005255BE" w:rsidRDefault="005255BE" w:rsidP="00C16D71">
    <w:pPr>
      <w:pStyle w:val="Header"/>
      <w:spacing w:line="240" w:lineRule="auto"/>
      <w:rPr>
        <w:b/>
        <w:color w:val="DC281E"/>
        <w:sz w:val="24"/>
        <w:szCs w:val="24"/>
      </w:rPr>
    </w:pPr>
  </w:p>
  <w:p w14:paraId="59B63667" w14:textId="2807ECEB" w:rsidR="005255BE" w:rsidRPr="000B6130" w:rsidRDefault="001B6CBC" w:rsidP="001B6CBC">
    <w:pPr>
      <w:pStyle w:val="Header1"/>
      <w:rPr>
        <w:color w:val="DC281E"/>
      </w:rPr>
    </w:pPr>
    <w:r w:rsidRPr="001B6CBC">
      <w:rPr>
        <w:color w:val="DC281E"/>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3E0354"/>
    <w:lvl w:ilvl="0">
      <w:start w:val="1"/>
      <w:numFmt w:val="decimal"/>
      <w:lvlText w:val="%1."/>
      <w:lvlJc w:val="left"/>
      <w:pPr>
        <w:tabs>
          <w:tab w:val="num" w:pos="1492"/>
        </w:tabs>
        <w:ind w:left="1492" w:hanging="360"/>
      </w:pPr>
    </w:lvl>
  </w:abstractNum>
  <w:abstractNum w:abstractNumId="1">
    <w:nsid w:val="FFFFFF7D"/>
    <w:multiLevelType w:val="singleLevel"/>
    <w:tmpl w:val="3D704F9C"/>
    <w:lvl w:ilvl="0">
      <w:start w:val="1"/>
      <w:numFmt w:val="decimal"/>
      <w:lvlText w:val="%1."/>
      <w:lvlJc w:val="left"/>
      <w:pPr>
        <w:tabs>
          <w:tab w:val="num" w:pos="1209"/>
        </w:tabs>
        <w:ind w:left="1209" w:hanging="360"/>
      </w:pPr>
    </w:lvl>
  </w:abstractNum>
  <w:abstractNum w:abstractNumId="2">
    <w:nsid w:val="FFFFFF7E"/>
    <w:multiLevelType w:val="singleLevel"/>
    <w:tmpl w:val="C610E97E"/>
    <w:lvl w:ilvl="0">
      <w:start w:val="1"/>
      <w:numFmt w:val="decimal"/>
      <w:lvlText w:val="%1."/>
      <w:lvlJc w:val="left"/>
      <w:pPr>
        <w:tabs>
          <w:tab w:val="num" w:pos="926"/>
        </w:tabs>
        <w:ind w:left="926" w:hanging="360"/>
      </w:pPr>
    </w:lvl>
  </w:abstractNum>
  <w:abstractNum w:abstractNumId="3">
    <w:nsid w:val="FFFFFF7F"/>
    <w:multiLevelType w:val="singleLevel"/>
    <w:tmpl w:val="C3FE8722"/>
    <w:lvl w:ilvl="0">
      <w:start w:val="1"/>
      <w:numFmt w:val="decimal"/>
      <w:lvlText w:val="%1."/>
      <w:lvlJc w:val="left"/>
      <w:pPr>
        <w:tabs>
          <w:tab w:val="num" w:pos="643"/>
        </w:tabs>
        <w:ind w:left="643" w:hanging="360"/>
      </w:pPr>
    </w:lvl>
  </w:abstractNum>
  <w:abstractNum w:abstractNumId="4">
    <w:nsid w:val="FFFFFF80"/>
    <w:multiLevelType w:val="singleLevel"/>
    <w:tmpl w:val="518A6A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D63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F81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9A2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C68BE"/>
    <w:lvl w:ilvl="0">
      <w:start w:val="1"/>
      <w:numFmt w:val="decimal"/>
      <w:lvlText w:val="%1."/>
      <w:lvlJc w:val="left"/>
      <w:pPr>
        <w:tabs>
          <w:tab w:val="num" w:pos="360"/>
        </w:tabs>
        <w:ind w:left="360" w:hanging="360"/>
      </w:pPr>
    </w:lvl>
  </w:abstractNum>
  <w:abstractNum w:abstractNumId="9">
    <w:nsid w:val="FFFFFF89"/>
    <w:multiLevelType w:val="singleLevel"/>
    <w:tmpl w:val="77A0C2B2"/>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13">
    <w:nsid w:val="447205F4"/>
    <w:multiLevelType w:val="hybridMultilevel"/>
    <w:tmpl w:val="444A4B64"/>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5833B1"/>
    <w:multiLevelType w:val="hybridMultilevel"/>
    <w:tmpl w:val="90DA872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F6F51"/>
    <w:multiLevelType w:val="hybridMultilevel"/>
    <w:tmpl w:val="6CC42E1A"/>
    <w:lvl w:ilvl="0" w:tplc="3000D490">
      <w:start w:val="1"/>
      <w:numFmt w:val="bullet"/>
      <w:lvlText w:val=""/>
      <w:lvlJc w:val="left"/>
      <w:pPr>
        <w:ind w:left="413" w:hanging="360"/>
      </w:pPr>
      <w:rPr>
        <w:rFonts w:ascii="Wingdings" w:hAnsi="Wingdings"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0">
    <w:nsid w:val="73677DB1"/>
    <w:multiLevelType w:val="hybridMultilevel"/>
    <w:tmpl w:val="988E046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0"/>
  </w:num>
  <w:num w:numId="4">
    <w:abstractNumId w:val="19"/>
  </w:num>
  <w:num w:numId="5">
    <w:abstractNumId w:val="11"/>
  </w:num>
  <w:num w:numId="6">
    <w:abstractNumId w:val="12"/>
  </w:num>
  <w:num w:numId="7">
    <w:abstractNumId w:val="10"/>
  </w:num>
  <w:num w:numId="8">
    <w:abstractNumId w:val="15"/>
  </w:num>
  <w:num w:numId="9">
    <w:abstractNumId w:val="16"/>
  </w:num>
  <w:num w:numId="10">
    <w:abstractNumId w:val="18"/>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5"/>
    <w:rsid w:val="000049E5"/>
    <w:rsid w:val="00041BA3"/>
    <w:rsid w:val="00046449"/>
    <w:rsid w:val="00091AE5"/>
    <w:rsid w:val="0009567F"/>
    <w:rsid w:val="000B6130"/>
    <w:rsid w:val="000C0B74"/>
    <w:rsid w:val="000D2E8E"/>
    <w:rsid w:val="000F7938"/>
    <w:rsid w:val="0010453C"/>
    <w:rsid w:val="001263FF"/>
    <w:rsid w:val="001476A3"/>
    <w:rsid w:val="001B6CBC"/>
    <w:rsid w:val="001B72DD"/>
    <w:rsid w:val="001B79A0"/>
    <w:rsid w:val="001D2A29"/>
    <w:rsid w:val="001E6D95"/>
    <w:rsid w:val="001F3DE9"/>
    <w:rsid w:val="0024645E"/>
    <w:rsid w:val="00285496"/>
    <w:rsid w:val="00290D85"/>
    <w:rsid w:val="00294635"/>
    <w:rsid w:val="002F16F2"/>
    <w:rsid w:val="00350E36"/>
    <w:rsid w:val="00391808"/>
    <w:rsid w:val="00395ABF"/>
    <w:rsid w:val="003C6AF5"/>
    <w:rsid w:val="003D25BE"/>
    <w:rsid w:val="003D6747"/>
    <w:rsid w:val="003F28E4"/>
    <w:rsid w:val="004014CE"/>
    <w:rsid w:val="00420FD8"/>
    <w:rsid w:val="004303F2"/>
    <w:rsid w:val="00432C28"/>
    <w:rsid w:val="00466836"/>
    <w:rsid w:val="00491177"/>
    <w:rsid w:val="004D09A5"/>
    <w:rsid w:val="005255BE"/>
    <w:rsid w:val="00533E43"/>
    <w:rsid w:val="005A73DE"/>
    <w:rsid w:val="005B29DB"/>
    <w:rsid w:val="005D6300"/>
    <w:rsid w:val="005D7F72"/>
    <w:rsid w:val="005F7533"/>
    <w:rsid w:val="006475BB"/>
    <w:rsid w:val="006A6172"/>
    <w:rsid w:val="006E095B"/>
    <w:rsid w:val="00702DD8"/>
    <w:rsid w:val="00741E19"/>
    <w:rsid w:val="0075557A"/>
    <w:rsid w:val="007A1A29"/>
    <w:rsid w:val="007D5118"/>
    <w:rsid w:val="007D71F8"/>
    <w:rsid w:val="007F4D5B"/>
    <w:rsid w:val="00803E06"/>
    <w:rsid w:val="008375AF"/>
    <w:rsid w:val="008D6F66"/>
    <w:rsid w:val="008E6129"/>
    <w:rsid w:val="008F619E"/>
    <w:rsid w:val="00926F3A"/>
    <w:rsid w:val="00936457"/>
    <w:rsid w:val="00951884"/>
    <w:rsid w:val="009644B0"/>
    <w:rsid w:val="009C1A29"/>
    <w:rsid w:val="00A449C7"/>
    <w:rsid w:val="00A54727"/>
    <w:rsid w:val="00AC248A"/>
    <w:rsid w:val="00AE62F8"/>
    <w:rsid w:val="00AF6E40"/>
    <w:rsid w:val="00B019A3"/>
    <w:rsid w:val="00B128BF"/>
    <w:rsid w:val="00B752F1"/>
    <w:rsid w:val="00B97FAB"/>
    <w:rsid w:val="00BA04D7"/>
    <w:rsid w:val="00BB6924"/>
    <w:rsid w:val="00BD7CD6"/>
    <w:rsid w:val="00BF70E8"/>
    <w:rsid w:val="00C135C4"/>
    <w:rsid w:val="00C21887"/>
    <w:rsid w:val="00C2507C"/>
    <w:rsid w:val="00C372F1"/>
    <w:rsid w:val="00C71234"/>
    <w:rsid w:val="00C90A9B"/>
    <w:rsid w:val="00CD106D"/>
    <w:rsid w:val="00CF2CB2"/>
    <w:rsid w:val="00CF48B2"/>
    <w:rsid w:val="00D27308"/>
    <w:rsid w:val="00D93685"/>
    <w:rsid w:val="00DC0844"/>
    <w:rsid w:val="00DD5171"/>
    <w:rsid w:val="00DE7EA3"/>
    <w:rsid w:val="00DF6FA9"/>
    <w:rsid w:val="00E26E3D"/>
    <w:rsid w:val="00E36E89"/>
    <w:rsid w:val="00E61FF6"/>
    <w:rsid w:val="00E97C82"/>
    <w:rsid w:val="00EB5043"/>
    <w:rsid w:val="00ED22C9"/>
    <w:rsid w:val="00EF2E69"/>
    <w:rsid w:val="00F31AE4"/>
    <w:rsid w:val="00F42F8F"/>
    <w:rsid w:val="00FA5088"/>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01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255B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5255BE"/>
  </w:style>
  <w:style w:type="paragraph" w:styleId="Heading2">
    <w:name w:val="heading 2"/>
    <w:basedOn w:val="Normal"/>
    <w:next w:val="Normal"/>
    <w:link w:val="Heading2Char"/>
    <w:uiPriority w:val="9"/>
    <w:unhideWhenUsed/>
    <w:qFormat/>
    <w:rsid w:val="005255B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255B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5BE"/>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5255BE"/>
    <w:pPr>
      <w:spacing w:after="0"/>
    </w:pPr>
    <w:rPr>
      <w:sz w:val="16"/>
      <w:szCs w:val="22"/>
    </w:rPr>
  </w:style>
  <w:style w:type="character" w:customStyle="1" w:styleId="FootnoteTextChar">
    <w:name w:val="Footnote Text Char"/>
    <w:basedOn w:val="DefaultParagraphFont"/>
    <w:link w:val="FootnoteText"/>
    <w:uiPriority w:val="99"/>
    <w:rsid w:val="005255B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5255BE"/>
    <w:rPr>
      <w:vertAlign w:val="superscript"/>
    </w:rPr>
  </w:style>
  <w:style w:type="paragraph" w:styleId="Header">
    <w:name w:val="header"/>
    <w:basedOn w:val="Normal"/>
    <w:link w:val="HeaderChar"/>
    <w:uiPriority w:val="99"/>
    <w:unhideWhenUsed/>
    <w:rsid w:val="005255BE"/>
    <w:pPr>
      <w:spacing w:after="0" w:line="288" w:lineRule="auto"/>
      <w:jc w:val="left"/>
    </w:pPr>
    <w:rPr>
      <w:sz w:val="16"/>
    </w:rPr>
  </w:style>
  <w:style w:type="character" w:customStyle="1" w:styleId="HeaderChar">
    <w:name w:val="Header Char"/>
    <w:basedOn w:val="DefaultParagraphFont"/>
    <w:link w:val="Header"/>
    <w:uiPriority w:val="99"/>
    <w:rsid w:val="005255BE"/>
    <w:rPr>
      <w:rFonts w:ascii="Arial" w:eastAsiaTheme="minorEastAsia" w:hAnsi="Arial" w:cs="Times New Roman"/>
      <w:sz w:val="16"/>
      <w:szCs w:val="20"/>
    </w:rPr>
  </w:style>
  <w:style w:type="paragraph" w:styleId="Footer">
    <w:name w:val="footer"/>
    <w:basedOn w:val="Normal"/>
    <w:link w:val="FooterChar"/>
    <w:uiPriority w:val="99"/>
    <w:unhideWhenUsed/>
    <w:rsid w:val="005255BE"/>
    <w:pPr>
      <w:spacing w:after="0"/>
      <w:jc w:val="left"/>
    </w:pPr>
    <w:rPr>
      <w:sz w:val="16"/>
      <w:szCs w:val="18"/>
    </w:rPr>
  </w:style>
  <w:style w:type="character" w:customStyle="1" w:styleId="FooterChar">
    <w:name w:val="Footer Char"/>
    <w:basedOn w:val="DefaultParagraphFont"/>
    <w:link w:val="Footer"/>
    <w:uiPriority w:val="99"/>
    <w:rsid w:val="005255BE"/>
    <w:rPr>
      <w:rFonts w:ascii="Arial" w:eastAsiaTheme="minorEastAsia" w:hAnsi="Arial" w:cs="Times New Roman"/>
      <w:sz w:val="16"/>
      <w:szCs w:val="18"/>
    </w:rPr>
  </w:style>
  <w:style w:type="table" w:styleId="TableGrid">
    <w:name w:val="Table Grid"/>
    <w:basedOn w:val="TableNormal"/>
    <w:uiPriority w:val="59"/>
    <w:rsid w:val="005255B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k">
    <w:name w:val="aak"/>
    <w:basedOn w:val="DefaultParagraphFont"/>
    <w:rsid w:val="00BA4AA5"/>
  </w:style>
  <w:style w:type="character" w:customStyle="1" w:styleId="apple-converted-space">
    <w:name w:val="apple-converted-space"/>
    <w:basedOn w:val="DefaultParagraphFont"/>
    <w:rsid w:val="00BA4AA5"/>
  </w:style>
  <w:style w:type="character" w:styleId="CommentReference">
    <w:name w:val="annotation reference"/>
    <w:basedOn w:val="DefaultParagraphFont"/>
    <w:uiPriority w:val="99"/>
    <w:semiHidden/>
    <w:unhideWhenUsed/>
    <w:rsid w:val="005255BE"/>
    <w:rPr>
      <w:sz w:val="18"/>
      <w:szCs w:val="18"/>
    </w:rPr>
  </w:style>
  <w:style w:type="paragraph" w:styleId="CommentText">
    <w:name w:val="annotation text"/>
    <w:basedOn w:val="Normal"/>
    <w:link w:val="CommentTextChar"/>
    <w:uiPriority w:val="99"/>
    <w:semiHidden/>
    <w:unhideWhenUsed/>
    <w:rsid w:val="00B20322"/>
  </w:style>
  <w:style w:type="character" w:customStyle="1" w:styleId="CommentTextChar">
    <w:name w:val="Comment Text Char"/>
    <w:basedOn w:val="DefaultParagraphFont"/>
    <w:link w:val="CommentText"/>
    <w:uiPriority w:val="99"/>
    <w:semiHidden/>
    <w:rsid w:val="00B20322"/>
    <w:rPr>
      <w:rFonts w:asciiTheme="majorHAnsi" w:hAnsiTheme="majorHAnsi"/>
      <w:sz w:val="20"/>
      <w:szCs w:val="20"/>
      <w:lang w:val="fr-FR"/>
    </w:rPr>
  </w:style>
  <w:style w:type="paragraph" w:styleId="CommentSubject">
    <w:name w:val="annotation subject"/>
    <w:basedOn w:val="Normal"/>
    <w:link w:val="CommentSubjectChar"/>
    <w:uiPriority w:val="99"/>
    <w:semiHidden/>
    <w:unhideWhenUsed/>
    <w:rsid w:val="005255BE"/>
    <w:rPr>
      <w:b/>
      <w:bCs/>
    </w:rPr>
  </w:style>
  <w:style w:type="character" w:customStyle="1" w:styleId="CommentSubjectChar">
    <w:name w:val="Comment Subject Char"/>
    <w:basedOn w:val="DefaultParagraphFont"/>
    <w:link w:val="CommentSubject"/>
    <w:uiPriority w:val="99"/>
    <w:semiHidden/>
    <w:rsid w:val="005255BE"/>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5255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5BE"/>
    <w:rPr>
      <w:rFonts w:ascii="Lucida Grande" w:eastAsiaTheme="minorEastAsia" w:hAnsi="Lucida Grande" w:cs="Lucida Grande"/>
      <w:sz w:val="18"/>
      <w:szCs w:val="18"/>
    </w:rPr>
  </w:style>
  <w:style w:type="character" w:customStyle="1" w:styleId="ListParagraphChar">
    <w:name w:val="List Paragraph Char"/>
    <w:basedOn w:val="DefaultParagraphFont"/>
    <w:link w:val="ListParagraph"/>
    <w:uiPriority w:val="34"/>
    <w:rsid w:val="005255BE"/>
    <w:rPr>
      <w:rFonts w:ascii="Arial" w:hAnsi="Arial"/>
      <w:sz w:val="20"/>
      <w:szCs w:val="22"/>
    </w:rPr>
  </w:style>
  <w:style w:type="character" w:styleId="PageNumber">
    <w:name w:val="page number"/>
    <w:basedOn w:val="DefaultParagraphFont"/>
    <w:uiPriority w:val="99"/>
    <w:unhideWhenUsed/>
    <w:rsid w:val="005255BE"/>
    <w:rPr>
      <w:b/>
    </w:rPr>
  </w:style>
  <w:style w:type="character" w:customStyle="1" w:styleId="Heading1Char">
    <w:name w:val="Heading 1 Char"/>
    <w:basedOn w:val="DefaultParagraphFont"/>
    <w:link w:val="Heading1"/>
    <w:uiPriority w:val="9"/>
    <w:rsid w:val="005255B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5255B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5255BE"/>
    <w:rPr>
      <w:rFonts w:ascii="Arial" w:eastAsiaTheme="minorEastAsia" w:hAnsi="Arial" w:cs="Times New Roman"/>
      <w:b/>
      <w:sz w:val="22"/>
    </w:rPr>
  </w:style>
  <w:style w:type="paragraph" w:customStyle="1" w:styleId="Default">
    <w:name w:val="Default"/>
    <w:rsid w:val="005255BE"/>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5255BE"/>
    <w:rPr>
      <w:color w:val="0000FF" w:themeColor="hyperlink"/>
      <w:u w:val="single"/>
    </w:rPr>
  </w:style>
  <w:style w:type="character" w:styleId="FollowedHyperlink">
    <w:name w:val="FollowedHyperlink"/>
    <w:basedOn w:val="DefaultParagraphFont"/>
    <w:uiPriority w:val="99"/>
    <w:unhideWhenUsed/>
    <w:rsid w:val="005255BE"/>
    <w:rPr>
      <w:color w:val="800080" w:themeColor="followedHyperlink"/>
      <w:u w:val="single"/>
    </w:rPr>
  </w:style>
  <w:style w:type="paragraph" w:styleId="Revision">
    <w:name w:val="Revision"/>
    <w:hidden/>
    <w:uiPriority w:val="99"/>
    <w:rsid w:val="005255BE"/>
    <w:rPr>
      <w:rFonts w:ascii="Arial" w:eastAsiaTheme="minorEastAsia" w:hAnsi="Arial" w:cs="Arial"/>
      <w:sz w:val="21"/>
      <w:szCs w:val="21"/>
    </w:rPr>
  </w:style>
  <w:style w:type="paragraph" w:customStyle="1" w:styleId="BasicParagraph">
    <w:name w:val="[Basic Paragraph]"/>
    <w:basedOn w:val="Normal"/>
    <w:uiPriority w:val="99"/>
    <w:rsid w:val="005255B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255BE"/>
    <w:pPr>
      <w:spacing w:before="360" w:after="240"/>
      <w:jc w:val="left"/>
      <w:outlineLvl w:val="0"/>
    </w:pPr>
    <w:rPr>
      <w:b/>
      <w:sz w:val="40"/>
      <w:szCs w:val="52"/>
    </w:rPr>
  </w:style>
  <w:style w:type="paragraph" w:customStyle="1" w:styleId="Bullet1">
    <w:name w:val="Bullet 1"/>
    <w:basedOn w:val="Normal"/>
    <w:rsid w:val="005255BE"/>
    <w:pPr>
      <w:numPr>
        <w:numId w:val="5"/>
      </w:numPr>
      <w:spacing w:before="60"/>
    </w:pPr>
    <w:rPr>
      <w:rFonts w:eastAsia="Times New Roman"/>
      <w:color w:val="000000"/>
    </w:rPr>
  </w:style>
  <w:style w:type="paragraph" w:customStyle="1" w:styleId="RefItem1">
    <w:name w:val="Ref Item 1"/>
    <w:basedOn w:val="Normal"/>
    <w:rsid w:val="005255BE"/>
    <w:pPr>
      <w:jc w:val="left"/>
    </w:pPr>
    <w:rPr>
      <w:color w:val="000000"/>
      <w:szCs w:val="24"/>
    </w:rPr>
  </w:style>
  <w:style w:type="paragraph" w:customStyle="1" w:styleId="RefTitre">
    <w:name w:val="Ref Titre"/>
    <w:basedOn w:val="Normal"/>
    <w:rsid w:val="005255BE"/>
    <w:pPr>
      <w:jc w:val="left"/>
    </w:pPr>
    <w:rPr>
      <w:rFonts w:eastAsia="Times New Roman"/>
      <w:b/>
      <w:bCs/>
      <w:sz w:val="26"/>
      <w:szCs w:val="26"/>
    </w:rPr>
  </w:style>
  <w:style w:type="paragraph" w:customStyle="1" w:styleId="Header1">
    <w:name w:val="Header 1"/>
    <w:basedOn w:val="Header"/>
    <w:rsid w:val="005255BE"/>
    <w:rPr>
      <w:b/>
      <w:sz w:val="24"/>
      <w:szCs w:val="24"/>
    </w:rPr>
  </w:style>
  <w:style w:type="character" w:customStyle="1" w:styleId="Pantone485">
    <w:name w:val="Pantone 485"/>
    <w:basedOn w:val="DefaultParagraphFont"/>
    <w:uiPriority w:val="1"/>
    <w:qFormat/>
    <w:rsid w:val="005255BE"/>
    <w:rPr>
      <w:rFonts w:cs="Caecilia-Light"/>
      <w:color w:val="DC281E"/>
      <w:szCs w:val="16"/>
    </w:rPr>
  </w:style>
  <w:style w:type="character" w:customStyle="1" w:styleId="H1Char">
    <w:name w:val="H1 Char"/>
    <w:basedOn w:val="DefaultParagraphFont"/>
    <w:link w:val="H1"/>
    <w:rsid w:val="005255BE"/>
    <w:rPr>
      <w:rFonts w:ascii="Arial" w:eastAsiaTheme="minorEastAsia" w:hAnsi="Arial" w:cs="Times New Roman"/>
      <w:b/>
      <w:sz w:val="40"/>
      <w:szCs w:val="52"/>
    </w:rPr>
  </w:style>
  <w:style w:type="table" w:customStyle="1" w:styleId="TableGray">
    <w:name w:val="Table Gray"/>
    <w:basedOn w:val="TableNormal"/>
    <w:uiPriority w:val="99"/>
    <w:rsid w:val="005255B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255BE"/>
    <w:pPr>
      <w:numPr>
        <w:numId w:val="9"/>
      </w:numPr>
      <w:tabs>
        <w:tab w:val="left" w:pos="7230"/>
      </w:tabs>
      <w:spacing w:before="120" w:after="120"/>
      <w:contextualSpacing w:val="0"/>
    </w:pPr>
    <w:rPr>
      <w:rFonts w:cs="Arial"/>
    </w:rPr>
  </w:style>
  <w:style w:type="paragraph" w:customStyle="1" w:styleId="ListNumber1">
    <w:name w:val="List Number 1"/>
    <w:basedOn w:val="Normal"/>
    <w:rsid w:val="005255BE"/>
    <w:pPr>
      <w:numPr>
        <w:ilvl w:val="1"/>
        <w:numId w:val="7"/>
      </w:numPr>
      <w:contextualSpacing/>
    </w:pPr>
    <w:rPr>
      <w:rFonts w:eastAsiaTheme="minorHAnsi" w:cstheme="minorHAnsi"/>
      <w:szCs w:val="22"/>
    </w:rPr>
  </w:style>
  <w:style w:type="paragraph" w:customStyle="1" w:styleId="NormalNo">
    <w:name w:val="Normal + No"/>
    <w:basedOn w:val="Normal"/>
    <w:qFormat/>
    <w:rsid w:val="005255BE"/>
    <w:pPr>
      <w:numPr>
        <w:numId w:val="8"/>
      </w:numPr>
    </w:pPr>
    <w:rPr>
      <w:rFonts w:eastAsia="MS Mincho"/>
      <w:b/>
      <w:sz w:val="22"/>
    </w:rPr>
  </w:style>
  <w:style w:type="paragraph" w:customStyle="1" w:styleId="Bullet3">
    <w:name w:val="Bullet 3"/>
    <w:basedOn w:val="ListParagraph"/>
    <w:qFormat/>
    <w:rsid w:val="005255BE"/>
    <w:pPr>
      <w:numPr>
        <w:numId w:val="10"/>
      </w:numPr>
      <w:spacing w:before="120" w:after="120"/>
      <w:ind w:right="425"/>
    </w:pPr>
    <w:rPr>
      <w:rFonts w:cs="Arial"/>
      <w:i/>
      <w:iCs/>
    </w:rPr>
  </w:style>
  <w:style w:type="paragraph" w:customStyle="1" w:styleId="Indent">
    <w:name w:val="Indent"/>
    <w:basedOn w:val="Normal"/>
    <w:qFormat/>
    <w:rsid w:val="005255BE"/>
    <w:pPr>
      <w:ind w:left="567"/>
    </w:pPr>
    <w:rPr>
      <w:rFonts w:cs="Arial"/>
      <w:b/>
    </w:rPr>
  </w:style>
  <w:style w:type="paragraph" w:customStyle="1" w:styleId="TitreTableau">
    <w:name w:val="Titre Tableau"/>
    <w:basedOn w:val="Normal"/>
    <w:qFormat/>
    <w:rsid w:val="005255BE"/>
    <w:pPr>
      <w:spacing w:before="120"/>
      <w:jc w:val="center"/>
    </w:pPr>
    <w:rPr>
      <w:rFonts w:cs="Arial"/>
      <w:b/>
      <w:bCs/>
      <w:color w:val="FFFFFF" w:themeColor="background1"/>
    </w:rPr>
  </w:style>
  <w:style w:type="paragraph" w:customStyle="1" w:styleId="BulletTableau">
    <w:name w:val="Bullet Tableau"/>
    <w:basedOn w:val="Bullet2"/>
    <w:qFormat/>
    <w:rsid w:val="005255BE"/>
    <w:pPr>
      <w:keepNext/>
      <w:keepLines/>
      <w:framePr w:hSpace="141" w:wrap="around" w:vAnchor="text" w:hAnchor="margin" w:y="402"/>
      <w:numPr>
        <w:numId w:val="11"/>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255B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5255BE"/>
  </w:style>
  <w:style w:type="paragraph" w:styleId="Heading2">
    <w:name w:val="heading 2"/>
    <w:basedOn w:val="Normal"/>
    <w:next w:val="Normal"/>
    <w:link w:val="Heading2Char"/>
    <w:uiPriority w:val="9"/>
    <w:unhideWhenUsed/>
    <w:qFormat/>
    <w:rsid w:val="005255B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255B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5BE"/>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5255BE"/>
    <w:pPr>
      <w:spacing w:after="0"/>
    </w:pPr>
    <w:rPr>
      <w:sz w:val="16"/>
      <w:szCs w:val="22"/>
    </w:rPr>
  </w:style>
  <w:style w:type="character" w:customStyle="1" w:styleId="FootnoteTextChar">
    <w:name w:val="Footnote Text Char"/>
    <w:basedOn w:val="DefaultParagraphFont"/>
    <w:link w:val="FootnoteText"/>
    <w:uiPriority w:val="99"/>
    <w:rsid w:val="005255B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5255BE"/>
    <w:rPr>
      <w:vertAlign w:val="superscript"/>
    </w:rPr>
  </w:style>
  <w:style w:type="paragraph" w:styleId="Header">
    <w:name w:val="header"/>
    <w:basedOn w:val="Normal"/>
    <w:link w:val="HeaderChar"/>
    <w:uiPriority w:val="99"/>
    <w:unhideWhenUsed/>
    <w:rsid w:val="005255BE"/>
    <w:pPr>
      <w:spacing w:after="0" w:line="288" w:lineRule="auto"/>
      <w:jc w:val="left"/>
    </w:pPr>
    <w:rPr>
      <w:sz w:val="16"/>
    </w:rPr>
  </w:style>
  <w:style w:type="character" w:customStyle="1" w:styleId="HeaderChar">
    <w:name w:val="Header Char"/>
    <w:basedOn w:val="DefaultParagraphFont"/>
    <w:link w:val="Header"/>
    <w:uiPriority w:val="99"/>
    <w:rsid w:val="005255BE"/>
    <w:rPr>
      <w:rFonts w:ascii="Arial" w:eastAsiaTheme="minorEastAsia" w:hAnsi="Arial" w:cs="Times New Roman"/>
      <w:sz w:val="16"/>
      <w:szCs w:val="20"/>
    </w:rPr>
  </w:style>
  <w:style w:type="paragraph" w:styleId="Footer">
    <w:name w:val="footer"/>
    <w:basedOn w:val="Normal"/>
    <w:link w:val="FooterChar"/>
    <w:uiPriority w:val="99"/>
    <w:unhideWhenUsed/>
    <w:rsid w:val="005255BE"/>
    <w:pPr>
      <w:spacing w:after="0"/>
      <w:jc w:val="left"/>
    </w:pPr>
    <w:rPr>
      <w:sz w:val="16"/>
      <w:szCs w:val="18"/>
    </w:rPr>
  </w:style>
  <w:style w:type="character" w:customStyle="1" w:styleId="FooterChar">
    <w:name w:val="Footer Char"/>
    <w:basedOn w:val="DefaultParagraphFont"/>
    <w:link w:val="Footer"/>
    <w:uiPriority w:val="99"/>
    <w:rsid w:val="005255BE"/>
    <w:rPr>
      <w:rFonts w:ascii="Arial" w:eastAsiaTheme="minorEastAsia" w:hAnsi="Arial" w:cs="Times New Roman"/>
      <w:sz w:val="16"/>
      <w:szCs w:val="18"/>
    </w:rPr>
  </w:style>
  <w:style w:type="table" w:styleId="TableGrid">
    <w:name w:val="Table Grid"/>
    <w:basedOn w:val="TableNormal"/>
    <w:uiPriority w:val="59"/>
    <w:rsid w:val="005255B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k">
    <w:name w:val="aak"/>
    <w:basedOn w:val="DefaultParagraphFont"/>
    <w:rsid w:val="00BA4AA5"/>
  </w:style>
  <w:style w:type="character" w:customStyle="1" w:styleId="apple-converted-space">
    <w:name w:val="apple-converted-space"/>
    <w:basedOn w:val="DefaultParagraphFont"/>
    <w:rsid w:val="00BA4AA5"/>
  </w:style>
  <w:style w:type="character" w:styleId="CommentReference">
    <w:name w:val="annotation reference"/>
    <w:basedOn w:val="DefaultParagraphFont"/>
    <w:uiPriority w:val="99"/>
    <w:semiHidden/>
    <w:unhideWhenUsed/>
    <w:rsid w:val="005255BE"/>
    <w:rPr>
      <w:sz w:val="18"/>
      <w:szCs w:val="18"/>
    </w:rPr>
  </w:style>
  <w:style w:type="paragraph" w:styleId="CommentText">
    <w:name w:val="annotation text"/>
    <w:basedOn w:val="Normal"/>
    <w:link w:val="CommentTextChar"/>
    <w:uiPriority w:val="99"/>
    <w:semiHidden/>
    <w:unhideWhenUsed/>
    <w:rsid w:val="00B20322"/>
  </w:style>
  <w:style w:type="character" w:customStyle="1" w:styleId="CommentTextChar">
    <w:name w:val="Comment Text Char"/>
    <w:basedOn w:val="DefaultParagraphFont"/>
    <w:link w:val="CommentText"/>
    <w:uiPriority w:val="99"/>
    <w:semiHidden/>
    <w:rsid w:val="00B20322"/>
    <w:rPr>
      <w:rFonts w:asciiTheme="majorHAnsi" w:hAnsiTheme="majorHAnsi"/>
      <w:sz w:val="20"/>
      <w:szCs w:val="20"/>
      <w:lang w:val="fr-FR"/>
    </w:rPr>
  </w:style>
  <w:style w:type="paragraph" w:styleId="CommentSubject">
    <w:name w:val="annotation subject"/>
    <w:basedOn w:val="Normal"/>
    <w:link w:val="CommentSubjectChar"/>
    <w:uiPriority w:val="99"/>
    <w:semiHidden/>
    <w:unhideWhenUsed/>
    <w:rsid w:val="005255BE"/>
    <w:rPr>
      <w:b/>
      <w:bCs/>
    </w:rPr>
  </w:style>
  <w:style w:type="character" w:customStyle="1" w:styleId="CommentSubjectChar">
    <w:name w:val="Comment Subject Char"/>
    <w:basedOn w:val="DefaultParagraphFont"/>
    <w:link w:val="CommentSubject"/>
    <w:uiPriority w:val="99"/>
    <w:semiHidden/>
    <w:rsid w:val="005255BE"/>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5255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5BE"/>
    <w:rPr>
      <w:rFonts w:ascii="Lucida Grande" w:eastAsiaTheme="minorEastAsia" w:hAnsi="Lucida Grande" w:cs="Lucida Grande"/>
      <w:sz w:val="18"/>
      <w:szCs w:val="18"/>
    </w:rPr>
  </w:style>
  <w:style w:type="character" w:customStyle="1" w:styleId="ListParagraphChar">
    <w:name w:val="List Paragraph Char"/>
    <w:basedOn w:val="DefaultParagraphFont"/>
    <w:link w:val="ListParagraph"/>
    <w:uiPriority w:val="34"/>
    <w:rsid w:val="005255BE"/>
    <w:rPr>
      <w:rFonts w:ascii="Arial" w:hAnsi="Arial"/>
      <w:sz w:val="20"/>
      <w:szCs w:val="22"/>
    </w:rPr>
  </w:style>
  <w:style w:type="character" w:styleId="PageNumber">
    <w:name w:val="page number"/>
    <w:basedOn w:val="DefaultParagraphFont"/>
    <w:uiPriority w:val="99"/>
    <w:unhideWhenUsed/>
    <w:rsid w:val="005255BE"/>
    <w:rPr>
      <w:b/>
    </w:rPr>
  </w:style>
  <w:style w:type="character" w:customStyle="1" w:styleId="Heading1Char">
    <w:name w:val="Heading 1 Char"/>
    <w:basedOn w:val="DefaultParagraphFont"/>
    <w:link w:val="Heading1"/>
    <w:uiPriority w:val="9"/>
    <w:rsid w:val="005255B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5255B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5255BE"/>
    <w:rPr>
      <w:rFonts w:ascii="Arial" w:eastAsiaTheme="minorEastAsia" w:hAnsi="Arial" w:cs="Times New Roman"/>
      <w:b/>
      <w:sz w:val="22"/>
    </w:rPr>
  </w:style>
  <w:style w:type="paragraph" w:customStyle="1" w:styleId="Default">
    <w:name w:val="Default"/>
    <w:rsid w:val="005255BE"/>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5255BE"/>
    <w:rPr>
      <w:color w:val="0000FF" w:themeColor="hyperlink"/>
      <w:u w:val="single"/>
    </w:rPr>
  </w:style>
  <w:style w:type="character" w:styleId="FollowedHyperlink">
    <w:name w:val="FollowedHyperlink"/>
    <w:basedOn w:val="DefaultParagraphFont"/>
    <w:uiPriority w:val="99"/>
    <w:unhideWhenUsed/>
    <w:rsid w:val="005255BE"/>
    <w:rPr>
      <w:color w:val="800080" w:themeColor="followedHyperlink"/>
      <w:u w:val="single"/>
    </w:rPr>
  </w:style>
  <w:style w:type="paragraph" w:styleId="Revision">
    <w:name w:val="Revision"/>
    <w:hidden/>
    <w:uiPriority w:val="99"/>
    <w:rsid w:val="005255BE"/>
    <w:rPr>
      <w:rFonts w:ascii="Arial" w:eastAsiaTheme="minorEastAsia" w:hAnsi="Arial" w:cs="Arial"/>
      <w:sz w:val="21"/>
      <w:szCs w:val="21"/>
    </w:rPr>
  </w:style>
  <w:style w:type="paragraph" w:customStyle="1" w:styleId="BasicParagraph">
    <w:name w:val="[Basic Paragraph]"/>
    <w:basedOn w:val="Normal"/>
    <w:uiPriority w:val="99"/>
    <w:rsid w:val="005255B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255BE"/>
    <w:pPr>
      <w:spacing w:before="360" w:after="240"/>
      <w:jc w:val="left"/>
      <w:outlineLvl w:val="0"/>
    </w:pPr>
    <w:rPr>
      <w:b/>
      <w:sz w:val="40"/>
      <w:szCs w:val="52"/>
    </w:rPr>
  </w:style>
  <w:style w:type="paragraph" w:customStyle="1" w:styleId="Bullet1">
    <w:name w:val="Bullet 1"/>
    <w:basedOn w:val="Normal"/>
    <w:rsid w:val="005255BE"/>
    <w:pPr>
      <w:numPr>
        <w:numId w:val="5"/>
      </w:numPr>
      <w:spacing w:before="60"/>
    </w:pPr>
    <w:rPr>
      <w:rFonts w:eastAsia="Times New Roman"/>
      <w:color w:val="000000"/>
    </w:rPr>
  </w:style>
  <w:style w:type="paragraph" w:customStyle="1" w:styleId="RefItem1">
    <w:name w:val="Ref Item 1"/>
    <w:basedOn w:val="Normal"/>
    <w:rsid w:val="005255BE"/>
    <w:pPr>
      <w:jc w:val="left"/>
    </w:pPr>
    <w:rPr>
      <w:color w:val="000000"/>
      <w:szCs w:val="24"/>
    </w:rPr>
  </w:style>
  <w:style w:type="paragraph" w:customStyle="1" w:styleId="RefTitre">
    <w:name w:val="Ref Titre"/>
    <w:basedOn w:val="Normal"/>
    <w:rsid w:val="005255BE"/>
    <w:pPr>
      <w:jc w:val="left"/>
    </w:pPr>
    <w:rPr>
      <w:rFonts w:eastAsia="Times New Roman"/>
      <w:b/>
      <w:bCs/>
      <w:sz w:val="26"/>
      <w:szCs w:val="26"/>
    </w:rPr>
  </w:style>
  <w:style w:type="paragraph" w:customStyle="1" w:styleId="Header1">
    <w:name w:val="Header 1"/>
    <w:basedOn w:val="Header"/>
    <w:rsid w:val="005255BE"/>
    <w:rPr>
      <w:b/>
      <w:sz w:val="24"/>
      <w:szCs w:val="24"/>
    </w:rPr>
  </w:style>
  <w:style w:type="character" w:customStyle="1" w:styleId="Pantone485">
    <w:name w:val="Pantone 485"/>
    <w:basedOn w:val="DefaultParagraphFont"/>
    <w:uiPriority w:val="1"/>
    <w:qFormat/>
    <w:rsid w:val="005255BE"/>
    <w:rPr>
      <w:rFonts w:cs="Caecilia-Light"/>
      <w:color w:val="DC281E"/>
      <w:szCs w:val="16"/>
    </w:rPr>
  </w:style>
  <w:style w:type="character" w:customStyle="1" w:styleId="H1Char">
    <w:name w:val="H1 Char"/>
    <w:basedOn w:val="DefaultParagraphFont"/>
    <w:link w:val="H1"/>
    <w:rsid w:val="005255BE"/>
    <w:rPr>
      <w:rFonts w:ascii="Arial" w:eastAsiaTheme="minorEastAsia" w:hAnsi="Arial" w:cs="Times New Roman"/>
      <w:b/>
      <w:sz w:val="40"/>
      <w:szCs w:val="52"/>
    </w:rPr>
  </w:style>
  <w:style w:type="table" w:customStyle="1" w:styleId="TableGray">
    <w:name w:val="Table Gray"/>
    <w:basedOn w:val="TableNormal"/>
    <w:uiPriority w:val="99"/>
    <w:rsid w:val="005255B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255BE"/>
    <w:pPr>
      <w:numPr>
        <w:numId w:val="9"/>
      </w:numPr>
      <w:tabs>
        <w:tab w:val="left" w:pos="7230"/>
      </w:tabs>
      <w:spacing w:before="120" w:after="120"/>
      <w:contextualSpacing w:val="0"/>
    </w:pPr>
    <w:rPr>
      <w:rFonts w:cs="Arial"/>
    </w:rPr>
  </w:style>
  <w:style w:type="paragraph" w:customStyle="1" w:styleId="ListNumber1">
    <w:name w:val="List Number 1"/>
    <w:basedOn w:val="Normal"/>
    <w:rsid w:val="005255BE"/>
    <w:pPr>
      <w:numPr>
        <w:ilvl w:val="1"/>
        <w:numId w:val="7"/>
      </w:numPr>
      <w:contextualSpacing/>
    </w:pPr>
    <w:rPr>
      <w:rFonts w:eastAsiaTheme="minorHAnsi" w:cstheme="minorHAnsi"/>
      <w:szCs w:val="22"/>
    </w:rPr>
  </w:style>
  <w:style w:type="paragraph" w:customStyle="1" w:styleId="NormalNo">
    <w:name w:val="Normal + No"/>
    <w:basedOn w:val="Normal"/>
    <w:qFormat/>
    <w:rsid w:val="005255BE"/>
    <w:pPr>
      <w:numPr>
        <w:numId w:val="8"/>
      </w:numPr>
    </w:pPr>
    <w:rPr>
      <w:rFonts w:eastAsia="MS Mincho"/>
      <w:b/>
      <w:sz w:val="22"/>
    </w:rPr>
  </w:style>
  <w:style w:type="paragraph" w:customStyle="1" w:styleId="Bullet3">
    <w:name w:val="Bullet 3"/>
    <w:basedOn w:val="ListParagraph"/>
    <w:qFormat/>
    <w:rsid w:val="005255BE"/>
    <w:pPr>
      <w:numPr>
        <w:numId w:val="10"/>
      </w:numPr>
      <w:spacing w:before="120" w:after="120"/>
      <w:ind w:right="425"/>
    </w:pPr>
    <w:rPr>
      <w:rFonts w:cs="Arial"/>
      <w:i/>
      <w:iCs/>
    </w:rPr>
  </w:style>
  <w:style w:type="paragraph" w:customStyle="1" w:styleId="Indent">
    <w:name w:val="Indent"/>
    <w:basedOn w:val="Normal"/>
    <w:qFormat/>
    <w:rsid w:val="005255BE"/>
    <w:pPr>
      <w:ind w:left="567"/>
    </w:pPr>
    <w:rPr>
      <w:rFonts w:cs="Arial"/>
      <w:b/>
    </w:rPr>
  </w:style>
  <w:style w:type="paragraph" w:customStyle="1" w:styleId="TitreTableau">
    <w:name w:val="Titre Tableau"/>
    <w:basedOn w:val="Normal"/>
    <w:qFormat/>
    <w:rsid w:val="005255BE"/>
    <w:pPr>
      <w:spacing w:before="120"/>
      <w:jc w:val="center"/>
    </w:pPr>
    <w:rPr>
      <w:rFonts w:cs="Arial"/>
      <w:b/>
      <w:bCs/>
      <w:color w:val="FFFFFF" w:themeColor="background1"/>
    </w:rPr>
  </w:style>
  <w:style w:type="paragraph" w:customStyle="1" w:styleId="BulletTableau">
    <w:name w:val="Bullet Tableau"/>
    <w:basedOn w:val="Bullet2"/>
    <w:qFormat/>
    <w:rsid w:val="005255BE"/>
    <w:pPr>
      <w:keepNext/>
      <w:keepLines/>
      <w:framePr w:hSpace="141" w:wrap="around" w:vAnchor="text" w:hAnchor="margin" w:y="402"/>
      <w:numPr>
        <w:numId w:val="1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6187">
      <w:bodyDiv w:val="1"/>
      <w:marLeft w:val="0"/>
      <w:marRight w:val="0"/>
      <w:marTop w:val="0"/>
      <w:marBottom w:val="0"/>
      <w:divBdr>
        <w:top w:val="none" w:sz="0" w:space="0" w:color="auto"/>
        <w:left w:val="none" w:sz="0" w:space="0" w:color="auto"/>
        <w:bottom w:val="none" w:sz="0" w:space="0" w:color="auto"/>
        <w:right w:val="none" w:sz="0" w:space="0" w:color="auto"/>
      </w:divBdr>
    </w:div>
    <w:div w:id="1761411096">
      <w:bodyDiv w:val="1"/>
      <w:marLeft w:val="0"/>
      <w:marRight w:val="0"/>
      <w:marTop w:val="0"/>
      <w:marBottom w:val="0"/>
      <w:divBdr>
        <w:top w:val="none" w:sz="0" w:space="0" w:color="auto"/>
        <w:left w:val="none" w:sz="0" w:space="0" w:color="auto"/>
        <w:bottom w:val="none" w:sz="0" w:space="0" w:color="auto"/>
        <w:right w:val="none" w:sz="0" w:space="0" w:color="auto"/>
      </w:divBdr>
    </w:div>
    <w:div w:id="2127767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hlearning.org/resources/library/22-cheques---a-quick-delivery-guide-screen-vers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ashlearning.org/resources/library/287-e-payments-in-cash-transfer-programming-quick-tool" TargetMode="External"/><Relationship Id="rId17" Type="http://schemas.openxmlformats.org/officeDocument/2006/relationships/hyperlink" Target="http://www.cashlearning.org/resources/library/217-voucher-fairs-a-quick-delivery-guide-booklet-version" TargetMode="External"/><Relationship Id="rId2" Type="http://schemas.openxmlformats.org/officeDocument/2006/relationships/numbering" Target="numbering.xml"/><Relationship Id="rId16" Type="http://schemas.openxmlformats.org/officeDocument/2006/relationships/hyperlink" Target="http://www.cashlearning.org/resources/library/25-vouchers---a-quick-delivery-guide-booklet-ver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hlearning.org/resources/library/6-delivering-money-cash-transfer-mechanisms-in-emergenci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shlearning.org/resources/library/24-direct-cash---a-quick-delivery-guide-screen-version" TargetMode="External"/><Relationship Id="rId23" Type="http://schemas.openxmlformats.org/officeDocument/2006/relationships/fontTable" Target="fontTable.xml"/><Relationship Id="rId10" Type="http://schemas.openxmlformats.org/officeDocument/2006/relationships/hyperlink" Target="http://www.cashlearning.org/resources/library/429-directives-pour-la-mise-en-oeuvre-de-transferts-lectroniques-en-situation-durgenc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shlearning.org/resources/library/235-delivering-cash-through-cards---a-quick-delivery-guide-bookle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EA33-60DB-4FFF-BA18-9E1C0EA6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241</TotalTime>
  <Pages>3</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Florence MAROT</cp:lastModifiedBy>
  <cp:revision>55</cp:revision>
  <cp:lastPrinted>2015-10-11T22:00:00Z</cp:lastPrinted>
  <dcterms:created xsi:type="dcterms:W3CDTF">2015-07-30T07:05:00Z</dcterms:created>
  <dcterms:modified xsi:type="dcterms:W3CDTF">2016-04-29T13:20:00Z</dcterms:modified>
</cp:coreProperties>
</file>