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.jpg" ContentType="image/jpe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CE3A" w14:textId="762DD7CB" w:rsidR="00B969D4" w:rsidRPr="00B969D4" w:rsidRDefault="00F76454" w:rsidP="003C1B36">
      <w:pPr>
        <w:pStyle w:val="H1"/>
        <w:rPr>
          <w:rFonts w:cs="Arial"/>
          <w:lang w:val="es-ES"/>
        </w:rPr>
      </w:pPr>
      <w:r>
        <w:rPr>
          <w:rFonts w:cs="Arial"/>
          <w:lang w:val="es-ES"/>
        </w:rPr>
        <w:t>Hoja de ruta para el monitoreo</w:t>
      </w:r>
      <w:r w:rsidR="00B969D4" w:rsidRPr="00B969D4">
        <w:rPr>
          <w:rFonts w:cs="Arial"/>
          <w:lang w:val="es-ES"/>
        </w:rPr>
        <w:t xml:space="preserve"> y la evaluación de </w:t>
      </w:r>
      <w:r>
        <w:rPr>
          <w:rFonts w:cs="Arial"/>
          <w:lang w:val="es-ES"/>
        </w:rPr>
        <w:t>PTE</w:t>
      </w:r>
    </w:p>
    <w:p w14:paraId="7A557508" w14:textId="00D58B1C" w:rsidR="007D1A58" w:rsidRPr="00B969D4" w:rsidRDefault="00B969D4" w:rsidP="00070FC7">
      <w:pPr>
        <w:pStyle w:val="Heading2"/>
        <w:rPr>
          <w:rFonts w:cs="Arial"/>
          <w:color w:val="0070C0"/>
        </w:rPr>
      </w:pPr>
      <w:r w:rsidRPr="00B969D4">
        <w:rPr>
          <w:rFonts w:cs="Arial"/>
        </w:rPr>
        <w:t>INTRODUCCIÓN</w:t>
      </w:r>
      <w:r>
        <w:rPr>
          <w:rFonts w:cs="Arial"/>
        </w:rPr>
        <w:t xml:space="preserve">  </w:t>
      </w:r>
    </w:p>
    <w:p w14:paraId="04DD765F" w14:textId="2DBFEA99" w:rsidR="00B969D4" w:rsidRPr="00B969D4" w:rsidRDefault="00F76454" w:rsidP="00B969D4">
      <w:pPr>
        <w:rPr>
          <w:rFonts w:cs="Arial"/>
          <w:shd w:val="clear" w:color="auto" w:fill="FFFFFF"/>
          <w:lang w:val="es-ES" w:eastAsia="it-IT"/>
        </w:rPr>
      </w:pPr>
      <w:r>
        <w:rPr>
          <w:rFonts w:cs="Arial"/>
          <w:shd w:val="clear" w:color="auto" w:fill="FFFFFF"/>
          <w:lang w:val="es-ES" w:eastAsia="it-IT"/>
        </w:rPr>
        <w:t>Esta hoja de ruta ofrece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</w:t>
      </w:r>
      <w:r w:rsidRPr="00B969D4">
        <w:rPr>
          <w:rFonts w:cs="Arial"/>
          <w:shd w:val="clear" w:color="auto" w:fill="FFFFFF"/>
          <w:lang w:val="es-ES" w:eastAsia="it-IT"/>
        </w:rPr>
        <w:t>una breve orientación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sobre </w:t>
      </w:r>
      <w:r>
        <w:rPr>
          <w:rFonts w:cs="Arial"/>
          <w:shd w:val="clear" w:color="auto" w:fill="FFFFFF"/>
          <w:lang w:val="es-ES" w:eastAsia="it-IT"/>
        </w:rPr>
        <w:t>la manera de abordar el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módulo de </w:t>
      </w:r>
      <w:r>
        <w:rPr>
          <w:rFonts w:cs="Arial"/>
          <w:shd w:val="clear" w:color="auto" w:fill="FFFFFF"/>
          <w:lang w:val="es-ES" w:eastAsia="it-IT"/>
        </w:rPr>
        <w:t xml:space="preserve">monitoreo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y evaluación. </w:t>
      </w:r>
      <w:r>
        <w:rPr>
          <w:rFonts w:cs="Arial"/>
          <w:shd w:val="clear" w:color="auto" w:fill="FFFFFF"/>
          <w:lang w:val="es-ES" w:eastAsia="it-IT"/>
        </w:rPr>
        <w:t>E</w:t>
      </w:r>
      <w:r w:rsidRPr="00B969D4">
        <w:rPr>
          <w:rFonts w:cs="Arial"/>
          <w:shd w:val="clear" w:color="auto" w:fill="FFFFFF"/>
          <w:lang w:val="es-ES" w:eastAsia="it-IT"/>
        </w:rPr>
        <w:t>n realidad</w:t>
      </w:r>
      <w:r>
        <w:rPr>
          <w:rFonts w:cs="Arial"/>
          <w:shd w:val="clear" w:color="auto" w:fill="FFFFFF"/>
          <w:lang w:val="es-ES" w:eastAsia="it-IT"/>
        </w:rPr>
        <w:t>, en los PTE, el</w:t>
      </w:r>
      <w:r w:rsidRPr="00B969D4">
        <w:rPr>
          <w:rFonts w:cs="Arial"/>
          <w:shd w:val="clear" w:color="auto" w:fill="FFFFFF"/>
          <w:lang w:val="es-ES" w:eastAsia="it-IT"/>
        </w:rPr>
        <w:t xml:space="preserve">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seguimiento y la evaluación comienzan en la fase de </w:t>
      </w:r>
      <w:r>
        <w:rPr>
          <w:rFonts w:cs="Arial"/>
          <w:shd w:val="clear" w:color="auto" w:fill="FFFFFF"/>
          <w:lang w:val="es-ES" w:eastAsia="it-IT"/>
        </w:rPr>
        <w:t xml:space="preserve">diseño,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con el desarrollo del marco lógico con indicadores </w:t>
      </w:r>
      <w:r w:rsidRPr="00B969D4">
        <w:rPr>
          <w:rFonts w:cs="Arial"/>
          <w:shd w:val="clear" w:color="auto" w:fill="FFFFFF"/>
          <w:lang w:val="es-ES" w:eastAsia="it-IT"/>
        </w:rPr>
        <w:t>específic</w:t>
      </w:r>
      <w:r>
        <w:rPr>
          <w:rFonts w:cs="Arial"/>
          <w:shd w:val="clear" w:color="auto" w:fill="FFFFFF"/>
          <w:lang w:val="es-ES" w:eastAsia="it-IT"/>
        </w:rPr>
        <w:t xml:space="preserve">os para la intervención.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El </w:t>
      </w:r>
      <w:r>
        <w:rPr>
          <w:rFonts w:cs="Arial"/>
          <w:shd w:val="clear" w:color="auto" w:fill="FFFFFF"/>
          <w:lang w:val="es-ES" w:eastAsia="it-IT"/>
        </w:rPr>
        <w:t xml:space="preserve">monitoreo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y la evaluación son especialmente importantes para </w:t>
      </w:r>
      <w:r>
        <w:rPr>
          <w:rFonts w:cs="Arial"/>
          <w:shd w:val="clear" w:color="auto" w:fill="FFFFFF"/>
          <w:lang w:val="es-ES" w:eastAsia="it-IT"/>
        </w:rPr>
        <w:t>PTE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porque el efectivo se puede gastar en cosas diferentes. Esto no es intrínsecamente </w:t>
      </w:r>
      <w:r>
        <w:rPr>
          <w:rFonts w:cs="Arial"/>
          <w:shd w:val="clear" w:color="auto" w:fill="FFFFFF"/>
          <w:lang w:val="es-ES" w:eastAsia="it-IT"/>
        </w:rPr>
        <w:t xml:space="preserve">ni bueno ni malo,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y el seguimiento y la evaluación de </w:t>
      </w:r>
      <w:r>
        <w:rPr>
          <w:rFonts w:cs="Arial"/>
          <w:shd w:val="clear" w:color="auto" w:fill="FFFFFF"/>
          <w:lang w:val="es-ES" w:eastAsia="it-IT"/>
        </w:rPr>
        <w:t>PTE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puede ayudar a entender</w:t>
      </w:r>
      <w:r>
        <w:rPr>
          <w:rFonts w:cs="Arial"/>
          <w:shd w:val="clear" w:color="auto" w:fill="FFFFFF"/>
          <w:lang w:val="es-ES" w:eastAsia="it-IT"/>
        </w:rPr>
        <w:t xml:space="preserve">lo. </w:t>
      </w:r>
    </w:p>
    <w:p w14:paraId="3F12E00C" w14:textId="53DE244D" w:rsidR="00B969D4" w:rsidRPr="00B969D4" w:rsidRDefault="00F76454" w:rsidP="00B969D4">
      <w:pPr>
        <w:rPr>
          <w:rFonts w:cs="Arial"/>
          <w:shd w:val="clear" w:color="auto" w:fill="FFFFFF"/>
          <w:lang w:val="es-ES" w:eastAsia="it-IT"/>
        </w:rPr>
      </w:pPr>
      <w:r>
        <w:rPr>
          <w:rFonts w:cs="Arial"/>
          <w:shd w:val="clear" w:color="auto" w:fill="FFFFFF"/>
          <w:lang w:val="es-ES" w:eastAsia="it-IT"/>
        </w:rPr>
        <w:t xml:space="preserve">El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monitoreo </w:t>
      </w:r>
      <w:r>
        <w:rPr>
          <w:rFonts w:cs="Arial"/>
          <w:shd w:val="clear" w:color="auto" w:fill="FFFFFF"/>
          <w:lang w:val="es-ES" w:eastAsia="it-IT"/>
        </w:rPr>
        <w:t>de PTE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ayuda a entender la percepción</w:t>
      </w:r>
      <w:r>
        <w:rPr>
          <w:rFonts w:cs="Arial"/>
          <w:shd w:val="clear" w:color="auto" w:fill="FFFFFF"/>
          <w:lang w:val="es-ES" w:eastAsia="it-IT"/>
        </w:rPr>
        <w:t xml:space="preserve"> que tiene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la comunidad </w:t>
      </w:r>
      <w:r>
        <w:rPr>
          <w:rFonts w:cs="Arial"/>
          <w:shd w:val="clear" w:color="auto" w:fill="FFFFFF"/>
          <w:lang w:val="es-ES" w:eastAsia="it-IT"/>
        </w:rPr>
        <w:t xml:space="preserve">sobre el programa, y </w:t>
      </w:r>
      <w:r w:rsidR="00B969D4" w:rsidRPr="00B969D4">
        <w:rPr>
          <w:rFonts w:cs="Arial"/>
          <w:shd w:val="clear" w:color="auto" w:fill="FFFFFF"/>
          <w:lang w:val="es-ES" w:eastAsia="it-IT"/>
        </w:rPr>
        <w:t>sus efectos sobre los grupos no beneficiarios. Las transferencias de dine</w:t>
      </w:r>
      <w:r>
        <w:rPr>
          <w:rFonts w:cs="Arial"/>
          <w:shd w:val="clear" w:color="auto" w:fill="FFFFFF"/>
          <w:lang w:val="es-ES" w:eastAsia="it-IT"/>
        </w:rPr>
        <w:t>ro pueden afectar y ser afectadas por los mercados, o tener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efectos multiplicadores en la economía local. Por lo </w:t>
      </w:r>
      <w:r w:rsidRPr="00B969D4">
        <w:rPr>
          <w:rFonts w:cs="Arial"/>
          <w:shd w:val="clear" w:color="auto" w:fill="FFFFFF"/>
          <w:lang w:val="es-ES" w:eastAsia="it-IT"/>
        </w:rPr>
        <w:t>tanto,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la supervisión del mercado, en especial </w:t>
      </w:r>
      <w:r>
        <w:rPr>
          <w:rFonts w:cs="Arial"/>
          <w:shd w:val="clear" w:color="auto" w:fill="FFFFFF"/>
          <w:lang w:val="es-ES" w:eastAsia="it-IT"/>
        </w:rPr>
        <w:t xml:space="preserve">el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seguimiento de los precios, debería ocurrir con regularidad. Por último, la evaluación </w:t>
      </w:r>
      <w:r>
        <w:rPr>
          <w:rFonts w:cs="Arial"/>
          <w:shd w:val="clear" w:color="auto" w:fill="FFFFFF"/>
          <w:lang w:val="es-ES" w:eastAsia="it-IT"/>
        </w:rPr>
        <w:t>PTE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puede tener lugar en diferentes etapas del programa, y puede ayudar a entender si se han alca</w:t>
      </w:r>
      <w:r>
        <w:rPr>
          <w:rFonts w:cs="Arial"/>
          <w:shd w:val="clear" w:color="auto" w:fill="FFFFFF"/>
          <w:lang w:val="es-ES" w:eastAsia="it-IT"/>
        </w:rPr>
        <w:t xml:space="preserve">nzado los resultados esperados </w:t>
      </w:r>
      <w:r w:rsidR="00B969D4" w:rsidRPr="00B969D4">
        <w:rPr>
          <w:rFonts w:cs="Arial"/>
          <w:shd w:val="clear" w:color="auto" w:fill="FFFFFF"/>
          <w:lang w:val="es-ES" w:eastAsia="it-IT"/>
        </w:rPr>
        <w:t>y</w:t>
      </w:r>
      <w:r>
        <w:rPr>
          <w:rFonts w:cs="Arial"/>
          <w:shd w:val="clear" w:color="auto" w:fill="FFFFFF"/>
          <w:lang w:val="es-ES" w:eastAsia="it-IT"/>
        </w:rPr>
        <w:t xml:space="preserve"> los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objetivos, con el fin de </w:t>
      </w:r>
      <w:r>
        <w:rPr>
          <w:rFonts w:cs="Arial"/>
          <w:shd w:val="clear" w:color="auto" w:fill="FFFFFF"/>
          <w:lang w:val="es-ES" w:eastAsia="it-IT"/>
        </w:rPr>
        <w:t>capitalizar el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aprendizaje.</w:t>
      </w:r>
    </w:p>
    <w:p w14:paraId="5229F56A" w14:textId="6F677FCC" w:rsidR="00B969D4" w:rsidRPr="00B969D4" w:rsidRDefault="00F76454" w:rsidP="00B969D4">
      <w:pPr>
        <w:rPr>
          <w:rFonts w:cs="Arial"/>
          <w:shd w:val="clear" w:color="auto" w:fill="FFFFFF"/>
          <w:lang w:val="es-ES" w:eastAsia="it-IT"/>
        </w:rPr>
      </w:pPr>
      <w:r>
        <w:rPr>
          <w:rFonts w:cs="Arial"/>
          <w:shd w:val="clear" w:color="auto" w:fill="FFFFFF"/>
          <w:lang w:val="es-ES" w:eastAsia="it-IT"/>
        </w:rPr>
        <w:t xml:space="preserve">A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efectos de la </w:t>
      </w:r>
      <w:r>
        <w:rPr>
          <w:rFonts w:cs="Arial"/>
          <w:shd w:val="clear" w:color="auto" w:fill="FFFFFF"/>
          <w:lang w:val="es-ES" w:eastAsia="it-IT"/>
        </w:rPr>
        <w:t xml:space="preserve">Caja de herramientas, </w:t>
      </w:r>
      <w:r w:rsidR="00B969D4" w:rsidRPr="00B969D4">
        <w:rPr>
          <w:rFonts w:cs="Arial"/>
          <w:shd w:val="clear" w:color="auto" w:fill="FFFFFF"/>
          <w:lang w:val="es-ES" w:eastAsia="it-IT"/>
        </w:rPr>
        <w:t>el proceso de seguimie</w:t>
      </w:r>
      <w:r>
        <w:rPr>
          <w:rFonts w:cs="Arial"/>
          <w:shd w:val="clear" w:color="auto" w:fill="FFFFFF"/>
          <w:lang w:val="es-ES" w:eastAsia="it-IT"/>
        </w:rPr>
        <w:t>nto y evaluación de un PTE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se ha dividido en etapas y sub</w:t>
      </w:r>
      <w:r>
        <w:rPr>
          <w:rFonts w:cs="Arial"/>
          <w:shd w:val="clear" w:color="auto" w:fill="FFFFFF"/>
          <w:lang w:val="es-ES" w:eastAsia="it-IT"/>
        </w:rPr>
        <w:t>-</w:t>
      </w:r>
      <w:r w:rsidR="00B969D4" w:rsidRPr="00B969D4">
        <w:rPr>
          <w:rFonts w:cs="Arial"/>
          <w:shd w:val="clear" w:color="auto" w:fill="FFFFFF"/>
          <w:lang w:val="es-ES" w:eastAsia="it-IT"/>
        </w:rPr>
        <w:t>etapas. Cada sub</w:t>
      </w:r>
      <w:r>
        <w:rPr>
          <w:rFonts w:cs="Arial"/>
          <w:shd w:val="clear" w:color="auto" w:fill="FFFFFF"/>
          <w:lang w:val="es-ES" w:eastAsia="it-IT"/>
        </w:rPr>
        <w:t>-</w:t>
      </w:r>
      <w:r w:rsidR="00B969D4" w:rsidRPr="00B969D4">
        <w:rPr>
          <w:rFonts w:cs="Arial"/>
          <w:shd w:val="clear" w:color="auto" w:fill="FFFFFF"/>
          <w:lang w:val="es-ES" w:eastAsia="it-IT"/>
        </w:rPr>
        <w:t>etapa se ha asociado con herramientas seleccionadas por su potencial para ser adaptado y utilizado en diferentes contextos y programas de transferencia</w:t>
      </w:r>
      <w:r>
        <w:rPr>
          <w:rFonts w:cs="Arial"/>
          <w:shd w:val="clear" w:color="auto" w:fill="FFFFFF"/>
          <w:lang w:val="es-ES" w:eastAsia="it-IT"/>
        </w:rPr>
        <w:t>s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de efectivo, por parte de diferentes organizaciones. </w:t>
      </w:r>
      <w:r>
        <w:rPr>
          <w:rFonts w:cs="Arial"/>
          <w:shd w:val="clear" w:color="auto" w:fill="FFFFFF"/>
          <w:lang w:val="es-ES" w:eastAsia="it-IT"/>
        </w:rPr>
        <w:t>Al adaptar las herramientas al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contexto y </w:t>
      </w:r>
      <w:r>
        <w:rPr>
          <w:rFonts w:cs="Arial"/>
          <w:shd w:val="clear" w:color="auto" w:fill="FFFFFF"/>
          <w:lang w:val="es-ES" w:eastAsia="it-IT"/>
        </w:rPr>
        <w:t xml:space="preserve">a las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necesidades, se puede obtener una guía detallada sobre el monitoreo y la evaluación </w:t>
      </w:r>
      <w:r>
        <w:rPr>
          <w:rFonts w:cs="Arial"/>
          <w:shd w:val="clear" w:color="auto" w:fill="FFFFFF"/>
          <w:lang w:val="es-ES" w:eastAsia="it-IT"/>
        </w:rPr>
        <w:t>en los docu</w:t>
      </w:r>
      <w:r w:rsidR="00B969D4" w:rsidRPr="00B969D4">
        <w:rPr>
          <w:rFonts w:cs="Arial"/>
          <w:shd w:val="clear" w:color="auto" w:fill="FFFFFF"/>
          <w:lang w:val="es-ES" w:eastAsia="it-IT"/>
        </w:rPr>
        <w:t>mentos de referencia sugerido</w:t>
      </w:r>
      <w:r>
        <w:rPr>
          <w:rFonts w:cs="Arial"/>
          <w:shd w:val="clear" w:color="auto" w:fill="FFFFFF"/>
          <w:lang w:val="es-ES" w:eastAsia="it-IT"/>
        </w:rPr>
        <w:t>s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tanto a nivel de módulo y </w:t>
      </w:r>
      <w:r>
        <w:rPr>
          <w:rFonts w:cs="Arial"/>
          <w:shd w:val="clear" w:color="auto" w:fill="FFFFFF"/>
          <w:lang w:val="es-ES" w:eastAsia="it-IT"/>
        </w:rPr>
        <w:t>como de etapas</w:t>
      </w:r>
      <w:r w:rsidR="00B969D4" w:rsidRPr="00B969D4">
        <w:rPr>
          <w:rFonts w:cs="Arial"/>
          <w:shd w:val="clear" w:color="auto" w:fill="FFFFFF"/>
          <w:lang w:val="es-ES" w:eastAsia="it-IT"/>
        </w:rPr>
        <w:t>.</w:t>
      </w:r>
    </w:p>
    <w:p w14:paraId="7E25A43D" w14:textId="12358EF8" w:rsidR="00B969D4" w:rsidRPr="00B969D4" w:rsidRDefault="00F76454" w:rsidP="00B969D4">
      <w:pPr>
        <w:rPr>
          <w:rFonts w:cs="Arial"/>
          <w:shd w:val="clear" w:color="auto" w:fill="FFFFFF"/>
          <w:lang w:val="es-ES" w:eastAsia="it-IT"/>
        </w:rPr>
      </w:pPr>
      <w:r>
        <w:rPr>
          <w:rFonts w:cs="Arial"/>
          <w:shd w:val="clear" w:color="auto" w:fill="FFFFFF"/>
          <w:lang w:val="es-ES" w:eastAsia="it-IT"/>
        </w:rPr>
        <w:t xml:space="preserve">Las etapas y las </w:t>
      </w:r>
      <w:r w:rsidR="00B969D4" w:rsidRPr="00B969D4">
        <w:rPr>
          <w:rFonts w:cs="Arial"/>
          <w:shd w:val="clear" w:color="auto" w:fill="FFFFFF"/>
          <w:lang w:val="es-ES" w:eastAsia="it-IT"/>
        </w:rPr>
        <w:t>sub-</w:t>
      </w:r>
      <w:r>
        <w:rPr>
          <w:rFonts w:cs="Arial"/>
          <w:shd w:val="clear" w:color="auto" w:fill="FFFFFF"/>
          <w:lang w:val="es-ES" w:eastAsia="it-IT"/>
        </w:rPr>
        <w:t>etapas son indicativa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s y no necesariamente secuenciales. </w:t>
      </w:r>
      <w:r>
        <w:rPr>
          <w:rFonts w:cs="Arial"/>
          <w:shd w:val="clear" w:color="auto" w:fill="FFFFFF"/>
          <w:lang w:val="es-ES" w:eastAsia="it-IT"/>
        </w:rPr>
        <w:t xml:space="preserve">El monitoreo y la evaluación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deben adaptarse al tamaño y </w:t>
      </w:r>
      <w:r w:rsidR="00DE41C8">
        <w:rPr>
          <w:rFonts w:cs="Arial"/>
          <w:shd w:val="clear" w:color="auto" w:fill="FFFFFF"/>
          <w:lang w:val="es-ES" w:eastAsia="it-IT"/>
        </w:rPr>
        <w:t xml:space="preserve">a </w:t>
      </w:r>
      <w:r w:rsidR="00B969D4" w:rsidRPr="00B969D4">
        <w:rPr>
          <w:rFonts w:cs="Arial"/>
          <w:shd w:val="clear" w:color="auto" w:fill="FFFFFF"/>
          <w:lang w:val="es-ES" w:eastAsia="it-IT"/>
        </w:rPr>
        <w:t>la escala del programa. A veces, puede que</w:t>
      </w:r>
      <w:r w:rsidR="00DE41C8">
        <w:rPr>
          <w:rFonts w:cs="Arial"/>
          <w:shd w:val="clear" w:color="auto" w:fill="FFFFFF"/>
          <w:lang w:val="es-ES" w:eastAsia="it-IT"/>
        </w:rPr>
        <w:t xml:space="preserve"> se tenga que pasar por alto alguna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s de </w:t>
      </w:r>
      <w:r w:rsidR="00DE41C8">
        <w:rPr>
          <w:rFonts w:cs="Arial"/>
          <w:shd w:val="clear" w:color="auto" w:fill="FFFFFF"/>
          <w:lang w:val="es-ES" w:eastAsia="it-IT"/>
        </w:rPr>
        <w:t xml:space="preserve">las etapas o </w:t>
      </w:r>
      <w:r w:rsidR="00B969D4" w:rsidRPr="00B969D4">
        <w:rPr>
          <w:rFonts w:cs="Arial"/>
          <w:shd w:val="clear" w:color="auto" w:fill="FFFFFF"/>
          <w:lang w:val="es-ES" w:eastAsia="it-IT"/>
        </w:rPr>
        <w:t>sub-etapas propuestas, debido a las limitaciones de t</w:t>
      </w:r>
      <w:r w:rsidR="00DE41C8">
        <w:rPr>
          <w:rFonts w:cs="Arial"/>
          <w:shd w:val="clear" w:color="auto" w:fill="FFFFFF"/>
          <w:lang w:val="es-ES" w:eastAsia="it-IT"/>
        </w:rPr>
        <w:t>iempo y recursos que son habituales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en contextos de emergencia. En cualquier caso, al menos </w:t>
      </w:r>
      <w:r w:rsidR="00DE41C8">
        <w:rPr>
          <w:rFonts w:cs="Arial"/>
          <w:shd w:val="clear" w:color="auto" w:fill="FFFFFF"/>
          <w:lang w:val="es-ES" w:eastAsia="it-IT"/>
        </w:rPr>
        <w:t xml:space="preserve">se 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debe cumplir con los estándares mínimos establecidos para el módulo de seguimiento y evaluación. Para cada </w:t>
      </w:r>
      <w:r w:rsidR="00DE41C8">
        <w:rPr>
          <w:rFonts w:cs="Arial"/>
          <w:shd w:val="clear" w:color="auto" w:fill="FFFFFF"/>
          <w:lang w:val="es-ES" w:eastAsia="it-IT"/>
        </w:rPr>
        <w:t>etapa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, también </w:t>
      </w:r>
      <w:r w:rsidR="00DE41C8">
        <w:rPr>
          <w:rFonts w:cs="Arial"/>
          <w:shd w:val="clear" w:color="auto" w:fill="FFFFFF"/>
          <w:lang w:val="es-ES" w:eastAsia="it-IT"/>
        </w:rPr>
        <w:t xml:space="preserve">se </w:t>
      </w:r>
      <w:r w:rsidR="00B969D4" w:rsidRPr="00B969D4">
        <w:rPr>
          <w:rFonts w:cs="Arial"/>
          <w:shd w:val="clear" w:color="auto" w:fill="FFFFFF"/>
          <w:lang w:val="es-ES" w:eastAsia="it-IT"/>
        </w:rPr>
        <w:t>puede</w:t>
      </w:r>
      <w:r w:rsidR="00DE41C8">
        <w:rPr>
          <w:rFonts w:cs="Arial"/>
          <w:shd w:val="clear" w:color="auto" w:fill="FFFFFF"/>
          <w:lang w:val="es-ES" w:eastAsia="it-IT"/>
        </w:rPr>
        <w:t>n</w:t>
      </w:r>
      <w:r w:rsidR="00B969D4" w:rsidRPr="00B969D4">
        <w:rPr>
          <w:rFonts w:cs="Arial"/>
          <w:shd w:val="clear" w:color="auto" w:fill="FFFFFF"/>
          <w:lang w:val="es-ES" w:eastAsia="it-IT"/>
        </w:rPr>
        <w:t xml:space="preserve"> encontrar los estándares mínimos que pueden ayudar a decidir en qué </w:t>
      </w:r>
      <w:r w:rsidR="00DE41C8">
        <w:rPr>
          <w:rFonts w:cs="Arial"/>
          <w:shd w:val="clear" w:color="auto" w:fill="FFFFFF"/>
          <w:lang w:val="es-ES" w:eastAsia="it-IT"/>
        </w:rPr>
        <w:t xml:space="preserve">focalizarse. </w:t>
      </w:r>
    </w:p>
    <w:p w14:paraId="4AF4CC8C" w14:textId="7AD493D1" w:rsidR="001B79C9" w:rsidRPr="001606B7" w:rsidRDefault="00DE41C8" w:rsidP="00070FC7">
      <w:pPr>
        <w:pStyle w:val="Heading2"/>
        <w:rPr>
          <w:rFonts w:cs="Arial"/>
          <w:lang w:val="es-ES"/>
        </w:rPr>
      </w:pPr>
      <w:r>
        <w:rPr>
          <w:rFonts w:cs="Arial"/>
          <w:lang w:val="es-ES"/>
        </w:rPr>
        <w:t xml:space="preserve">ESTÁNDARES MÍNIMOS </w:t>
      </w:r>
    </w:p>
    <w:p w14:paraId="104B9D27" w14:textId="50EF0061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La p</w:t>
      </w:r>
      <w:r w:rsidR="00B969D4" w:rsidRPr="00B969D4">
        <w:rPr>
          <w:rFonts w:cs="Arial"/>
          <w:lang w:val="es-ES"/>
        </w:rPr>
        <w:t xml:space="preserve">lanificación para el seguimiento y la evaluación de </w:t>
      </w:r>
      <w:r w:rsidR="00F76454">
        <w:rPr>
          <w:rFonts w:cs="Arial"/>
          <w:lang w:val="es-ES"/>
        </w:rPr>
        <w:t>PTE</w:t>
      </w:r>
      <w:r w:rsidR="00B969D4" w:rsidRPr="00B969D4">
        <w:rPr>
          <w:rFonts w:cs="Arial"/>
          <w:lang w:val="es-ES"/>
        </w:rPr>
        <w:t xml:space="preserve"> debe come</w:t>
      </w:r>
      <w:r>
        <w:rPr>
          <w:rFonts w:cs="Arial"/>
          <w:lang w:val="es-ES"/>
        </w:rPr>
        <w:t>nzar en la fase de diseño</w:t>
      </w:r>
      <w:r w:rsidR="00B969D4" w:rsidRPr="00B969D4">
        <w:rPr>
          <w:rFonts w:cs="Arial"/>
          <w:lang w:val="es-ES"/>
        </w:rPr>
        <w:t>.</w:t>
      </w:r>
    </w:p>
    <w:p w14:paraId="3FD89A6A" w14:textId="27C1AB4B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El s</w:t>
      </w:r>
      <w:r w:rsidR="00B969D4">
        <w:rPr>
          <w:rFonts w:cs="Arial"/>
          <w:lang w:val="es-ES"/>
        </w:rPr>
        <w:t>eguimiento y la evaluación</w:t>
      </w:r>
      <w:r w:rsidR="00B969D4" w:rsidRPr="00B969D4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de </w:t>
      </w:r>
      <w:r w:rsidR="00F76454">
        <w:rPr>
          <w:rFonts w:cs="Arial"/>
          <w:lang w:val="es-ES"/>
        </w:rPr>
        <w:t>PTE</w:t>
      </w:r>
      <w:r>
        <w:rPr>
          <w:rFonts w:cs="Arial"/>
          <w:lang w:val="es-ES"/>
        </w:rPr>
        <w:t xml:space="preserve"> debe</w:t>
      </w:r>
      <w:r w:rsidR="00B969D4" w:rsidRPr="00B969D4">
        <w:rPr>
          <w:rFonts w:cs="Arial"/>
          <w:lang w:val="es-ES"/>
        </w:rPr>
        <w:t xml:space="preserve"> basarse en los indicadores establecidos en el marco lógico.</w:t>
      </w:r>
    </w:p>
    <w:p w14:paraId="73A8A5A7" w14:textId="49FE5A84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Hay que a</w:t>
      </w:r>
      <w:r w:rsidR="00B969D4" w:rsidRPr="00B969D4">
        <w:rPr>
          <w:rFonts w:cs="Arial"/>
          <w:lang w:val="es-ES"/>
        </w:rPr>
        <w:t>seg</w:t>
      </w:r>
      <w:r>
        <w:rPr>
          <w:rFonts w:cs="Arial"/>
          <w:lang w:val="es-ES"/>
        </w:rPr>
        <w:t>urarse de que el equipo de monitoreo</w:t>
      </w:r>
      <w:r w:rsidR="00B969D4" w:rsidRPr="00B969D4">
        <w:rPr>
          <w:rFonts w:cs="Arial"/>
          <w:lang w:val="es-ES"/>
        </w:rPr>
        <w:t xml:space="preserve"> está capacitado y </w:t>
      </w:r>
      <w:r>
        <w:rPr>
          <w:rFonts w:cs="Arial"/>
          <w:lang w:val="es-ES"/>
        </w:rPr>
        <w:t xml:space="preserve">se prueban las herramientas </w:t>
      </w:r>
    </w:p>
    <w:p w14:paraId="27E7ED02" w14:textId="10646FBA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Hay que r</w:t>
      </w:r>
      <w:r w:rsidR="00B969D4" w:rsidRPr="00B969D4">
        <w:rPr>
          <w:rFonts w:cs="Arial"/>
          <w:lang w:val="es-ES"/>
        </w:rPr>
        <w:t xml:space="preserve">ecopilar </w:t>
      </w:r>
      <w:r>
        <w:rPr>
          <w:rFonts w:cs="Arial"/>
          <w:lang w:val="es-ES"/>
        </w:rPr>
        <w:t xml:space="preserve">los </w:t>
      </w:r>
      <w:r w:rsidR="00B969D4" w:rsidRPr="00B969D4">
        <w:rPr>
          <w:rFonts w:cs="Arial"/>
          <w:lang w:val="es-ES"/>
        </w:rPr>
        <w:t xml:space="preserve">datos de </w:t>
      </w:r>
      <w:r>
        <w:rPr>
          <w:rFonts w:cs="Arial"/>
          <w:lang w:val="es-ES"/>
        </w:rPr>
        <w:t xml:space="preserve">la línea de base </w:t>
      </w:r>
      <w:r w:rsidR="00B969D4" w:rsidRPr="00B969D4">
        <w:rPr>
          <w:rFonts w:cs="Arial"/>
          <w:lang w:val="es-ES"/>
        </w:rPr>
        <w:t>antes o al menos en el momento de la primera ronda de cobro.</w:t>
      </w:r>
    </w:p>
    <w:p w14:paraId="077C2A97" w14:textId="2A4FBF4B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Hay que a</w:t>
      </w:r>
      <w:r w:rsidR="00B969D4" w:rsidRPr="00B969D4">
        <w:rPr>
          <w:rFonts w:cs="Arial"/>
          <w:lang w:val="es-ES"/>
        </w:rPr>
        <w:t xml:space="preserve">segurar algún nivel de supervisión directa por </w:t>
      </w:r>
      <w:r>
        <w:rPr>
          <w:rFonts w:cs="Arial"/>
          <w:lang w:val="es-ES"/>
        </w:rPr>
        <w:t xml:space="preserve">parte del </w:t>
      </w:r>
      <w:r w:rsidR="00B969D4" w:rsidRPr="00B969D4">
        <w:rPr>
          <w:rFonts w:cs="Arial"/>
          <w:lang w:val="es-ES"/>
        </w:rPr>
        <w:t>equipo de</w:t>
      </w:r>
      <w:r>
        <w:rPr>
          <w:rFonts w:cs="Arial"/>
          <w:lang w:val="es-ES"/>
        </w:rPr>
        <w:t xml:space="preserve"> Cruz Roja,</w:t>
      </w:r>
      <w:r w:rsidR="00B969D4" w:rsidRPr="00B969D4">
        <w:rPr>
          <w:rFonts w:cs="Arial"/>
          <w:lang w:val="es-ES"/>
        </w:rPr>
        <w:t xml:space="preserve"> incluso cuando el cobro se realiza a través de un tercero.</w:t>
      </w:r>
    </w:p>
    <w:p w14:paraId="417A938F" w14:textId="7FA49081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Hay que combinar</w:t>
      </w:r>
      <w:r w:rsidR="00B969D4" w:rsidRPr="00B969D4">
        <w:rPr>
          <w:rFonts w:cs="Arial"/>
          <w:lang w:val="es-ES"/>
        </w:rPr>
        <w:t xml:space="preserve"> los datos cuantitativos y cualitativos de diferentes fuentes, </w:t>
      </w:r>
      <w:r>
        <w:rPr>
          <w:rFonts w:cs="Arial"/>
          <w:lang w:val="es-ES"/>
        </w:rPr>
        <w:t>p</w:t>
      </w:r>
      <w:r w:rsidR="00B969D4" w:rsidRPr="00B969D4">
        <w:rPr>
          <w:rFonts w:cs="Arial"/>
          <w:lang w:val="es-ES"/>
        </w:rPr>
        <w:t>ara permitir la triangulación.</w:t>
      </w:r>
    </w:p>
    <w:p w14:paraId="167BB157" w14:textId="35B663B6" w:rsidR="00B969D4" w:rsidRPr="00B969D4" w:rsidRDefault="00F17FD9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En necesario monitorear los precios, la participación de finanzas y l</w:t>
      </w:r>
      <w:r w:rsidRPr="00B969D4">
        <w:rPr>
          <w:rFonts w:cs="Arial"/>
          <w:lang w:val="es-ES"/>
        </w:rPr>
        <w:t>ogística</w:t>
      </w:r>
      <w:r>
        <w:rPr>
          <w:rFonts w:cs="Arial"/>
          <w:lang w:val="es-ES"/>
        </w:rPr>
        <w:t xml:space="preserve">, a </w:t>
      </w:r>
      <w:r w:rsidR="00B969D4" w:rsidRPr="00B969D4">
        <w:rPr>
          <w:rFonts w:cs="Arial"/>
          <w:lang w:val="es-ES"/>
        </w:rPr>
        <w:t>lo largo del ciclo del programa.</w:t>
      </w:r>
    </w:p>
    <w:p w14:paraId="224F08A9" w14:textId="07F82FEC" w:rsidR="00B969D4" w:rsidRPr="00B969D4" w:rsidRDefault="00AB5534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Debe</w:t>
      </w:r>
      <w:r w:rsidR="00F17FD9">
        <w:rPr>
          <w:rFonts w:cs="Arial"/>
          <w:lang w:val="es-ES"/>
        </w:rPr>
        <w:t xml:space="preserve"> haber </w:t>
      </w:r>
      <w:r w:rsidR="00F17FD9" w:rsidRPr="00B969D4">
        <w:rPr>
          <w:rFonts w:cs="Arial"/>
          <w:lang w:val="es-ES"/>
        </w:rPr>
        <w:t>planes</w:t>
      </w:r>
      <w:r w:rsidR="00B969D4" w:rsidRPr="00B969D4">
        <w:rPr>
          <w:rFonts w:cs="Arial"/>
          <w:lang w:val="es-ES"/>
        </w:rPr>
        <w:t xml:space="preserve"> de contingencia </w:t>
      </w:r>
      <w:r w:rsidR="00F17FD9">
        <w:rPr>
          <w:rFonts w:cs="Arial"/>
          <w:lang w:val="es-ES"/>
        </w:rPr>
        <w:t xml:space="preserve">de manera que </w:t>
      </w:r>
      <w:r>
        <w:rPr>
          <w:rFonts w:cs="Arial"/>
          <w:lang w:val="es-ES"/>
        </w:rPr>
        <w:t>el programa se pueda</w:t>
      </w:r>
      <w:r w:rsidR="00B969D4" w:rsidRPr="00B969D4">
        <w:rPr>
          <w:rFonts w:cs="Arial"/>
          <w:lang w:val="es-ES"/>
        </w:rPr>
        <w:t xml:space="preserve"> ajustar en caso </w:t>
      </w:r>
      <w:r w:rsidR="00F17FD9">
        <w:rPr>
          <w:rFonts w:cs="Arial"/>
          <w:lang w:val="es-ES"/>
        </w:rPr>
        <w:t xml:space="preserve">de que </w:t>
      </w:r>
      <w:r w:rsidR="00B969D4" w:rsidRPr="00B969D4">
        <w:rPr>
          <w:rFonts w:cs="Arial"/>
          <w:lang w:val="es-ES"/>
        </w:rPr>
        <w:t xml:space="preserve">los precios lleguen a </w:t>
      </w:r>
      <w:r w:rsidR="00F17FD9">
        <w:rPr>
          <w:rFonts w:cs="Arial"/>
          <w:lang w:val="es-ES"/>
        </w:rPr>
        <w:t xml:space="preserve">sobrepasar los </w:t>
      </w:r>
      <w:r w:rsidR="00B969D4" w:rsidRPr="00B969D4">
        <w:rPr>
          <w:rFonts w:cs="Arial"/>
          <w:lang w:val="es-ES"/>
        </w:rPr>
        <w:t>niveles de corte, más allá de</w:t>
      </w:r>
      <w:r w:rsidR="00F17FD9">
        <w:rPr>
          <w:rFonts w:cs="Arial"/>
          <w:lang w:val="es-ES"/>
        </w:rPr>
        <w:t xml:space="preserve"> </w:t>
      </w:r>
      <w:r w:rsidR="00B969D4" w:rsidRPr="00B969D4">
        <w:rPr>
          <w:rFonts w:cs="Arial"/>
          <w:lang w:val="es-ES"/>
        </w:rPr>
        <w:t>l</w:t>
      </w:r>
      <w:r w:rsidR="00F17FD9">
        <w:rPr>
          <w:rFonts w:cs="Arial"/>
          <w:lang w:val="es-ES"/>
        </w:rPr>
        <w:t>os</w:t>
      </w:r>
      <w:r w:rsidR="00B969D4" w:rsidRPr="00B969D4">
        <w:rPr>
          <w:rFonts w:cs="Arial"/>
          <w:lang w:val="es-ES"/>
        </w:rPr>
        <w:t xml:space="preserve"> cual</w:t>
      </w:r>
      <w:r w:rsidR="00F17FD9">
        <w:rPr>
          <w:rFonts w:cs="Arial"/>
          <w:lang w:val="es-ES"/>
        </w:rPr>
        <w:t>es</w:t>
      </w:r>
      <w:r w:rsidR="00B969D4" w:rsidRPr="00B969D4">
        <w:rPr>
          <w:rFonts w:cs="Arial"/>
          <w:lang w:val="es-ES"/>
        </w:rPr>
        <w:t xml:space="preserve"> se p</w:t>
      </w:r>
      <w:r>
        <w:rPr>
          <w:rFonts w:cs="Arial"/>
          <w:lang w:val="es-ES"/>
        </w:rPr>
        <w:t>ongan</w:t>
      </w:r>
      <w:r w:rsidR="00F17FD9">
        <w:rPr>
          <w:rFonts w:cs="Arial"/>
          <w:lang w:val="es-ES"/>
        </w:rPr>
        <w:t xml:space="preserve"> </w:t>
      </w:r>
      <w:r w:rsidR="00B969D4" w:rsidRPr="00B969D4">
        <w:rPr>
          <w:rFonts w:cs="Arial"/>
          <w:lang w:val="es-ES"/>
        </w:rPr>
        <w:t>en peligro l</w:t>
      </w:r>
      <w:r>
        <w:rPr>
          <w:rFonts w:cs="Arial"/>
          <w:lang w:val="es-ES"/>
        </w:rPr>
        <w:t>as donaciones</w:t>
      </w:r>
      <w:r w:rsidR="00B969D4" w:rsidRPr="00B969D4">
        <w:rPr>
          <w:rFonts w:cs="Arial"/>
          <w:lang w:val="es-ES"/>
        </w:rPr>
        <w:t>.</w:t>
      </w:r>
    </w:p>
    <w:p w14:paraId="4D0BFBC2" w14:textId="72B23F9D" w:rsidR="00B969D4" w:rsidRPr="00B969D4" w:rsidRDefault="00AB5534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>Hay que a</w:t>
      </w:r>
      <w:r w:rsidR="00B969D4" w:rsidRPr="00B969D4">
        <w:rPr>
          <w:rFonts w:cs="Arial"/>
          <w:lang w:val="es-ES"/>
        </w:rPr>
        <w:t>seg</w:t>
      </w:r>
      <w:r>
        <w:rPr>
          <w:rFonts w:cs="Arial"/>
          <w:lang w:val="es-ES"/>
        </w:rPr>
        <w:t xml:space="preserve">urarse de </w:t>
      </w:r>
      <w:r w:rsidR="00B969D4" w:rsidRPr="00B969D4">
        <w:rPr>
          <w:rFonts w:cs="Arial"/>
          <w:lang w:val="es-ES"/>
        </w:rPr>
        <w:t>que el programa incluye un componente de evaluación.</w:t>
      </w:r>
    </w:p>
    <w:p w14:paraId="4CFD41D7" w14:textId="05CCBE52" w:rsidR="00B969D4" w:rsidRPr="00B969D4" w:rsidRDefault="00AB5534" w:rsidP="00B969D4">
      <w:pPr>
        <w:pStyle w:val="Bullet1"/>
        <w:rPr>
          <w:rFonts w:cs="Arial"/>
          <w:lang w:val="es-ES"/>
        </w:rPr>
      </w:pPr>
      <w:r>
        <w:rPr>
          <w:rFonts w:cs="Arial"/>
          <w:lang w:val="es-ES"/>
        </w:rPr>
        <w:t>Hay que i</w:t>
      </w:r>
      <w:r w:rsidR="00B969D4" w:rsidRPr="00B969D4">
        <w:rPr>
          <w:rFonts w:cs="Arial"/>
          <w:lang w:val="es-ES"/>
        </w:rPr>
        <w:t xml:space="preserve">nvolucrar a las comunidades y </w:t>
      </w:r>
      <w:r>
        <w:rPr>
          <w:rFonts w:cs="Arial"/>
          <w:lang w:val="es-ES"/>
        </w:rPr>
        <w:t xml:space="preserve">a </w:t>
      </w:r>
      <w:r w:rsidR="00B969D4" w:rsidRPr="00B969D4">
        <w:rPr>
          <w:rFonts w:cs="Arial"/>
          <w:lang w:val="es-ES"/>
        </w:rPr>
        <w:t xml:space="preserve">los gobiernos locales en </w:t>
      </w:r>
      <w:r>
        <w:rPr>
          <w:rFonts w:cs="Arial"/>
          <w:lang w:val="es-ES"/>
        </w:rPr>
        <w:t xml:space="preserve">el monitoreo y supervisión de los proyectos de dinero por trabajo. </w:t>
      </w:r>
    </w:p>
    <w:p w14:paraId="783D9144" w14:textId="7BA81860" w:rsidR="00D528AB" w:rsidRPr="00070FC7" w:rsidRDefault="00B969D4" w:rsidP="00070FC7">
      <w:pPr>
        <w:pStyle w:val="Heading2"/>
        <w:rPr>
          <w:rFonts w:cs="Arial"/>
        </w:rPr>
      </w:pPr>
      <w:r>
        <w:rPr>
          <w:rFonts w:cs="Arial"/>
        </w:rPr>
        <w:t>ETAPAS</w:t>
      </w:r>
      <w:r w:rsidRPr="00B969D4">
        <w:rPr>
          <w:rFonts w:cs="Arial"/>
        </w:rPr>
        <w:t xml:space="preserve"> Y subetapas</w:t>
      </w:r>
      <w:r>
        <w:rPr>
          <w:rFonts w:cs="Arial"/>
        </w:rPr>
        <w:t xml:space="preserve">  </w:t>
      </w:r>
    </w:p>
    <w:p w14:paraId="6FDBD013" w14:textId="3BD6B33B" w:rsidR="00B969D4" w:rsidRPr="00B969D4" w:rsidRDefault="00DE41C8" w:rsidP="00B969D4">
      <w:pPr>
        <w:rPr>
          <w:rFonts w:cs="Arial"/>
          <w:lang w:val="es-ES"/>
        </w:rPr>
      </w:pPr>
      <w:r>
        <w:rPr>
          <w:rFonts w:cs="Arial"/>
          <w:lang w:val="es-ES"/>
        </w:rPr>
        <w:t xml:space="preserve">La Caja de herramientas </w:t>
      </w:r>
      <w:r w:rsidR="00B969D4" w:rsidRPr="00B969D4">
        <w:rPr>
          <w:rFonts w:cs="Arial"/>
          <w:lang w:val="es-ES"/>
        </w:rPr>
        <w:t xml:space="preserve">sugiere cuatro pasos para el seguimiento y la evaluación de un </w:t>
      </w:r>
      <w:r w:rsidR="00F76454">
        <w:rPr>
          <w:rFonts w:cs="Arial"/>
          <w:lang w:val="es-ES"/>
        </w:rPr>
        <w:t>PTE</w:t>
      </w:r>
      <w:r>
        <w:rPr>
          <w:rFonts w:cs="Arial"/>
          <w:lang w:val="es-ES"/>
        </w:rPr>
        <w:t xml:space="preserve">, y hace que </w:t>
      </w:r>
      <w:r w:rsidR="00B969D4" w:rsidRPr="00B969D4">
        <w:rPr>
          <w:rFonts w:cs="Arial"/>
          <w:lang w:val="es-ES"/>
        </w:rPr>
        <w:t>los recursos disponibles que pueden ayudar a:</w:t>
      </w:r>
    </w:p>
    <w:p w14:paraId="5ECA4942" w14:textId="010A5DAC" w:rsidR="00B969D4" w:rsidRPr="00B969D4" w:rsidRDefault="00B969D4" w:rsidP="00B969D4">
      <w:pPr>
        <w:rPr>
          <w:rFonts w:cs="Arial"/>
          <w:lang w:val="es-ES"/>
        </w:rPr>
      </w:pPr>
      <w:r w:rsidRPr="00AB5534">
        <w:rPr>
          <w:rFonts w:cs="Arial"/>
          <w:b/>
          <w:lang w:val="es-ES"/>
        </w:rPr>
        <w:t>Plan</w:t>
      </w:r>
      <w:r w:rsidR="00DE41C8" w:rsidRPr="00AB5534">
        <w:rPr>
          <w:rFonts w:cs="Arial"/>
          <w:b/>
          <w:lang w:val="es-ES"/>
        </w:rPr>
        <w:t>ificar el monitoreo</w:t>
      </w:r>
      <w:r w:rsidR="00AB5534">
        <w:rPr>
          <w:rFonts w:cs="Arial"/>
          <w:b/>
          <w:lang w:val="es-ES"/>
        </w:rPr>
        <w:t xml:space="preserve"> y la evaluación de </w:t>
      </w:r>
      <w:r w:rsidR="00F76454" w:rsidRPr="00AB5534">
        <w:rPr>
          <w:rFonts w:cs="Arial"/>
          <w:b/>
          <w:lang w:val="es-ES"/>
        </w:rPr>
        <w:t>PTE</w:t>
      </w:r>
      <w:r w:rsidRPr="00B969D4">
        <w:rPr>
          <w:rFonts w:cs="Arial"/>
          <w:lang w:val="es-ES"/>
        </w:rPr>
        <w:t>. Este proceso implica el desarrollo de una estrategia global de seguimiento y evaluación (incluyendo un plan de actividades de trabajo detallado y una matriz de</w:t>
      </w:r>
      <w:r w:rsidR="00DE41C8">
        <w:rPr>
          <w:rFonts w:cs="Arial"/>
          <w:lang w:val="es-ES"/>
        </w:rPr>
        <w:t xml:space="preserve"> monitoreo y evaluación con indicadores y fuentes</w:t>
      </w:r>
      <w:r w:rsidRPr="00B969D4">
        <w:rPr>
          <w:rFonts w:cs="Arial"/>
          <w:lang w:val="es-ES"/>
        </w:rPr>
        <w:t xml:space="preserve"> de</w:t>
      </w:r>
      <w:r w:rsidR="00DE41C8">
        <w:rPr>
          <w:rFonts w:cs="Arial"/>
          <w:lang w:val="es-ES"/>
        </w:rPr>
        <w:t xml:space="preserve"> verificación) y la </w:t>
      </w:r>
      <w:r w:rsidRPr="00B969D4">
        <w:rPr>
          <w:rFonts w:cs="Arial"/>
          <w:lang w:val="es-ES"/>
        </w:rPr>
        <w:t>capaci</w:t>
      </w:r>
      <w:r w:rsidR="00DE41C8">
        <w:rPr>
          <w:rFonts w:cs="Arial"/>
          <w:lang w:val="es-ES"/>
        </w:rPr>
        <w:t xml:space="preserve">tación </w:t>
      </w:r>
      <w:r w:rsidRPr="00B969D4">
        <w:rPr>
          <w:rFonts w:cs="Arial"/>
          <w:lang w:val="es-ES"/>
        </w:rPr>
        <w:t>de los voluntarios y el personal.</w:t>
      </w:r>
    </w:p>
    <w:p w14:paraId="11695999" w14:textId="73E88153" w:rsidR="00B969D4" w:rsidRPr="00B969D4" w:rsidRDefault="0028327E" w:rsidP="00B969D4">
      <w:pPr>
        <w:rPr>
          <w:rFonts w:cs="Arial"/>
          <w:lang w:val="es-ES"/>
        </w:rPr>
      </w:pPr>
      <w:r>
        <w:rPr>
          <w:rFonts w:cs="Arial"/>
          <w:b/>
          <w:lang w:val="es-ES"/>
        </w:rPr>
        <w:t>M</w:t>
      </w:r>
      <w:r w:rsidR="00DE41C8">
        <w:rPr>
          <w:rFonts w:cs="Arial"/>
          <w:b/>
          <w:lang w:val="es-ES"/>
        </w:rPr>
        <w:t>onitoreo</w:t>
      </w:r>
      <w:r w:rsidR="00B969D4" w:rsidRPr="00B969D4">
        <w:rPr>
          <w:rFonts w:cs="Arial"/>
          <w:b/>
          <w:lang w:val="es-ES"/>
        </w:rPr>
        <w:t xml:space="preserve"> del programa.</w:t>
      </w:r>
      <w:r w:rsidR="00B969D4" w:rsidRPr="00B969D4">
        <w:rPr>
          <w:rFonts w:cs="Arial"/>
          <w:lang w:val="es-ES"/>
        </w:rPr>
        <w:t xml:space="preserve"> Este proceso se inicia con la recogida de datos de </w:t>
      </w:r>
      <w:r w:rsidR="00DE41C8">
        <w:rPr>
          <w:rFonts w:cs="Arial"/>
          <w:lang w:val="es-ES"/>
        </w:rPr>
        <w:t>la línea de base</w:t>
      </w:r>
      <w:r w:rsidR="00B969D4" w:rsidRPr="00B969D4">
        <w:rPr>
          <w:rFonts w:cs="Arial"/>
          <w:lang w:val="es-ES"/>
        </w:rPr>
        <w:t xml:space="preserve">, que debe ser consistente con los indicadores establecidos en el marco lógico y la matriz de </w:t>
      </w:r>
      <w:r w:rsidR="00DE41C8">
        <w:rPr>
          <w:rFonts w:cs="Arial"/>
          <w:lang w:val="es-ES"/>
        </w:rPr>
        <w:t xml:space="preserve">monitoreo y evaluación. </w:t>
      </w:r>
      <w:r w:rsidR="00B969D4" w:rsidRPr="00B969D4">
        <w:rPr>
          <w:rFonts w:cs="Arial"/>
          <w:lang w:val="es-ES"/>
        </w:rPr>
        <w:t xml:space="preserve"> Los datos de </w:t>
      </w:r>
      <w:r w:rsidR="00DE41C8">
        <w:rPr>
          <w:rFonts w:cs="Arial"/>
          <w:lang w:val="es-ES"/>
        </w:rPr>
        <w:t xml:space="preserve">la línea de base </w:t>
      </w:r>
      <w:r w:rsidR="00B969D4" w:rsidRPr="00B969D4">
        <w:rPr>
          <w:rFonts w:cs="Arial"/>
          <w:lang w:val="es-ES"/>
        </w:rPr>
        <w:t xml:space="preserve">se pueden recoger justo antes o en el momento de la primera ronda de cobro. </w:t>
      </w:r>
      <w:r w:rsidR="00DE41C8">
        <w:rPr>
          <w:rFonts w:cs="Arial"/>
          <w:lang w:val="es-ES"/>
        </w:rPr>
        <w:t xml:space="preserve">El monitoreo del </w:t>
      </w:r>
      <w:r w:rsidR="00B969D4" w:rsidRPr="00B969D4">
        <w:rPr>
          <w:rFonts w:cs="Arial"/>
          <w:lang w:val="es-ES"/>
        </w:rPr>
        <w:t xml:space="preserve">cobro informa </w:t>
      </w:r>
      <w:r>
        <w:rPr>
          <w:rFonts w:cs="Arial"/>
          <w:lang w:val="es-ES"/>
        </w:rPr>
        <w:t xml:space="preserve">sobre </w:t>
      </w:r>
      <w:r w:rsidR="00B969D4" w:rsidRPr="00B969D4">
        <w:rPr>
          <w:rFonts w:cs="Arial"/>
          <w:lang w:val="es-ES"/>
        </w:rPr>
        <w:t xml:space="preserve">cómo </w:t>
      </w:r>
      <w:r w:rsidRPr="00B969D4">
        <w:rPr>
          <w:rFonts w:cs="Arial"/>
          <w:lang w:val="es-ES"/>
        </w:rPr>
        <w:t xml:space="preserve">se ha realizado </w:t>
      </w:r>
      <w:r w:rsidR="00B969D4" w:rsidRPr="00B969D4">
        <w:rPr>
          <w:rFonts w:cs="Arial"/>
          <w:lang w:val="es-ES"/>
        </w:rPr>
        <w:t xml:space="preserve">el proceso y si </w:t>
      </w:r>
      <w:r>
        <w:rPr>
          <w:rFonts w:cs="Arial"/>
          <w:lang w:val="es-ES"/>
        </w:rPr>
        <w:t>los</w:t>
      </w:r>
      <w:r w:rsidR="00B969D4" w:rsidRPr="00B969D4">
        <w:rPr>
          <w:rFonts w:cs="Arial"/>
          <w:lang w:val="es-ES"/>
        </w:rPr>
        <w:t xml:space="preserve"> beneficiarios han recibido </w:t>
      </w:r>
      <w:r>
        <w:rPr>
          <w:rFonts w:cs="Arial"/>
          <w:lang w:val="es-ES"/>
        </w:rPr>
        <w:t xml:space="preserve">o no </w:t>
      </w:r>
      <w:r w:rsidR="00B969D4" w:rsidRPr="00B969D4">
        <w:rPr>
          <w:rFonts w:cs="Arial"/>
          <w:lang w:val="es-ES"/>
        </w:rPr>
        <w:t>la cantidad correcta. Uno de los principales propósitos de</w:t>
      </w:r>
      <w:r>
        <w:rPr>
          <w:rFonts w:cs="Arial"/>
          <w:lang w:val="es-ES"/>
        </w:rPr>
        <w:t>l monitoreo</w:t>
      </w:r>
      <w:r w:rsidR="00B969D4" w:rsidRPr="00B969D4">
        <w:rPr>
          <w:rFonts w:cs="Arial"/>
          <w:lang w:val="es-ES"/>
        </w:rPr>
        <w:t xml:space="preserve"> posterior a la distribución </w:t>
      </w:r>
      <w:r>
        <w:rPr>
          <w:rFonts w:cs="Arial"/>
          <w:lang w:val="es-ES"/>
        </w:rPr>
        <w:t xml:space="preserve">(MPD) </w:t>
      </w:r>
      <w:r w:rsidR="00B969D4" w:rsidRPr="00B969D4">
        <w:rPr>
          <w:rFonts w:cs="Arial"/>
          <w:lang w:val="es-ES"/>
        </w:rPr>
        <w:t xml:space="preserve">es comprobar si y cómo los beneficiarios han utilizado sus </w:t>
      </w:r>
      <w:r>
        <w:rPr>
          <w:rFonts w:cs="Arial"/>
          <w:lang w:val="es-ES"/>
        </w:rPr>
        <w:t>donaciones</w:t>
      </w:r>
      <w:r w:rsidR="00B969D4" w:rsidRPr="00B969D4">
        <w:rPr>
          <w:rFonts w:cs="Arial"/>
          <w:lang w:val="es-ES"/>
        </w:rPr>
        <w:t>. Por lo tanto, debe permitir a los beneficiarios</w:t>
      </w:r>
      <w:r>
        <w:rPr>
          <w:rFonts w:cs="Arial"/>
          <w:lang w:val="es-ES"/>
        </w:rPr>
        <w:t xml:space="preserve"> el</w:t>
      </w:r>
      <w:r w:rsidR="00B969D4" w:rsidRPr="00B969D4">
        <w:rPr>
          <w:rFonts w:cs="Arial"/>
          <w:lang w:val="es-ES"/>
        </w:rPr>
        <w:t xml:space="preserve"> </w:t>
      </w:r>
      <w:r w:rsidRPr="00B969D4">
        <w:rPr>
          <w:rFonts w:cs="Arial"/>
          <w:lang w:val="es-ES"/>
        </w:rPr>
        <w:t>tiempo</w:t>
      </w:r>
      <w:r w:rsidRPr="00B969D4">
        <w:rPr>
          <w:rFonts w:cs="Arial"/>
          <w:lang w:val="es-ES"/>
        </w:rPr>
        <w:t xml:space="preserve"> </w:t>
      </w:r>
      <w:r w:rsidR="00B969D4" w:rsidRPr="00B969D4">
        <w:rPr>
          <w:rFonts w:cs="Arial"/>
          <w:lang w:val="es-ES"/>
        </w:rPr>
        <w:t xml:space="preserve">suficiente para </w:t>
      </w:r>
      <w:r>
        <w:rPr>
          <w:rFonts w:cs="Arial"/>
          <w:lang w:val="es-ES"/>
        </w:rPr>
        <w:t xml:space="preserve">gastar </w:t>
      </w:r>
      <w:r w:rsidR="00B969D4" w:rsidRPr="00B969D4">
        <w:rPr>
          <w:rFonts w:cs="Arial"/>
          <w:lang w:val="es-ES"/>
        </w:rPr>
        <w:t xml:space="preserve">el efectivo recibido. </w:t>
      </w:r>
      <w:r>
        <w:rPr>
          <w:rFonts w:cs="Arial"/>
          <w:lang w:val="es-ES"/>
        </w:rPr>
        <w:t>El MPD</w:t>
      </w:r>
      <w:r w:rsidR="00B969D4" w:rsidRPr="00B969D4">
        <w:rPr>
          <w:rFonts w:cs="Arial"/>
          <w:lang w:val="es-ES"/>
        </w:rPr>
        <w:t xml:space="preserve"> también puede ayudar a detectar señales tempranas de los impactos </w:t>
      </w:r>
      <w:r w:rsidRPr="00B969D4">
        <w:rPr>
          <w:rFonts w:cs="Arial"/>
          <w:lang w:val="es-ES"/>
        </w:rPr>
        <w:t>negativos</w:t>
      </w:r>
      <w:r w:rsidRPr="00B969D4">
        <w:rPr>
          <w:rFonts w:cs="Arial"/>
          <w:lang w:val="es-ES"/>
        </w:rPr>
        <w:t xml:space="preserve"> </w:t>
      </w:r>
      <w:r w:rsidR="00B969D4" w:rsidRPr="00B969D4">
        <w:rPr>
          <w:rFonts w:cs="Arial"/>
          <w:lang w:val="es-ES"/>
        </w:rPr>
        <w:t xml:space="preserve">del programa, y </w:t>
      </w:r>
      <w:r>
        <w:rPr>
          <w:rFonts w:cs="Arial"/>
          <w:lang w:val="es-ES"/>
        </w:rPr>
        <w:t xml:space="preserve">solucionar las </w:t>
      </w:r>
      <w:r w:rsidRPr="00B969D4">
        <w:rPr>
          <w:rFonts w:cs="Arial"/>
          <w:lang w:val="es-ES"/>
        </w:rPr>
        <w:t>quejas</w:t>
      </w:r>
      <w:r w:rsidRPr="00B969D4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 xml:space="preserve">que </w:t>
      </w:r>
      <w:r w:rsidR="00B969D4" w:rsidRPr="00B969D4">
        <w:rPr>
          <w:rFonts w:cs="Arial"/>
          <w:lang w:val="es-ES"/>
        </w:rPr>
        <w:t>surjan.</w:t>
      </w:r>
    </w:p>
    <w:p w14:paraId="119EF649" w14:textId="7D621505" w:rsidR="00B969D4" w:rsidRPr="00B969D4" w:rsidRDefault="0028327E" w:rsidP="00B969D4">
      <w:pPr>
        <w:rPr>
          <w:rFonts w:cs="Arial"/>
          <w:lang w:val="es-ES"/>
        </w:rPr>
      </w:pPr>
      <w:r>
        <w:rPr>
          <w:rFonts w:cs="Arial"/>
          <w:b/>
          <w:lang w:val="es-ES"/>
        </w:rPr>
        <w:t xml:space="preserve">Monitoreo </w:t>
      </w:r>
      <w:r w:rsidR="00B969D4" w:rsidRPr="00B969D4">
        <w:rPr>
          <w:rFonts w:cs="Arial"/>
          <w:b/>
          <w:lang w:val="es-ES"/>
        </w:rPr>
        <w:t>del mercado</w:t>
      </w:r>
      <w:r w:rsidR="00B969D4" w:rsidRPr="00B969D4">
        <w:rPr>
          <w:rFonts w:cs="Arial"/>
          <w:lang w:val="es-ES"/>
        </w:rPr>
        <w:t xml:space="preserve">, en particular </w:t>
      </w:r>
      <w:r>
        <w:rPr>
          <w:rFonts w:cs="Arial"/>
          <w:lang w:val="es-ES"/>
        </w:rPr>
        <w:t xml:space="preserve">de los </w:t>
      </w:r>
      <w:r w:rsidR="00B969D4" w:rsidRPr="00B969D4">
        <w:rPr>
          <w:rFonts w:cs="Arial"/>
          <w:lang w:val="es-ES"/>
        </w:rPr>
        <w:t xml:space="preserve">comerciantes y los precios. </w:t>
      </w:r>
      <w:r>
        <w:rPr>
          <w:rFonts w:cs="Arial"/>
          <w:lang w:val="es-ES"/>
        </w:rPr>
        <w:t xml:space="preserve">Monitorear a los comerciantes puede </w:t>
      </w:r>
      <w:r w:rsidR="00B969D4" w:rsidRPr="00B969D4">
        <w:rPr>
          <w:rFonts w:cs="Arial"/>
          <w:lang w:val="es-ES"/>
        </w:rPr>
        <w:t xml:space="preserve">ayudar a detectar problemas relacionados con la oferta, así como los efectos potenciales del programa en el mercado. </w:t>
      </w:r>
      <w:r>
        <w:rPr>
          <w:rFonts w:cs="Arial"/>
          <w:lang w:val="es-ES"/>
        </w:rPr>
        <w:t xml:space="preserve">El </w:t>
      </w:r>
      <w:r w:rsidRPr="00B969D4">
        <w:rPr>
          <w:rFonts w:cs="Arial"/>
          <w:lang w:val="es-ES"/>
        </w:rPr>
        <w:t>monitoreo</w:t>
      </w:r>
      <w:r>
        <w:rPr>
          <w:rFonts w:cs="Arial"/>
          <w:lang w:val="es-ES"/>
        </w:rPr>
        <w:t xml:space="preserve"> de</w:t>
      </w:r>
      <w:r w:rsidRPr="00B969D4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los precios puede</w:t>
      </w:r>
      <w:r w:rsidR="00B969D4" w:rsidRPr="00B969D4">
        <w:rPr>
          <w:rFonts w:cs="Arial"/>
          <w:lang w:val="es-ES"/>
        </w:rPr>
        <w:t xml:space="preserve"> ayudar a entender si el proyecto está alcanzando los obj</w:t>
      </w:r>
      <w:r>
        <w:rPr>
          <w:rFonts w:cs="Arial"/>
          <w:lang w:val="es-ES"/>
        </w:rPr>
        <w:t>etivos previstos sin causar efectos negativos. Cuando las donaciones se ven afectada</w:t>
      </w:r>
      <w:r w:rsidR="00B969D4" w:rsidRPr="00B969D4">
        <w:rPr>
          <w:rFonts w:cs="Arial"/>
          <w:lang w:val="es-ES"/>
        </w:rPr>
        <w:t xml:space="preserve">s por los cambios de precios, </w:t>
      </w:r>
      <w:r>
        <w:rPr>
          <w:rFonts w:cs="Arial"/>
          <w:lang w:val="es-ES"/>
        </w:rPr>
        <w:t xml:space="preserve">se </w:t>
      </w:r>
      <w:r w:rsidR="00B969D4" w:rsidRPr="00B969D4">
        <w:rPr>
          <w:rFonts w:cs="Arial"/>
          <w:lang w:val="es-ES"/>
        </w:rPr>
        <w:t xml:space="preserve">debe tomar una decisión </w:t>
      </w:r>
      <w:r>
        <w:rPr>
          <w:rFonts w:cs="Arial"/>
          <w:lang w:val="es-ES"/>
        </w:rPr>
        <w:t xml:space="preserve">sobre si y </w:t>
      </w:r>
      <w:r w:rsidR="00B969D4" w:rsidRPr="00B969D4">
        <w:rPr>
          <w:rFonts w:cs="Arial"/>
          <w:lang w:val="es-ES"/>
        </w:rPr>
        <w:t>cómo responder. La capacidad de la organización para responder a los cambios de precios dependerá de la existencia de planes de contingencia y presupuesto.</w:t>
      </w:r>
    </w:p>
    <w:p w14:paraId="5F6B5A7D" w14:textId="1CF48782" w:rsidR="00B969D4" w:rsidRDefault="00B969D4" w:rsidP="00B969D4">
      <w:pPr>
        <w:rPr>
          <w:rFonts w:cs="Arial"/>
          <w:lang w:val="es-ES"/>
        </w:rPr>
      </w:pPr>
      <w:r w:rsidRPr="00B969D4">
        <w:rPr>
          <w:rFonts w:cs="Arial"/>
          <w:b/>
          <w:lang w:val="es-ES"/>
        </w:rPr>
        <w:t>Evaluar el programa.</w:t>
      </w:r>
      <w:r w:rsidRPr="00B969D4">
        <w:rPr>
          <w:rFonts w:cs="Arial"/>
          <w:lang w:val="es-ES"/>
        </w:rPr>
        <w:t xml:space="preserve"> El proceso de evaluación se inicia con el establecimiento de criterios y preguntas que ayudan a desarrollar un marco de evaluación manejable. </w:t>
      </w:r>
      <w:r w:rsidR="00F17FD9">
        <w:rPr>
          <w:rFonts w:cs="Arial"/>
          <w:lang w:val="es-ES"/>
        </w:rPr>
        <w:t>Las</w:t>
      </w:r>
      <w:r w:rsidRPr="00B969D4">
        <w:rPr>
          <w:rFonts w:cs="Arial"/>
          <w:lang w:val="es-ES"/>
        </w:rPr>
        <w:t xml:space="preserve"> evaluaciones </w:t>
      </w:r>
      <w:r w:rsidR="00F17FD9">
        <w:rPr>
          <w:rFonts w:cs="Arial"/>
          <w:lang w:val="es-ES"/>
        </w:rPr>
        <w:t xml:space="preserve">de PTE </w:t>
      </w:r>
      <w:r w:rsidRPr="00B969D4">
        <w:rPr>
          <w:rFonts w:cs="Arial"/>
          <w:lang w:val="es-ES"/>
        </w:rPr>
        <w:t>también pueden incluir el análisis de los efectos multiplicadores del programa en la economía local. Lo ideal sería que las evaluaciones se llevarán a cabo por partes independientes, por lo tanto</w:t>
      </w:r>
      <w:r w:rsidR="00F17FD9">
        <w:rPr>
          <w:rFonts w:cs="Arial"/>
          <w:lang w:val="es-ES"/>
        </w:rPr>
        <w:t>, los</w:t>
      </w:r>
      <w:r w:rsidRPr="00B969D4">
        <w:rPr>
          <w:rFonts w:cs="Arial"/>
          <w:lang w:val="es-ES"/>
        </w:rPr>
        <w:t xml:space="preserve"> </w:t>
      </w:r>
      <w:proofErr w:type="spellStart"/>
      <w:r w:rsidRPr="00B969D4">
        <w:rPr>
          <w:rFonts w:cs="Arial"/>
          <w:lang w:val="es-ES"/>
        </w:rPr>
        <w:t>TdR</w:t>
      </w:r>
      <w:proofErr w:type="spellEnd"/>
      <w:r w:rsidRPr="00B969D4">
        <w:rPr>
          <w:rFonts w:cs="Arial"/>
          <w:lang w:val="es-ES"/>
        </w:rPr>
        <w:t xml:space="preserve"> debe</w:t>
      </w:r>
      <w:r w:rsidR="00F17FD9">
        <w:rPr>
          <w:rFonts w:cs="Arial"/>
          <w:lang w:val="es-ES"/>
        </w:rPr>
        <w:t>n</w:t>
      </w:r>
      <w:r w:rsidRPr="00B969D4">
        <w:rPr>
          <w:rFonts w:cs="Arial"/>
          <w:lang w:val="es-ES"/>
        </w:rPr>
        <w:t xml:space="preserve"> definir claramente el propósito y alcance de la evaluación, proporcionar una guía detallada sobre la forma en qu</w:t>
      </w:r>
      <w:r w:rsidR="00F17FD9">
        <w:rPr>
          <w:rFonts w:cs="Arial"/>
          <w:lang w:val="es-ES"/>
        </w:rPr>
        <w:t>e debe llevarse a cabo, explicar qué</w:t>
      </w:r>
      <w:r w:rsidRPr="00B969D4">
        <w:rPr>
          <w:rFonts w:cs="Arial"/>
          <w:lang w:val="es-ES"/>
        </w:rPr>
        <w:t xml:space="preserve"> resultados se espera</w:t>
      </w:r>
      <w:r w:rsidR="00F17FD9">
        <w:rPr>
          <w:rFonts w:cs="Arial"/>
          <w:lang w:val="es-ES"/>
        </w:rPr>
        <w:t xml:space="preserve">n de la evaluación </w:t>
      </w:r>
      <w:r w:rsidRPr="00B969D4">
        <w:rPr>
          <w:rFonts w:cs="Arial"/>
          <w:lang w:val="es-ES"/>
        </w:rPr>
        <w:t xml:space="preserve">y </w:t>
      </w:r>
      <w:r w:rsidR="00F17FD9">
        <w:rPr>
          <w:rFonts w:cs="Arial"/>
          <w:lang w:val="es-ES"/>
        </w:rPr>
        <w:t xml:space="preserve">quién </w:t>
      </w:r>
      <w:r w:rsidRPr="00B969D4">
        <w:rPr>
          <w:rFonts w:cs="Arial"/>
          <w:lang w:val="es-ES"/>
        </w:rPr>
        <w:t>se dirigen los hallazgos. Los informes de evaluación son los instrumentos para comunicar hallazgos y sacar provecho de aprendizaje.</w:t>
      </w:r>
    </w:p>
    <w:p w14:paraId="6BFF587F" w14:textId="77777777" w:rsidR="00AB5534" w:rsidRPr="00B969D4" w:rsidRDefault="00AB5534" w:rsidP="00B969D4">
      <w:pPr>
        <w:rPr>
          <w:rFonts w:cs="Arial"/>
          <w:lang w:val="es-ES"/>
        </w:rPr>
      </w:pPr>
      <w:bookmarkStart w:id="0" w:name="_GoBack"/>
      <w:bookmarkEnd w:id="0"/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070FC7" w:rsidRPr="00070FC7" w14:paraId="4FE35A4F" w14:textId="77777777" w:rsidTr="00F17FD9">
        <w:tc>
          <w:tcPr>
            <w:tcW w:w="9632" w:type="dxa"/>
          </w:tcPr>
          <w:p w14:paraId="379AF833" w14:textId="08031668" w:rsidR="00070FC7" w:rsidRPr="00070FC7" w:rsidRDefault="00F17FD9" w:rsidP="00070FC7">
            <w:pPr>
              <w:pStyle w:val="RefTitre"/>
              <w:rPr>
                <w:rFonts w:cs="Arial"/>
              </w:rPr>
            </w:pPr>
            <w:r w:rsidRPr="00070FC7">
              <w:rPr>
                <w:rFonts w:cs="Arial"/>
              </w:rPr>
              <w:t>DOCUMENT</w:t>
            </w:r>
            <w:r>
              <w:rPr>
                <w:rFonts w:cs="Arial"/>
              </w:rPr>
              <w:t xml:space="preserve">OS DE </w:t>
            </w:r>
            <w:r w:rsidR="00070FC7" w:rsidRPr="00070FC7">
              <w:rPr>
                <w:rFonts w:cs="Arial"/>
              </w:rPr>
              <w:t>REFERENC</w:t>
            </w:r>
            <w:r>
              <w:rPr>
                <w:rFonts w:cs="Arial"/>
              </w:rPr>
              <w:t>IA</w:t>
            </w:r>
            <w:r w:rsidR="00070FC7" w:rsidRPr="00070FC7">
              <w:rPr>
                <w:rFonts w:cs="Arial"/>
              </w:rPr>
              <w:t xml:space="preserve"> </w:t>
            </w:r>
          </w:p>
          <w:p w14:paraId="28F81250" w14:textId="31EE9E98" w:rsidR="00070FC7" w:rsidRPr="00F703D5" w:rsidRDefault="00070FC7" w:rsidP="00070FC7">
            <w:pPr>
              <w:pStyle w:val="RefItem1"/>
              <w:rPr>
                <w:rFonts w:cs="Arial"/>
                <w:lang w:val="en-CA"/>
              </w:rPr>
            </w:pPr>
            <w:r w:rsidRPr="00B969D4">
              <w:rPr>
                <w:rFonts w:cs="Arial"/>
                <w:color w:val="0070C0"/>
                <w:shd w:val="clear" w:color="auto" w:fill="D9D9D9"/>
              </w:rPr>
              <w:t xml:space="preserve">Monitoring and Evaluation. Series on learning from cash responses to the tsunami. Issue paper 6. </w:t>
            </w:r>
            <w:r w:rsidRPr="00B969D4">
              <w:rPr>
                <w:rFonts w:cs="Arial"/>
                <w:color w:val="0070C0"/>
                <w:shd w:val="clear" w:color="auto" w:fill="D9D9D9"/>
                <w:lang w:val="en-CA"/>
              </w:rPr>
              <w:t xml:space="preserve">HPG, ODI </w:t>
            </w:r>
            <w:r w:rsidRPr="00F703D5">
              <w:rPr>
                <w:rFonts w:cs="Arial"/>
                <w:shd w:val="clear" w:color="auto" w:fill="D9D9D9"/>
                <w:lang w:val="en-CA"/>
              </w:rPr>
              <w:br/>
            </w:r>
            <w:hyperlink r:id="rId7" w:history="1">
              <w:r w:rsidRPr="00F703D5">
                <w:rPr>
                  <w:rStyle w:val="Hyperlink"/>
                  <w:rFonts w:cs="Arial"/>
                  <w:shd w:val="clear" w:color="auto" w:fill="D9D9D9"/>
                  <w:lang w:val="en-CA"/>
                </w:rPr>
                <w:t>http://www.odi.org/sites/odi.org.uk/files/odi-assets/publications-opinion-files/4893.pdf</w:t>
              </w:r>
            </w:hyperlink>
          </w:p>
        </w:tc>
      </w:tr>
    </w:tbl>
    <w:p w14:paraId="63A31577" w14:textId="77777777" w:rsidR="00D16AA1" w:rsidRPr="00F703D5" w:rsidRDefault="00D16AA1" w:rsidP="00070FC7">
      <w:pPr>
        <w:rPr>
          <w:rFonts w:cs="Arial"/>
          <w:lang w:val="en-CA"/>
        </w:rPr>
      </w:pPr>
    </w:p>
    <w:sectPr w:rsidR="00D16AA1" w:rsidRPr="00F703D5" w:rsidSect="00070F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4BAB" w14:textId="77777777" w:rsidR="00BB1ED3" w:rsidRDefault="00BB1ED3" w:rsidP="00752615">
      <w:pPr>
        <w:spacing w:after="0"/>
      </w:pPr>
      <w:r>
        <w:separator/>
      </w:r>
    </w:p>
  </w:endnote>
  <w:endnote w:type="continuationSeparator" w:id="0">
    <w:p w14:paraId="72A427B0" w14:textId="77777777" w:rsidR="00BB1ED3" w:rsidRDefault="00BB1ED3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8DFF" w14:textId="77777777" w:rsidR="00DD3554" w:rsidRDefault="00DD3554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B62D87" w14:textId="77777777" w:rsidR="00DD3554" w:rsidRDefault="00DD3554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0C841" w14:textId="02090140" w:rsidR="00070FC7" w:rsidRPr="00B45C74" w:rsidRDefault="00070FC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B5534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6FF2D19" w14:textId="52A46425" w:rsidR="00070FC7" w:rsidRPr="003A3500" w:rsidRDefault="00F17FD9" w:rsidP="00ED1B2B">
    <w:pPr>
      <w:pStyle w:val="Footer"/>
    </w:pPr>
    <w:proofErr w:type="spellStart"/>
    <w:r>
      <w:rPr>
        <w:b/>
      </w:rPr>
      <w:t>Mó</w:t>
    </w:r>
    <w:r w:rsidR="00070FC7" w:rsidRPr="00107E15">
      <w:rPr>
        <w:b/>
      </w:rPr>
      <w:t>dul</w:t>
    </w:r>
    <w:r>
      <w:rPr>
        <w:b/>
      </w:rPr>
      <w:t>o</w:t>
    </w:r>
    <w:proofErr w:type="spellEnd"/>
    <w:r w:rsidR="00070FC7" w:rsidRPr="00107E15">
      <w:rPr>
        <w:b/>
      </w:rPr>
      <w:t xml:space="preserve"> </w:t>
    </w:r>
    <w:r w:rsidR="00070FC7">
      <w:rPr>
        <w:b/>
      </w:rPr>
      <w:t>5</w:t>
    </w:r>
    <w:r w:rsidR="00070FC7" w:rsidRPr="00107E15">
      <w:rPr>
        <w:b/>
      </w:rPr>
      <w:t>.</w:t>
    </w:r>
    <w:r w:rsidR="00070FC7" w:rsidRPr="00107E15">
      <w:t xml:space="preserve"> </w:t>
    </w:r>
    <w:proofErr w:type="spellStart"/>
    <w:r>
      <w:t>Hoja</w:t>
    </w:r>
    <w:proofErr w:type="spellEnd"/>
    <w:r>
      <w:t xml:space="preserve"> de </w:t>
    </w:r>
    <w:proofErr w:type="spellStart"/>
    <w:r>
      <w:t>ruta</w:t>
    </w:r>
    <w:proofErr w:type="spellEnd"/>
    <w:r>
      <w:t xml:space="preserve"> para el </w:t>
    </w:r>
    <w:proofErr w:type="spellStart"/>
    <w:r>
      <w:t>monitoreo</w:t>
    </w:r>
    <w:proofErr w:type="spellEnd"/>
    <w:r>
      <w:t xml:space="preserve"> y </w:t>
    </w:r>
    <w:proofErr w:type="spellStart"/>
    <w:r>
      <w:t>evaluación</w:t>
    </w:r>
    <w:proofErr w:type="spellEnd"/>
    <w:r>
      <w:t xml:space="preserve"> de </w:t>
    </w:r>
    <w:r w:rsidR="00F76454">
      <w:t>PTE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8E7A" w14:textId="55C378DF" w:rsidR="00070FC7" w:rsidRPr="00B45C74" w:rsidRDefault="00070FC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B553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AF0965E" w14:textId="0B165B7A" w:rsidR="00070FC7" w:rsidRPr="00070FC7" w:rsidRDefault="001606B7" w:rsidP="00ED1B2B">
    <w:pPr>
      <w:pStyle w:val="Footer"/>
    </w:pPr>
    <w:proofErr w:type="spellStart"/>
    <w:r>
      <w:rPr>
        <w:b/>
      </w:rPr>
      <w:t>Módulo</w:t>
    </w:r>
    <w:proofErr w:type="spellEnd"/>
    <w:r w:rsidR="00070FC7" w:rsidRPr="00107E15">
      <w:rPr>
        <w:b/>
      </w:rPr>
      <w:t xml:space="preserve"> </w:t>
    </w:r>
    <w:r w:rsidR="00070FC7">
      <w:rPr>
        <w:b/>
      </w:rPr>
      <w:t>5</w:t>
    </w:r>
    <w:r w:rsidR="00070FC7" w:rsidRPr="00107E15">
      <w:rPr>
        <w:b/>
      </w:rPr>
      <w:t>.</w:t>
    </w:r>
    <w:r w:rsidR="00070FC7">
      <w:t xml:space="preserve"> </w:t>
    </w:r>
    <w:fldSimple w:instr=" STYLEREF  H1 \t  \* MERGEFORMAT ">
      <w:r w:rsidR="00AB5534">
        <w:rPr>
          <w:noProof/>
        </w:rPr>
        <w:t>Hoja de ruta para el monitoreo y la evaluación de PTE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6CA1" w14:textId="77777777" w:rsidR="00BB1ED3" w:rsidRDefault="00BB1ED3" w:rsidP="00752615">
      <w:pPr>
        <w:spacing w:after="0"/>
      </w:pPr>
      <w:r>
        <w:separator/>
      </w:r>
    </w:p>
  </w:footnote>
  <w:footnote w:type="continuationSeparator" w:id="0">
    <w:p w14:paraId="6846DBB6" w14:textId="77777777" w:rsidR="00BB1ED3" w:rsidRDefault="00BB1ED3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535C6" w14:textId="77777777" w:rsidR="00070FC7" w:rsidRPr="00074036" w:rsidRDefault="00070FC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6B47" w14:textId="6F0B676E" w:rsidR="00070FC7" w:rsidRDefault="00B969D4" w:rsidP="00050617">
    <w:pPr>
      <w:pStyle w:val="Header1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346C36E6" wp14:editId="607527E1">
          <wp:simplePos x="0" y="0"/>
          <wp:positionH relativeFrom="column">
            <wp:posOffset>381000</wp:posOffset>
          </wp:positionH>
          <wp:positionV relativeFrom="paragraph">
            <wp:posOffset>-635</wp:posOffset>
          </wp:positionV>
          <wp:extent cx="596900" cy="685165"/>
          <wp:effectExtent l="0" t="0" r="0" b="63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2E500C" w14:textId="21235556" w:rsidR="00070FC7" w:rsidRDefault="00B969D4" w:rsidP="00050617">
    <w:pPr>
      <w:pStyle w:val="Header1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70D1409" wp14:editId="3A2BCAFA">
          <wp:simplePos x="0" y="0"/>
          <wp:positionH relativeFrom="column">
            <wp:posOffset>2719705</wp:posOffset>
          </wp:positionH>
          <wp:positionV relativeFrom="paragraph">
            <wp:posOffset>193040</wp:posOffset>
          </wp:positionV>
          <wp:extent cx="3302000" cy="32448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00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C19A41" w14:textId="58A08342" w:rsidR="00070FC7" w:rsidRDefault="00070FC7" w:rsidP="00CB38F7">
    <w:pPr>
      <w:pStyle w:val="Header"/>
      <w:rPr>
        <w:color w:val="DC281E"/>
        <w:sz w:val="24"/>
        <w:szCs w:val="24"/>
      </w:rPr>
    </w:pPr>
  </w:p>
  <w:p w14:paraId="29476470" w14:textId="77777777" w:rsidR="00070FC7" w:rsidRDefault="00070FC7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14:paraId="10B2718A" w14:textId="3A06E37A" w:rsidR="00B969D4" w:rsidRDefault="00F76454" w:rsidP="00B969D4">
    <w:pPr>
      <w:pStyle w:val="Header1"/>
      <w:rPr>
        <w:rStyle w:val="Pantone485"/>
        <w:lang w:val="es-ES"/>
      </w:rPr>
    </w:pPr>
    <w:r>
      <w:rPr>
        <w:rStyle w:val="Pantone485"/>
        <w:lang w:val="es-ES"/>
      </w:rPr>
      <w:t>Caja de h</w:t>
    </w:r>
    <w:r w:rsidR="00B969D4">
      <w:rPr>
        <w:rStyle w:val="Pantone485"/>
        <w:lang w:val="es-ES"/>
      </w:rPr>
      <w:t xml:space="preserve">erramientas para </w:t>
    </w:r>
    <w:r>
      <w:rPr>
        <w:rStyle w:val="Pantone485"/>
        <w:lang w:val="es-ES"/>
      </w:rPr>
      <w:t xml:space="preserve">PTE en </w:t>
    </w:r>
    <w:r w:rsidR="00B969D4">
      <w:rPr>
        <w:rStyle w:val="Pantone485"/>
        <w:lang w:val="es-ES"/>
      </w:rPr>
      <w:t>emergencia</w:t>
    </w:r>
    <w:r>
      <w:rPr>
        <w:rStyle w:val="Pantone485"/>
        <w:lang w:val="es-ES"/>
      </w:rPr>
      <w:t>s</w:t>
    </w:r>
    <w:r w:rsidR="00B969D4">
      <w:rPr>
        <w:rStyle w:val="Pantone485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0825"/>
    <w:multiLevelType w:val="hybridMultilevel"/>
    <w:tmpl w:val="857691E8"/>
    <w:lvl w:ilvl="0" w:tplc="3000D490">
      <w:start w:val="1"/>
      <w:numFmt w:val="bullet"/>
      <w:lvlText w:val="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57B"/>
    <w:multiLevelType w:val="hybridMultilevel"/>
    <w:tmpl w:val="C110226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705B4"/>
    <w:multiLevelType w:val="hybridMultilevel"/>
    <w:tmpl w:val="FD6251F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14"/>
  </w:num>
  <w:num w:numId="5">
    <w:abstractNumId w:val="30"/>
  </w:num>
  <w:num w:numId="6">
    <w:abstractNumId w:val="13"/>
  </w:num>
  <w:num w:numId="7">
    <w:abstractNumId w:val="19"/>
  </w:num>
  <w:num w:numId="8">
    <w:abstractNumId w:val="9"/>
  </w:num>
  <w:num w:numId="9">
    <w:abstractNumId w:val="32"/>
  </w:num>
  <w:num w:numId="10">
    <w:abstractNumId w:val="22"/>
  </w:num>
  <w:num w:numId="11">
    <w:abstractNumId w:val="23"/>
  </w:num>
  <w:num w:numId="12">
    <w:abstractNumId w:val="27"/>
  </w:num>
  <w:num w:numId="13">
    <w:abstractNumId w:val="29"/>
  </w:num>
  <w:num w:numId="14">
    <w:abstractNumId w:val="6"/>
  </w:num>
  <w:num w:numId="15">
    <w:abstractNumId w:val="28"/>
  </w:num>
  <w:num w:numId="16">
    <w:abstractNumId w:val="3"/>
  </w:num>
  <w:num w:numId="17">
    <w:abstractNumId w:val="1"/>
  </w:num>
  <w:num w:numId="18">
    <w:abstractNumId w:val="31"/>
  </w:num>
  <w:num w:numId="19">
    <w:abstractNumId w:val="18"/>
  </w:num>
  <w:num w:numId="20">
    <w:abstractNumId w:val="10"/>
  </w:num>
  <w:num w:numId="21">
    <w:abstractNumId w:val="5"/>
  </w:num>
  <w:num w:numId="22">
    <w:abstractNumId w:val="11"/>
  </w:num>
  <w:num w:numId="23">
    <w:abstractNumId w:val="15"/>
  </w:num>
  <w:num w:numId="24">
    <w:abstractNumId w:val="7"/>
  </w:num>
  <w:num w:numId="25">
    <w:abstractNumId w:val="16"/>
  </w:num>
  <w:num w:numId="26">
    <w:abstractNumId w:val="17"/>
  </w:num>
  <w:num w:numId="27">
    <w:abstractNumId w:val="8"/>
  </w:num>
  <w:num w:numId="28">
    <w:abstractNumId w:val="2"/>
  </w:num>
  <w:num w:numId="29">
    <w:abstractNumId w:val="0"/>
  </w:num>
  <w:num w:numId="30">
    <w:abstractNumId w:val="20"/>
  </w:num>
  <w:num w:numId="31">
    <w:abstractNumId w:val="24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0"/>
    <w:rsid w:val="000065B4"/>
    <w:rsid w:val="00013F7A"/>
    <w:rsid w:val="00017649"/>
    <w:rsid w:val="0004004D"/>
    <w:rsid w:val="00044DE7"/>
    <w:rsid w:val="00046C14"/>
    <w:rsid w:val="00047993"/>
    <w:rsid w:val="00070FC7"/>
    <w:rsid w:val="00074220"/>
    <w:rsid w:val="000B1137"/>
    <w:rsid w:val="000B2198"/>
    <w:rsid w:val="000D763F"/>
    <w:rsid w:val="000F0CF2"/>
    <w:rsid w:val="000F4CA2"/>
    <w:rsid w:val="0011766A"/>
    <w:rsid w:val="00132856"/>
    <w:rsid w:val="00154DC6"/>
    <w:rsid w:val="001606B7"/>
    <w:rsid w:val="00161AD7"/>
    <w:rsid w:val="001A7CF9"/>
    <w:rsid w:val="001B79C9"/>
    <w:rsid w:val="001C334E"/>
    <w:rsid w:val="001C34F7"/>
    <w:rsid w:val="001F6441"/>
    <w:rsid w:val="002426CF"/>
    <w:rsid w:val="00256A0A"/>
    <w:rsid w:val="0028327E"/>
    <w:rsid w:val="002F0F4A"/>
    <w:rsid w:val="002F689F"/>
    <w:rsid w:val="003011E6"/>
    <w:rsid w:val="00312082"/>
    <w:rsid w:val="00313C10"/>
    <w:rsid w:val="00325F32"/>
    <w:rsid w:val="00333EA9"/>
    <w:rsid w:val="00347951"/>
    <w:rsid w:val="00357105"/>
    <w:rsid w:val="00372297"/>
    <w:rsid w:val="003C0EEB"/>
    <w:rsid w:val="003C1B36"/>
    <w:rsid w:val="003F3116"/>
    <w:rsid w:val="00406778"/>
    <w:rsid w:val="00474D77"/>
    <w:rsid w:val="004B75E3"/>
    <w:rsid w:val="004C4C9B"/>
    <w:rsid w:val="004C5B50"/>
    <w:rsid w:val="004E4B9C"/>
    <w:rsid w:val="004E5BB5"/>
    <w:rsid w:val="004F256F"/>
    <w:rsid w:val="004F3661"/>
    <w:rsid w:val="004F54CA"/>
    <w:rsid w:val="0051795B"/>
    <w:rsid w:val="00523E87"/>
    <w:rsid w:val="00527882"/>
    <w:rsid w:val="00546E54"/>
    <w:rsid w:val="005838FA"/>
    <w:rsid w:val="005912FA"/>
    <w:rsid w:val="005B724A"/>
    <w:rsid w:val="005F10EE"/>
    <w:rsid w:val="005F66E3"/>
    <w:rsid w:val="0062030E"/>
    <w:rsid w:val="00646696"/>
    <w:rsid w:val="0065753B"/>
    <w:rsid w:val="006642BE"/>
    <w:rsid w:val="006C2161"/>
    <w:rsid w:val="006D090F"/>
    <w:rsid w:val="006D3A93"/>
    <w:rsid w:val="006D597B"/>
    <w:rsid w:val="007004AE"/>
    <w:rsid w:val="00752615"/>
    <w:rsid w:val="00773EC4"/>
    <w:rsid w:val="007B5515"/>
    <w:rsid w:val="007B6DD9"/>
    <w:rsid w:val="007D1A58"/>
    <w:rsid w:val="007E6CC8"/>
    <w:rsid w:val="0082169E"/>
    <w:rsid w:val="008233E8"/>
    <w:rsid w:val="00843510"/>
    <w:rsid w:val="00853516"/>
    <w:rsid w:val="008617E9"/>
    <w:rsid w:val="00865D5F"/>
    <w:rsid w:val="0088306F"/>
    <w:rsid w:val="008A18CC"/>
    <w:rsid w:val="008C3307"/>
    <w:rsid w:val="008E19BC"/>
    <w:rsid w:val="008F402F"/>
    <w:rsid w:val="00906ED2"/>
    <w:rsid w:val="00985124"/>
    <w:rsid w:val="00987DE8"/>
    <w:rsid w:val="00992DFF"/>
    <w:rsid w:val="00996780"/>
    <w:rsid w:val="009A0CCC"/>
    <w:rsid w:val="009B03DC"/>
    <w:rsid w:val="009B27B1"/>
    <w:rsid w:val="00A03B75"/>
    <w:rsid w:val="00A142B8"/>
    <w:rsid w:val="00A324E8"/>
    <w:rsid w:val="00A336CA"/>
    <w:rsid w:val="00A92250"/>
    <w:rsid w:val="00A94FC1"/>
    <w:rsid w:val="00AB5534"/>
    <w:rsid w:val="00AE5444"/>
    <w:rsid w:val="00B0620E"/>
    <w:rsid w:val="00B30C4C"/>
    <w:rsid w:val="00B43740"/>
    <w:rsid w:val="00B72355"/>
    <w:rsid w:val="00B969D4"/>
    <w:rsid w:val="00BA2D89"/>
    <w:rsid w:val="00BB1ED3"/>
    <w:rsid w:val="00BB3C49"/>
    <w:rsid w:val="00C316F3"/>
    <w:rsid w:val="00C71BB7"/>
    <w:rsid w:val="00C96F23"/>
    <w:rsid w:val="00CB4046"/>
    <w:rsid w:val="00CC068F"/>
    <w:rsid w:val="00D00357"/>
    <w:rsid w:val="00D14E9D"/>
    <w:rsid w:val="00D16AA1"/>
    <w:rsid w:val="00D436BF"/>
    <w:rsid w:val="00D44CC7"/>
    <w:rsid w:val="00D528AB"/>
    <w:rsid w:val="00D62AC5"/>
    <w:rsid w:val="00D712BF"/>
    <w:rsid w:val="00DC1372"/>
    <w:rsid w:val="00DD1804"/>
    <w:rsid w:val="00DD3554"/>
    <w:rsid w:val="00DD4508"/>
    <w:rsid w:val="00DD662A"/>
    <w:rsid w:val="00DE13F0"/>
    <w:rsid w:val="00DE41C8"/>
    <w:rsid w:val="00E01226"/>
    <w:rsid w:val="00E310A8"/>
    <w:rsid w:val="00E74F5E"/>
    <w:rsid w:val="00E77E9D"/>
    <w:rsid w:val="00E82F55"/>
    <w:rsid w:val="00E85EFE"/>
    <w:rsid w:val="00EC7696"/>
    <w:rsid w:val="00F17FD9"/>
    <w:rsid w:val="00F703D5"/>
    <w:rsid w:val="00F73584"/>
    <w:rsid w:val="00F76454"/>
    <w:rsid w:val="00F80A2D"/>
    <w:rsid w:val="00F95301"/>
    <w:rsid w:val="00FA01FD"/>
    <w:rsid w:val="00FA16A0"/>
    <w:rsid w:val="00FD1E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B9E619"/>
  <w15:docId w15:val="{8C22B062-9E46-4883-914B-7516650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2DFF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92DF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DF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DF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DF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2DFF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92DFF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D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2D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92DF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92DFF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F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92DF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92DFF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92DFF"/>
    <w:rPr>
      <w:b/>
    </w:rPr>
  </w:style>
  <w:style w:type="paragraph" w:styleId="Header">
    <w:name w:val="header"/>
    <w:basedOn w:val="Normal"/>
    <w:link w:val="HeaderChar"/>
    <w:uiPriority w:val="99"/>
    <w:unhideWhenUsed/>
    <w:rsid w:val="00992DF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92DFF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9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92DF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2DFF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92DFF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an">
    <w:name w:val="aan"/>
    <w:basedOn w:val="DefaultParagraphFont"/>
    <w:rsid w:val="003C0EEB"/>
  </w:style>
  <w:style w:type="character" w:customStyle="1" w:styleId="Heading1Char">
    <w:name w:val="Heading 1 Char"/>
    <w:basedOn w:val="DefaultParagraphFont"/>
    <w:link w:val="Heading1"/>
    <w:uiPriority w:val="9"/>
    <w:rsid w:val="00992DFF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2DFF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DFF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92DFF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92DF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92DF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92DFF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92DF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92DF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92DF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92DF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92DFF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92DFF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92DFF"/>
    <w:pPr>
      <w:numPr>
        <w:numId w:val="3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92DFF"/>
    <w:pPr>
      <w:numPr>
        <w:ilvl w:val="1"/>
        <w:numId w:val="2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92DFF"/>
    <w:pPr>
      <w:numPr>
        <w:numId w:val="3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92DFF"/>
    <w:pPr>
      <w:numPr>
        <w:numId w:val="3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92DF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92DF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92DFF"/>
    <w:pPr>
      <w:keepNext/>
      <w:keepLines/>
      <w:framePr w:hSpace="141" w:wrap="around" w:vAnchor="text" w:hAnchor="margin" w:y="402"/>
      <w:numPr>
        <w:numId w:val="33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i.org/sites/odi.org.uk/files/odi-assets/publications-opinion-files/4893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76</TotalTime>
  <Pages>2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4</cp:revision>
  <cp:lastPrinted>2015-10-13T14:36:00Z</cp:lastPrinted>
  <dcterms:created xsi:type="dcterms:W3CDTF">2016-02-14T16:16:00Z</dcterms:created>
  <dcterms:modified xsi:type="dcterms:W3CDTF">2016-02-19T15:35:00Z</dcterms:modified>
</cp:coreProperties>
</file>