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g" ContentType="image/jpe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ECF91" w14:textId="0BD8160C" w:rsidR="00F332C9" w:rsidRPr="00F332C9" w:rsidRDefault="00F332C9" w:rsidP="005255BE">
      <w:pPr>
        <w:pStyle w:val="H1"/>
        <w:rPr>
          <w:lang w:val="es-ES"/>
        </w:rPr>
      </w:pPr>
      <w:bookmarkStart w:id="0" w:name="_GoBack"/>
      <w:bookmarkEnd w:id="0"/>
      <w:r w:rsidRPr="00F332C9">
        <w:rPr>
          <w:lang w:val="es-ES"/>
        </w:rPr>
        <w:t xml:space="preserve">Hoja de ruta para la distribución </w:t>
      </w:r>
      <w:r w:rsidR="00D81DE8">
        <w:rPr>
          <w:lang w:val="es-ES"/>
        </w:rPr>
        <w:t>y cobro en PTE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938"/>
        <w:gridCol w:w="1741"/>
        <w:gridCol w:w="1854"/>
        <w:gridCol w:w="2417"/>
      </w:tblGrid>
      <w:tr w:rsidR="00D81DE8" w:rsidRPr="00BA4ED3" w14:paraId="4E7EBBEE" w14:textId="77777777" w:rsidTr="00E4557B">
        <w:trPr>
          <w:jc w:val="center"/>
        </w:trPr>
        <w:tc>
          <w:tcPr>
            <w:tcW w:w="10194" w:type="dxa"/>
            <w:gridSpan w:val="5"/>
            <w:shd w:val="clear" w:color="auto" w:fill="00B0F0"/>
          </w:tcPr>
          <w:p w14:paraId="373384E9" w14:textId="36C58581" w:rsidR="00D81DE8" w:rsidRPr="00BA4ED3" w:rsidRDefault="00D81DE8" w:rsidP="0015565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BA4ED3">
              <w:rPr>
                <w:rFonts w:cstheme="minorHAnsi"/>
                <w:b/>
                <w:color w:val="FFFFFF" w:themeColor="background1"/>
              </w:rPr>
              <w:t>DISEÑO E IMPLEMENTACIÓN</w:t>
            </w:r>
          </w:p>
        </w:tc>
      </w:tr>
      <w:tr w:rsidR="00D81DE8" w:rsidRPr="00BA4ED3" w14:paraId="66B1F934" w14:textId="77777777" w:rsidTr="00E4557B">
        <w:trPr>
          <w:trHeight w:val="70"/>
          <w:jc w:val="center"/>
        </w:trPr>
        <w:tc>
          <w:tcPr>
            <w:tcW w:w="10194" w:type="dxa"/>
            <w:gridSpan w:val="5"/>
            <w:shd w:val="clear" w:color="auto" w:fill="FFFFFF" w:themeFill="background1"/>
          </w:tcPr>
          <w:p w14:paraId="6EFC78C4" w14:textId="529F6806" w:rsidR="00D81DE8" w:rsidRPr="00DB5E28" w:rsidRDefault="00D81DE8" w:rsidP="00155657">
            <w:pPr>
              <w:rPr>
                <w:rFonts w:cstheme="minorHAnsi"/>
                <w:b/>
                <w:bCs/>
                <w:sz w:val="18"/>
                <w:szCs w:val="21"/>
                <w:lang w:val="es-E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21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C84D8" wp14:editId="728E4008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-46989</wp:posOffset>
                      </wp:positionV>
                      <wp:extent cx="163195" cy="315595"/>
                      <wp:effectExtent l="0" t="0" r="27305" b="27305"/>
                      <wp:wrapNone/>
                      <wp:docPr id="4" name="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 flipV="1">
                                <a:off x="0" y="0"/>
                                <a:ext cx="163195" cy="31559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C154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6" type="#_x0000_t15" style="position:absolute;margin-left:439.4pt;margin-top:-3.7pt;width:12.85pt;height:24.85pt;rotation:-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" adj="10800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18"/>
                <w:szCs w:val="21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FBD26" wp14:editId="505813E6">
                      <wp:simplePos x="0" y="0"/>
                      <wp:positionH relativeFrom="column">
                        <wp:posOffset>-70588</wp:posOffset>
                      </wp:positionH>
                      <wp:positionV relativeFrom="paragraph">
                        <wp:posOffset>27082</wp:posOffset>
                      </wp:positionV>
                      <wp:extent cx="6462584" cy="0"/>
                      <wp:effectExtent l="0" t="19050" r="1460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258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C44F6F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2.15pt" to="50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" strokecolor="red" strokeweight="3pt"/>
                  </w:pict>
                </mc:Fallback>
              </mc:AlternateContent>
            </w:r>
          </w:p>
        </w:tc>
      </w:tr>
      <w:tr w:rsidR="00D81DE8" w:rsidRPr="008D7B69" w14:paraId="7147A765" w14:textId="77777777" w:rsidTr="00E4557B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B21F6C" w14:textId="77777777" w:rsidR="00D81DE8" w:rsidRPr="00DB5E28" w:rsidRDefault="00D81DE8" w:rsidP="00155657">
            <w:pPr>
              <w:rPr>
                <w:rFonts w:cstheme="minorHAnsi"/>
                <w:b/>
                <w:sz w:val="18"/>
              </w:rPr>
            </w:pPr>
          </w:p>
          <w:p w14:paraId="506C62C7" w14:textId="77777777" w:rsidR="00D81DE8" w:rsidRPr="00BA4ED3" w:rsidRDefault="00D81DE8" w:rsidP="00D81DE8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sz w:val="18"/>
              </w:rPr>
            </w:pPr>
            <w:r w:rsidRPr="00BA4ED3">
              <w:rPr>
                <w:rFonts w:cstheme="minorHAnsi"/>
                <w:b/>
                <w:bCs/>
                <w:sz w:val="18"/>
                <w:szCs w:val="21"/>
                <w:lang w:val="es-ES"/>
              </w:rPr>
              <w:t>Diseño del programa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9163F63" w14:textId="77777777" w:rsidR="00D81DE8" w:rsidRPr="00DB5E28" w:rsidRDefault="00D81DE8" w:rsidP="00155657">
            <w:pPr>
              <w:rPr>
                <w:rFonts w:cstheme="minorHAnsi"/>
                <w:b/>
                <w:sz w:val="18"/>
                <w:lang w:val="es-ES"/>
              </w:rPr>
            </w:pPr>
          </w:p>
          <w:p w14:paraId="158AA3AA" w14:textId="77777777" w:rsidR="00D81DE8" w:rsidRPr="00BA4ED3" w:rsidRDefault="00D81DE8" w:rsidP="00D81DE8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sz w:val="18"/>
                <w:lang w:val="es-ES"/>
              </w:rPr>
            </w:pPr>
            <w:r w:rsidRPr="00BA4ED3">
              <w:rPr>
                <w:rFonts w:cstheme="minorHAnsi"/>
                <w:b/>
                <w:bCs/>
                <w:sz w:val="18"/>
                <w:szCs w:val="21"/>
                <w:lang w:val="es-ES"/>
              </w:rPr>
              <w:t>Comunicación y rendición de cuentas a los beneficiarios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2B57D6A" w14:textId="77777777" w:rsidR="00D81DE8" w:rsidRPr="00DB5E28" w:rsidRDefault="00D81DE8" w:rsidP="00155657">
            <w:pPr>
              <w:rPr>
                <w:rFonts w:cstheme="minorHAnsi"/>
                <w:b/>
                <w:sz w:val="18"/>
                <w:lang w:val="es-ES"/>
              </w:rPr>
            </w:pPr>
          </w:p>
          <w:p w14:paraId="0798F805" w14:textId="77777777" w:rsidR="00D81DE8" w:rsidRPr="00BA4ED3" w:rsidRDefault="00D81DE8" w:rsidP="00D81DE8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sz w:val="18"/>
                <w:lang w:val="es-ES"/>
              </w:rPr>
            </w:pPr>
            <w:r w:rsidRPr="00BA4ED3">
              <w:rPr>
                <w:rFonts w:cstheme="minorHAnsi"/>
                <w:b/>
                <w:bCs/>
                <w:sz w:val="18"/>
                <w:lang w:val="es-ES"/>
              </w:rPr>
              <w:t>Contratación de proveedores de servicios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6F8740" w14:textId="77777777" w:rsidR="00D81DE8" w:rsidRPr="00DB5E28" w:rsidRDefault="00D81DE8" w:rsidP="00155657">
            <w:pPr>
              <w:rPr>
                <w:rFonts w:cstheme="minorHAnsi"/>
                <w:b/>
                <w:sz w:val="18"/>
                <w:lang w:val="es-ES"/>
              </w:rPr>
            </w:pPr>
          </w:p>
          <w:p w14:paraId="5BA46BE5" w14:textId="77777777" w:rsidR="00D81DE8" w:rsidRPr="00BA4ED3" w:rsidRDefault="00D81DE8" w:rsidP="00D81DE8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sz w:val="18"/>
                <w:lang w:val="es-ES"/>
              </w:rPr>
            </w:pPr>
            <w:r w:rsidRPr="00BA4ED3">
              <w:rPr>
                <w:rFonts w:cstheme="minorHAnsi"/>
                <w:b/>
                <w:sz w:val="18"/>
                <w:lang w:val="es-ES"/>
              </w:rPr>
              <w:t>Registro e identificación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CC0FFD" w14:textId="77777777" w:rsidR="00D81DE8" w:rsidRPr="00DB5E28" w:rsidRDefault="00D81DE8" w:rsidP="00155657">
            <w:pPr>
              <w:rPr>
                <w:rFonts w:cstheme="minorHAnsi"/>
                <w:b/>
                <w:sz w:val="18"/>
                <w:lang w:val="es-ES"/>
              </w:rPr>
            </w:pPr>
          </w:p>
          <w:p w14:paraId="288E2C56" w14:textId="77777777" w:rsidR="00D81DE8" w:rsidRPr="00BA4ED3" w:rsidRDefault="00D81DE8" w:rsidP="00D81DE8">
            <w:pPr>
              <w:pStyle w:val="ListParagraph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sz w:val="18"/>
                <w:lang w:val="es-ES"/>
              </w:rPr>
            </w:pPr>
            <w:r w:rsidRPr="00BA4ED3">
              <w:rPr>
                <w:rFonts w:cstheme="minorHAnsi"/>
                <w:b/>
                <w:bCs/>
                <w:sz w:val="18"/>
                <w:szCs w:val="21"/>
                <w:lang w:val="es-ES"/>
              </w:rPr>
              <w:t>Distribución y conversión a efecti</w:t>
            </w:r>
            <w:r>
              <w:rPr>
                <w:rFonts w:cstheme="minorHAnsi"/>
                <w:b/>
                <w:bCs/>
                <w:sz w:val="18"/>
                <w:szCs w:val="21"/>
                <w:lang w:val="es-ES"/>
              </w:rPr>
              <w:t>vo</w:t>
            </w:r>
          </w:p>
        </w:tc>
      </w:tr>
      <w:tr w:rsidR="00D81DE8" w:rsidRPr="00D81DE8" w14:paraId="4EFEF0E6" w14:textId="77777777" w:rsidTr="00E4557B">
        <w:trPr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DCAD2" w14:textId="77777777" w:rsidR="00D81DE8" w:rsidRPr="00775D05" w:rsidRDefault="00D81DE8" w:rsidP="00155657">
            <w:pPr>
              <w:pBdr>
                <w:left w:val="single" w:sz="4" w:space="4" w:color="auto"/>
              </w:pBd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775D05">
              <w:rPr>
                <w:rFonts w:cstheme="minorHAnsi"/>
                <w:bCs/>
                <w:sz w:val="16"/>
                <w:szCs w:val="21"/>
                <w:lang w:val="es-ES"/>
              </w:rPr>
              <w:t xml:space="preserve">.1 Desarrollo del plan operativo de PTE </w:t>
            </w:r>
          </w:p>
          <w:p w14:paraId="118AC152" w14:textId="77777777" w:rsidR="00D81DE8" w:rsidRPr="00775D05" w:rsidRDefault="00D81DE8" w:rsidP="00155657">
            <w:pPr>
              <w:pBdr>
                <w:left w:val="single" w:sz="4" w:space="4" w:color="auto"/>
              </w:pBd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775D05">
              <w:rPr>
                <w:rFonts w:cstheme="minorHAnsi"/>
                <w:bCs/>
                <w:sz w:val="16"/>
                <w:szCs w:val="21"/>
                <w:lang w:val="es-ES"/>
              </w:rPr>
              <w:t>.2 Coordinación interna</w:t>
            </w:r>
          </w:p>
          <w:p w14:paraId="132710E7" w14:textId="77777777" w:rsidR="00D81DE8" w:rsidRPr="00775D05" w:rsidRDefault="00D81DE8" w:rsidP="00155657">
            <w:pPr>
              <w:pBdr>
                <w:left w:val="single" w:sz="4" w:space="4" w:color="auto"/>
              </w:pBd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775D05">
              <w:rPr>
                <w:rFonts w:cstheme="minorHAnsi"/>
                <w:bCs/>
                <w:sz w:val="16"/>
                <w:szCs w:val="21"/>
                <w:lang w:val="es-ES"/>
              </w:rPr>
              <w:t xml:space="preserve">.3 Coordinación con otros actores  </w:t>
            </w:r>
          </w:p>
          <w:p w14:paraId="5CC0248A" w14:textId="77777777" w:rsidR="00D81DE8" w:rsidRPr="00BA4ED3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6ABEE" w14:textId="77777777" w:rsidR="00D81DE8" w:rsidRPr="00D81DE8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 xml:space="preserve">.1 Desarrollo de un plan de comunicación y rendición de cuentas a los beneficiarios  </w:t>
            </w:r>
          </w:p>
          <w:p w14:paraId="7C3EB594" w14:textId="77777777" w:rsidR="00D81DE8" w:rsidRPr="00D81DE8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 xml:space="preserve">.2 Fortalecimiento de la capacidad del personal  </w:t>
            </w:r>
          </w:p>
          <w:p w14:paraId="0CC8F318" w14:textId="77777777" w:rsidR="00D81DE8" w:rsidRPr="00D81DE8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 xml:space="preserve">.3 Selección de los canales y las herramientas de comunicación  </w:t>
            </w:r>
          </w:p>
          <w:p w14:paraId="14228ACE" w14:textId="77777777" w:rsidR="00D81DE8" w:rsidRPr="00D81DE8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>.4 Desarrollo de mensajes para la audiencia diana</w:t>
            </w:r>
          </w:p>
          <w:p w14:paraId="0C33C553" w14:textId="77777777" w:rsidR="00D81DE8" w:rsidRPr="00D81DE8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 xml:space="preserve">.5 Desarrollo de un mecanismo de retroalimentación y respuesta a quejas </w:t>
            </w:r>
          </w:p>
          <w:p w14:paraId="3925B561" w14:textId="77777777" w:rsidR="00D81DE8" w:rsidRPr="00BA4ED3" w:rsidRDefault="00D81DE8" w:rsidP="00D81DE8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81DE8">
              <w:rPr>
                <w:rFonts w:cstheme="minorHAnsi"/>
                <w:bCs/>
                <w:sz w:val="16"/>
                <w:szCs w:val="21"/>
                <w:lang w:val="es-ES"/>
              </w:rPr>
              <w:t>.6 Revisión y aprendizaje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6AC14DD" w14:textId="77777777" w:rsidR="00D81DE8" w:rsidRPr="00DB5E28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>
              <w:rPr>
                <w:rFonts w:cstheme="minorHAnsi"/>
                <w:bCs/>
                <w:sz w:val="16"/>
                <w:szCs w:val="21"/>
                <w:lang w:val="es-ES"/>
              </w:rPr>
              <w:t xml:space="preserve">.1 </w:t>
            </w: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Búsqueda de posibles proveedores de servicios</w:t>
            </w:r>
          </w:p>
          <w:p w14:paraId="42A95F31" w14:textId="77777777" w:rsidR="00D81DE8" w:rsidRPr="00DB5E28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.2 Proceso de licitación y selección del proveedor de servicios</w:t>
            </w:r>
          </w:p>
          <w:p w14:paraId="76B5ACD8" w14:textId="77777777" w:rsidR="00D81DE8" w:rsidRPr="00DB5E28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.3 Contrato y definición del modo de trabajo</w:t>
            </w:r>
          </w:p>
          <w:p w14:paraId="32B4D6B3" w14:textId="77777777" w:rsidR="00D81DE8" w:rsidRPr="00DB5E28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 xml:space="preserve">.4 Gestión y protección de datos de los beneficiarios </w:t>
            </w:r>
          </w:p>
          <w:p w14:paraId="5E9D7129" w14:textId="77777777" w:rsidR="00D81DE8" w:rsidRPr="00BA4ED3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90B0D75" w14:textId="77777777" w:rsidR="00D81DE8" w:rsidRPr="00DB5E28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>
              <w:rPr>
                <w:rFonts w:cstheme="minorHAnsi"/>
                <w:bCs/>
                <w:sz w:val="16"/>
                <w:szCs w:val="21"/>
                <w:lang w:val="es-ES"/>
              </w:rPr>
              <w:t xml:space="preserve">.1 </w:t>
            </w: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Planificación y preparación del registro</w:t>
            </w:r>
          </w:p>
          <w:p w14:paraId="181019FF" w14:textId="77777777" w:rsidR="00D81DE8" w:rsidRPr="00BA4ED3" w:rsidRDefault="00D81DE8" w:rsidP="00D81DE8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 xml:space="preserve">.2 Identificación y autentificación  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3CC212F8" w14:textId="77777777" w:rsidR="00D81DE8" w:rsidRPr="00DB5E28" w:rsidRDefault="00D81DE8" w:rsidP="00E4557B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>
              <w:rPr>
                <w:rFonts w:cstheme="minorHAnsi"/>
                <w:bCs/>
                <w:sz w:val="16"/>
                <w:szCs w:val="21"/>
                <w:lang w:val="es-ES"/>
              </w:rPr>
              <w:t xml:space="preserve">.1 </w:t>
            </w: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Formación y comunicación</w:t>
            </w:r>
          </w:p>
          <w:p w14:paraId="7C5E8AEF" w14:textId="77777777" w:rsidR="00D81DE8" w:rsidRPr="00DB5E28" w:rsidRDefault="00D81DE8" w:rsidP="00E4557B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 xml:space="preserve">.2 Planificación e implementación de las distribuciones  </w:t>
            </w:r>
          </w:p>
          <w:p w14:paraId="5204E0AB" w14:textId="77777777" w:rsidR="00D81DE8" w:rsidRPr="00DB5E28" w:rsidRDefault="00D81DE8" w:rsidP="00E4557B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.3 Planificación de la conversión a efectivo</w:t>
            </w:r>
          </w:p>
          <w:p w14:paraId="202BE50D" w14:textId="77777777" w:rsidR="00D81DE8" w:rsidRPr="00BA4ED3" w:rsidRDefault="00D81DE8" w:rsidP="00E4557B">
            <w:pPr>
              <w:rPr>
                <w:rFonts w:cstheme="minorHAnsi"/>
                <w:bCs/>
                <w:sz w:val="16"/>
                <w:szCs w:val="21"/>
                <w:lang w:val="es-ES"/>
              </w:rPr>
            </w:pPr>
            <w:r>
              <w:rPr>
                <w:rFonts w:cstheme="minorHAnsi"/>
                <w:bCs/>
                <w:sz w:val="16"/>
                <w:szCs w:val="21"/>
                <w:lang w:val="es-ES"/>
              </w:rPr>
              <w:t xml:space="preserve">.4 </w:t>
            </w:r>
            <w:r w:rsidRPr="00DB5E28">
              <w:rPr>
                <w:rFonts w:cstheme="minorHAnsi"/>
                <w:bCs/>
                <w:sz w:val="16"/>
                <w:szCs w:val="21"/>
                <w:lang w:val="es-ES"/>
              </w:rPr>
              <w:t>Implementación de la conversión a efectivo</w:t>
            </w:r>
          </w:p>
        </w:tc>
      </w:tr>
    </w:tbl>
    <w:p w14:paraId="184D2878" w14:textId="77777777" w:rsidR="001D2A29" w:rsidRPr="00D81DE8" w:rsidRDefault="001D2A29" w:rsidP="00D81DE8">
      <w:pPr>
        <w:pBdr>
          <w:left w:val="single" w:sz="4" w:space="4" w:color="auto"/>
        </w:pBdr>
        <w:shd w:val="clear" w:color="auto" w:fill="FFFFFF" w:themeFill="background1"/>
        <w:rPr>
          <w:rFonts w:cstheme="minorHAnsi"/>
          <w:bCs/>
          <w:sz w:val="16"/>
          <w:szCs w:val="21"/>
          <w:lang w:val="es-ES"/>
        </w:rPr>
      </w:pPr>
    </w:p>
    <w:p w14:paraId="47945F96" w14:textId="642F3675" w:rsidR="00155657" w:rsidRPr="00F332C9" w:rsidRDefault="00F332C9" w:rsidP="005255BE">
      <w:pPr>
        <w:pStyle w:val="Heading2"/>
        <w:rPr>
          <w:lang w:val="es-ES"/>
        </w:rPr>
      </w:pPr>
      <w:r w:rsidRPr="00F332C9">
        <w:rPr>
          <w:lang w:val="es-ES"/>
        </w:rPr>
        <w:t xml:space="preserve">INTRODUCCIÓN    </w:t>
      </w:r>
    </w:p>
    <w:p w14:paraId="7FA34B21" w14:textId="6A317446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>Esta hoja de ruta gu</w:t>
      </w:r>
      <w:r w:rsidR="00D81DE8">
        <w:rPr>
          <w:lang w:val="es-ES"/>
        </w:rPr>
        <w:t xml:space="preserve">ía </w:t>
      </w:r>
      <w:r w:rsidRPr="00F332C9">
        <w:rPr>
          <w:lang w:val="es-ES"/>
        </w:rPr>
        <w:t>a través del proceso de distribución de artículos relacionados con el mecanismo de pago elegido, así como dinero en ef</w:t>
      </w:r>
      <w:r w:rsidR="00D81DE8">
        <w:rPr>
          <w:lang w:val="es-ES"/>
        </w:rPr>
        <w:t>ectivo a los beneficiarios</w:t>
      </w:r>
      <w:r w:rsidRPr="00F332C9">
        <w:rPr>
          <w:lang w:val="es-ES"/>
        </w:rPr>
        <w:t xml:space="preserve">. </w:t>
      </w:r>
      <w:r w:rsidR="00D81DE8">
        <w:rPr>
          <w:lang w:val="es-ES"/>
        </w:rPr>
        <w:t xml:space="preserve">La </w:t>
      </w:r>
      <w:r w:rsidRPr="00F332C9">
        <w:rPr>
          <w:lang w:val="es-ES"/>
        </w:rPr>
        <w:t xml:space="preserve">distribución </w:t>
      </w:r>
      <w:r w:rsidR="00D81DE8">
        <w:rPr>
          <w:lang w:val="es-ES"/>
        </w:rPr>
        <w:t xml:space="preserve">de </w:t>
      </w:r>
      <w:r w:rsidR="00D81DE8" w:rsidRPr="00F332C9">
        <w:rPr>
          <w:lang w:val="es-ES"/>
        </w:rPr>
        <w:t>efectivo</w:t>
      </w:r>
      <w:r w:rsidRPr="00F332C9">
        <w:rPr>
          <w:lang w:val="es-ES"/>
        </w:rPr>
        <w:t>, independientemente de si se lleva a cabo directame</w:t>
      </w:r>
      <w:r w:rsidR="00D81DE8">
        <w:rPr>
          <w:lang w:val="es-ES"/>
        </w:rPr>
        <w:t>nte por la organización</w:t>
      </w:r>
      <w:r w:rsidRPr="00F332C9">
        <w:rPr>
          <w:lang w:val="es-ES"/>
        </w:rPr>
        <w:t xml:space="preserve"> o</w:t>
      </w:r>
      <w:r w:rsidR="00D81DE8">
        <w:rPr>
          <w:lang w:val="es-ES"/>
        </w:rPr>
        <w:t xml:space="preserve"> </w:t>
      </w:r>
      <w:r w:rsidRPr="00F332C9">
        <w:rPr>
          <w:lang w:val="es-ES"/>
        </w:rPr>
        <w:t>a través de proveedores de servicios financieros, se conoce como la conversión en efectivo</w:t>
      </w:r>
      <w:r w:rsidR="00D81DE8">
        <w:rPr>
          <w:lang w:val="es-ES"/>
        </w:rPr>
        <w:t xml:space="preserve"> o cobro</w:t>
      </w:r>
      <w:r w:rsidRPr="00F332C9">
        <w:rPr>
          <w:lang w:val="es-ES"/>
        </w:rPr>
        <w:t xml:space="preserve">. A veces, sobre todo cuando los sistemas financieros son débiles o no existen en el contexto de emergencia, </w:t>
      </w:r>
      <w:r w:rsidR="00D81DE8">
        <w:rPr>
          <w:lang w:val="es-ES"/>
        </w:rPr>
        <w:t xml:space="preserve">la entrega de dinero en efectivo </w:t>
      </w:r>
      <w:r w:rsidRPr="00F332C9">
        <w:rPr>
          <w:lang w:val="es-ES"/>
        </w:rPr>
        <w:t>direct</w:t>
      </w:r>
      <w:r w:rsidR="00D81DE8">
        <w:rPr>
          <w:lang w:val="es-ES"/>
        </w:rPr>
        <w:t xml:space="preserve">amente, </w:t>
      </w:r>
      <w:r w:rsidRPr="00F332C9">
        <w:rPr>
          <w:lang w:val="es-ES"/>
        </w:rPr>
        <w:t>es la única opción disponible.</w:t>
      </w:r>
    </w:p>
    <w:p w14:paraId="36863B75" w14:textId="30B6218F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 xml:space="preserve">Además, la hoja de ruta ofrece sugerencias sobre qué herramientas </w:t>
      </w:r>
      <w:r w:rsidR="00D81DE8">
        <w:rPr>
          <w:lang w:val="es-ES"/>
        </w:rPr>
        <w:t xml:space="preserve">de la Caja de herramientas </w:t>
      </w:r>
      <w:r w:rsidRPr="00F332C9">
        <w:rPr>
          <w:lang w:val="es-ES"/>
        </w:rPr>
        <w:t>son más útiles para est</w:t>
      </w:r>
      <w:r w:rsidR="00D81DE8">
        <w:rPr>
          <w:lang w:val="es-ES"/>
        </w:rPr>
        <w:t xml:space="preserve">a etapa y </w:t>
      </w:r>
      <w:r w:rsidRPr="00F332C9">
        <w:rPr>
          <w:lang w:val="es-ES"/>
        </w:rPr>
        <w:t>sub-</w:t>
      </w:r>
      <w:r w:rsidR="00D81DE8">
        <w:rPr>
          <w:lang w:val="es-ES"/>
        </w:rPr>
        <w:t>etapa</w:t>
      </w:r>
      <w:r w:rsidRPr="00F332C9">
        <w:rPr>
          <w:lang w:val="es-ES"/>
        </w:rPr>
        <w:t>. Las herra</w:t>
      </w:r>
      <w:r w:rsidR="00D81DE8">
        <w:rPr>
          <w:lang w:val="es-ES"/>
        </w:rPr>
        <w:t>mientas tendrán que ser adaptadas a sus necesidades y a</w:t>
      </w:r>
      <w:r w:rsidRPr="00F332C9">
        <w:rPr>
          <w:lang w:val="es-ES"/>
        </w:rPr>
        <w:t>l contexto.</w:t>
      </w:r>
    </w:p>
    <w:p w14:paraId="56A3C4C1" w14:textId="7DD9850C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>Siempre se debe tratar de cumplir con las normas mínimas que figuran en esta etapa, ya que esto contribu</w:t>
      </w:r>
      <w:r w:rsidR="00D81DE8">
        <w:rPr>
          <w:lang w:val="es-ES"/>
        </w:rPr>
        <w:t>irá a la calidad de su intervención con</w:t>
      </w:r>
      <w:r w:rsidRPr="00F332C9">
        <w:rPr>
          <w:lang w:val="es-ES"/>
        </w:rPr>
        <w:t xml:space="preserve"> </w:t>
      </w:r>
      <w:r w:rsidR="00D81DE8">
        <w:rPr>
          <w:lang w:val="es-ES"/>
        </w:rPr>
        <w:t>PTE</w:t>
      </w:r>
      <w:r w:rsidRPr="00F332C9">
        <w:rPr>
          <w:lang w:val="es-ES"/>
        </w:rPr>
        <w:t>.</w:t>
      </w:r>
    </w:p>
    <w:p w14:paraId="63C0045E" w14:textId="7673D427" w:rsidR="00F332C9" w:rsidRPr="00F332C9" w:rsidRDefault="00D81DE8" w:rsidP="00F332C9">
      <w:pPr>
        <w:rPr>
          <w:lang w:val="es-ES"/>
        </w:rPr>
      </w:pPr>
      <w:r w:rsidRPr="00D81DE8">
        <w:rPr>
          <w:lang w:val="es-ES"/>
        </w:rPr>
        <w:t xml:space="preserve">Durante la toma de decisiones suele ser necesario moverse hacia atrás y hacia delante entre las distintas sub-etapas, ya que la información y los procesos se completan y se retroalimentan </w:t>
      </w:r>
      <w:r w:rsidR="0079271F">
        <w:rPr>
          <w:lang w:val="es-ES"/>
        </w:rPr>
        <w:t xml:space="preserve">entre las distintas sub-etapa. </w:t>
      </w:r>
    </w:p>
    <w:p w14:paraId="4C30ABF3" w14:textId="4DDA46B7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 xml:space="preserve">Si </w:t>
      </w:r>
      <w:r w:rsidR="0079271F">
        <w:rPr>
          <w:lang w:val="es-ES"/>
        </w:rPr>
        <w:t xml:space="preserve">se </w:t>
      </w:r>
      <w:r w:rsidRPr="00F332C9">
        <w:rPr>
          <w:lang w:val="es-ES"/>
        </w:rPr>
        <w:t xml:space="preserve">necesita una guía más detallada sobre la distribución y conversión en efectivo, </w:t>
      </w:r>
      <w:r w:rsidR="0079271F">
        <w:rPr>
          <w:lang w:val="es-ES"/>
        </w:rPr>
        <w:t xml:space="preserve">se pueden </w:t>
      </w:r>
      <w:r w:rsidRPr="00F332C9">
        <w:rPr>
          <w:lang w:val="es-ES"/>
        </w:rPr>
        <w:t>consultar los documentos de referencia sugeridos al final de esta hoja de ruta.</w:t>
      </w:r>
    </w:p>
    <w:p w14:paraId="6CE6EC5A" w14:textId="2E9E2514" w:rsidR="00155657" w:rsidRPr="00F332C9" w:rsidRDefault="0079271F" w:rsidP="005255BE">
      <w:pPr>
        <w:pStyle w:val="Heading2"/>
        <w:rPr>
          <w:lang w:val="es-ES"/>
        </w:rPr>
      </w:pPr>
      <w:r>
        <w:rPr>
          <w:lang w:val="es-ES"/>
        </w:rPr>
        <w:lastRenderedPageBreak/>
        <w:t xml:space="preserve">ESTANDARES MINIMOS    </w:t>
      </w:r>
    </w:p>
    <w:p w14:paraId="6A487873" w14:textId="3A158E82" w:rsidR="00F332C9" w:rsidRPr="00F332C9" w:rsidRDefault="0079271F" w:rsidP="00F332C9">
      <w:pPr>
        <w:pStyle w:val="Bullet1"/>
        <w:rPr>
          <w:lang w:val="es-ES" w:eastAsia="it-IT"/>
        </w:rPr>
      </w:pPr>
      <w:r>
        <w:rPr>
          <w:lang w:val="es-ES" w:eastAsia="it-IT"/>
        </w:rPr>
        <w:t xml:space="preserve">Tanto el personal de la organización como </w:t>
      </w:r>
      <w:r w:rsidR="00F332C9" w:rsidRPr="00F332C9">
        <w:rPr>
          <w:lang w:val="es-ES" w:eastAsia="it-IT"/>
        </w:rPr>
        <w:t xml:space="preserve">el </w:t>
      </w:r>
      <w:r>
        <w:rPr>
          <w:lang w:val="es-ES" w:eastAsia="it-IT"/>
        </w:rPr>
        <w:t>proveedor de servicios deben estar</w:t>
      </w:r>
      <w:r w:rsidR="00F332C9" w:rsidRPr="00F332C9">
        <w:rPr>
          <w:lang w:val="es-ES" w:eastAsia="it-IT"/>
        </w:rPr>
        <w:t xml:space="preserve"> sensibilizados, informados y/o </w:t>
      </w:r>
      <w:r>
        <w:rPr>
          <w:lang w:val="es-ES" w:eastAsia="it-IT"/>
        </w:rPr>
        <w:t xml:space="preserve">formados </w:t>
      </w:r>
      <w:r w:rsidR="00F332C9" w:rsidRPr="00F332C9">
        <w:rPr>
          <w:lang w:val="es-ES" w:eastAsia="it-IT"/>
        </w:rPr>
        <w:t>en programas de transferencia</w:t>
      </w:r>
      <w:r>
        <w:rPr>
          <w:lang w:val="es-ES" w:eastAsia="it-IT"/>
        </w:rPr>
        <w:t>s</w:t>
      </w:r>
      <w:r w:rsidR="00F332C9" w:rsidRPr="00F332C9">
        <w:rPr>
          <w:lang w:val="es-ES" w:eastAsia="it-IT"/>
        </w:rPr>
        <w:t xml:space="preserve"> de dinero en efectivo, de acuerdo con su nivel de participación en la distribución y cobro.</w:t>
      </w:r>
    </w:p>
    <w:p w14:paraId="7941CFB5" w14:textId="7FD6770C" w:rsidR="00F332C9" w:rsidRPr="00F332C9" w:rsidRDefault="0079271F" w:rsidP="00F332C9">
      <w:pPr>
        <w:pStyle w:val="Bullet1"/>
        <w:rPr>
          <w:lang w:val="es-ES" w:eastAsia="it-IT"/>
        </w:rPr>
      </w:pPr>
      <w:r>
        <w:rPr>
          <w:lang w:val="es-ES" w:eastAsia="it-IT"/>
        </w:rPr>
        <w:t xml:space="preserve">Se debe asegurar </w:t>
      </w:r>
      <w:r w:rsidR="00F332C9" w:rsidRPr="00F332C9">
        <w:rPr>
          <w:lang w:val="es-ES" w:eastAsia="it-IT"/>
        </w:rPr>
        <w:t>que el plan de cobro es consistente con la localización</w:t>
      </w:r>
      <w:r>
        <w:rPr>
          <w:lang w:val="es-ES" w:eastAsia="it-IT"/>
        </w:rPr>
        <w:t xml:space="preserve"> del proveedor de servicios y su</w:t>
      </w:r>
      <w:r w:rsidR="00F332C9" w:rsidRPr="00F332C9">
        <w:rPr>
          <w:lang w:val="es-ES" w:eastAsia="it-IT"/>
        </w:rPr>
        <w:t xml:space="preserve"> la capacidad.</w:t>
      </w:r>
    </w:p>
    <w:p w14:paraId="139B4B9E" w14:textId="787E5C02" w:rsidR="00F332C9" w:rsidRPr="00F332C9" w:rsidRDefault="0079271F" w:rsidP="00F332C9">
      <w:pPr>
        <w:pStyle w:val="Bullet1"/>
        <w:rPr>
          <w:lang w:val="es-ES" w:eastAsia="it-IT"/>
        </w:rPr>
      </w:pPr>
      <w:r>
        <w:rPr>
          <w:lang w:val="es-ES" w:eastAsia="it-IT"/>
        </w:rPr>
        <w:t>Verificar que los puntos de distribución directa de</w:t>
      </w:r>
      <w:r w:rsidR="00F332C9" w:rsidRPr="00F332C9">
        <w:rPr>
          <w:lang w:val="es-ES" w:eastAsia="it-IT"/>
        </w:rPr>
        <w:t xml:space="preserve"> efectivo son seguros y garant</w:t>
      </w:r>
      <w:r>
        <w:rPr>
          <w:lang w:val="es-ES" w:eastAsia="it-IT"/>
        </w:rPr>
        <w:t xml:space="preserve">izan </w:t>
      </w:r>
      <w:r w:rsidR="00F332C9" w:rsidRPr="00F332C9">
        <w:rPr>
          <w:lang w:val="es-ES" w:eastAsia="it-IT"/>
        </w:rPr>
        <w:t xml:space="preserve">la </w:t>
      </w:r>
      <w:r w:rsidRPr="00F332C9">
        <w:rPr>
          <w:lang w:val="es-ES" w:eastAsia="it-IT"/>
        </w:rPr>
        <w:t xml:space="preserve">dignidad </w:t>
      </w:r>
      <w:r>
        <w:rPr>
          <w:lang w:val="es-ES" w:eastAsia="it-IT"/>
        </w:rPr>
        <w:t xml:space="preserve">del </w:t>
      </w:r>
      <w:r w:rsidRPr="00F332C9">
        <w:rPr>
          <w:lang w:val="es-ES" w:eastAsia="it-IT"/>
        </w:rPr>
        <w:t>beneficiari</w:t>
      </w:r>
      <w:r>
        <w:rPr>
          <w:lang w:val="es-ES" w:eastAsia="it-IT"/>
        </w:rPr>
        <w:t>o</w:t>
      </w:r>
      <w:r w:rsidR="00F332C9" w:rsidRPr="00F332C9">
        <w:rPr>
          <w:lang w:val="es-ES" w:eastAsia="it-IT"/>
        </w:rPr>
        <w:t>.</w:t>
      </w:r>
    </w:p>
    <w:p w14:paraId="3973CD10" w14:textId="08ECA4FE" w:rsidR="00155657" w:rsidRPr="00F332C9" w:rsidRDefault="00F332C9" w:rsidP="005255BE">
      <w:pPr>
        <w:pStyle w:val="Heading2"/>
        <w:rPr>
          <w:lang w:val="es-ES"/>
        </w:rPr>
      </w:pPr>
      <w:r w:rsidRPr="00F332C9">
        <w:rPr>
          <w:lang w:val="es-ES"/>
        </w:rPr>
        <w:t xml:space="preserve">Sub-etapas Y HERRAMIENTAS     </w:t>
      </w:r>
    </w:p>
    <w:p w14:paraId="2A8EB595" w14:textId="65A10841" w:rsidR="00155657" w:rsidRPr="00F332C9" w:rsidRDefault="00F332C9" w:rsidP="005255BE">
      <w:pPr>
        <w:pStyle w:val="Heading3"/>
        <w:rPr>
          <w:lang w:val="es-ES"/>
        </w:rPr>
      </w:pPr>
      <w:r w:rsidRPr="00F332C9">
        <w:rPr>
          <w:lang w:val="es-ES"/>
        </w:rPr>
        <w:t xml:space="preserve">Formación y comunicación     </w:t>
      </w:r>
    </w:p>
    <w:p w14:paraId="380AAF09" w14:textId="41C63E3F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>Antes de comenzar las distribuciones y l</w:t>
      </w:r>
      <w:r w:rsidR="0079271F">
        <w:rPr>
          <w:lang w:val="es-ES"/>
        </w:rPr>
        <w:t>os cobros</w:t>
      </w:r>
      <w:r w:rsidRPr="00F332C9">
        <w:rPr>
          <w:lang w:val="es-ES"/>
        </w:rPr>
        <w:t xml:space="preserve">, </w:t>
      </w:r>
      <w:r w:rsidR="0079271F">
        <w:rPr>
          <w:lang w:val="es-ES"/>
        </w:rPr>
        <w:t xml:space="preserve">se debe proveer al </w:t>
      </w:r>
      <w:r w:rsidRPr="00F332C9">
        <w:rPr>
          <w:lang w:val="es-ES"/>
        </w:rPr>
        <w:t xml:space="preserve">personal de campo </w:t>
      </w:r>
      <w:r w:rsidR="0079271F">
        <w:rPr>
          <w:lang w:val="es-ES"/>
        </w:rPr>
        <w:t xml:space="preserve">con una visión </w:t>
      </w:r>
      <w:r w:rsidRPr="00F332C9">
        <w:rPr>
          <w:lang w:val="es-ES"/>
        </w:rPr>
        <w:t xml:space="preserve">general </w:t>
      </w:r>
      <w:r w:rsidR="0079271F">
        <w:rPr>
          <w:lang w:val="es-ES"/>
        </w:rPr>
        <w:t xml:space="preserve">sobre programas de transferencia de efectivo. </w:t>
      </w:r>
      <w:r w:rsidRPr="00F332C9">
        <w:rPr>
          <w:lang w:val="es-ES"/>
        </w:rPr>
        <w:t>Se debe dar énfasis a las actividades en las que participarán directame</w:t>
      </w:r>
      <w:r w:rsidR="00AD6892">
        <w:rPr>
          <w:lang w:val="es-ES"/>
        </w:rPr>
        <w:t xml:space="preserve">nte, pero, además, </w:t>
      </w:r>
      <w:r w:rsidRPr="00F332C9">
        <w:rPr>
          <w:lang w:val="es-ES"/>
        </w:rPr>
        <w:t>debe</w:t>
      </w:r>
      <w:r w:rsidR="00AD6892">
        <w:rPr>
          <w:lang w:val="es-ES"/>
        </w:rPr>
        <w:t>n</w:t>
      </w:r>
      <w:r w:rsidRPr="00F332C9">
        <w:rPr>
          <w:lang w:val="es-ES"/>
        </w:rPr>
        <w:t xml:space="preserve"> ser capa</w:t>
      </w:r>
      <w:r w:rsidR="00AD6892">
        <w:rPr>
          <w:lang w:val="es-ES"/>
        </w:rPr>
        <w:t>ces</w:t>
      </w:r>
      <w:r w:rsidRPr="00F332C9">
        <w:rPr>
          <w:lang w:val="es-ES"/>
        </w:rPr>
        <w:t xml:space="preserve"> de responder a las preguntas</w:t>
      </w:r>
      <w:r w:rsidR="00AD6892">
        <w:rPr>
          <w:lang w:val="es-ES"/>
        </w:rPr>
        <w:t xml:space="preserve"> que </w:t>
      </w:r>
      <w:r w:rsidRPr="00F332C9">
        <w:rPr>
          <w:lang w:val="es-ES"/>
        </w:rPr>
        <w:t xml:space="preserve">los beneficiarios solicitan con mayor frecuencia o, al menos, se deben </w:t>
      </w:r>
      <w:r w:rsidR="00AD6892">
        <w:rPr>
          <w:lang w:val="es-ES"/>
        </w:rPr>
        <w:t xml:space="preserve">poder derivar a </w:t>
      </w:r>
      <w:r w:rsidR="00AD6892" w:rsidRPr="00F332C9">
        <w:rPr>
          <w:lang w:val="es-ES"/>
        </w:rPr>
        <w:t>los</w:t>
      </w:r>
      <w:r w:rsidRPr="00F332C9">
        <w:rPr>
          <w:lang w:val="es-ES"/>
        </w:rPr>
        <w:t xml:space="preserve"> beneficiarios de manera apropiada. Entre las herramientas </w:t>
      </w:r>
      <w:r w:rsidR="00AD6892">
        <w:rPr>
          <w:lang w:val="es-ES"/>
        </w:rPr>
        <w:t xml:space="preserve">de la </w:t>
      </w:r>
      <w:r w:rsidRPr="00F332C9">
        <w:rPr>
          <w:lang w:val="es-ES"/>
        </w:rPr>
        <w:t>sub-</w:t>
      </w:r>
      <w:r w:rsidR="00AD6892">
        <w:rPr>
          <w:lang w:val="es-ES"/>
        </w:rPr>
        <w:t>etapa</w:t>
      </w:r>
      <w:r w:rsidRPr="00F332C9">
        <w:rPr>
          <w:lang w:val="es-ES"/>
        </w:rPr>
        <w:t xml:space="preserve"> encontrará una presentación </w:t>
      </w:r>
      <w:r w:rsidR="00D81DE8">
        <w:rPr>
          <w:lang w:val="es-ES"/>
        </w:rPr>
        <w:t>PTE</w:t>
      </w:r>
      <w:r w:rsidRPr="00F332C9">
        <w:rPr>
          <w:lang w:val="es-ES"/>
        </w:rPr>
        <w:t xml:space="preserve"> y un cuestionario </w:t>
      </w:r>
      <w:r w:rsidR="00AD6892">
        <w:rPr>
          <w:lang w:val="es-ES"/>
        </w:rPr>
        <w:t xml:space="preserve">para rellenar al final </w:t>
      </w:r>
      <w:r w:rsidR="00AD6892" w:rsidRPr="00F332C9">
        <w:rPr>
          <w:lang w:val="es-ES"/>
        </w:rPr>
        <w:t>de</w:t>
      </w:r>
      <w:r w:rsidRPr="00F332C9">
        <w:rPr>
          <w:lang w:val="es-ES"/>
        </w:rPr>
        <w:t xml:space="preserve"> la sesión.</w:t>
      </w:r>
    </w:p>
    <w:p w14:paraId="0CE9B242" w14:textId="4BF28B8E" w:rsidR="00F332C9" w:rsidRPr="00F332C9" w:rsidRDefault="00F332C9" w:rsidP="00F332C9">
      <w:pPr>
        <w:rPr>
          <w:lang w:val="es-ES"/>
        </w:rPr>
      </w:pPr>
      <w:r w:rsidRPr="00F332C9">
        <w:rPr>
          <w:lang w:val="es-ES"/>
        </w:rPr>
        <w:t xml:space="preserve">Cuando se está trabajando con proveedores de servicios financieros, </w:t>
      </w:r>
      <w:r w:rsidR="00AD6892">
        <w:rPr>
          <w:lang w:val="es-ES"/>
        </w:rPr>
        <w:t xml:space="preserve">su personal </w:t>
      </w:r>
      <w:r w:rsidRPr="00F332C9">
        <w:rPr>
          <w:lang w:val="es-ES"/>
        </w:rPr>
        <w:t xml:space="preserve">tendrá que ser sensibilizado e informados sobre </w:t>
      </w:r>
      <w:r w:rsidR="00D81DE8">
        <w:rPr>
          <w:lang w:val="es-ES"/>
        </w:rPr>
        <w:t>PTE</w:t>
      </w:r>
      <w:r w:rsidR="00AD6892">
        <w:rPr>
          <w:lang w:val="es-ES"/>
        </w:rPr>
        <w:t>. Hay que considerar</w:t>
      </w:r>
      <w:r w:rsidRPr="00F332C9">
        <w:rPr>
          <w:lang w:val="es-ES"/>
        </w:rPr>
        <w:t xml:space="preserve"> que el personal con resp</w:t>
      </w:r>
      <w:r w:rsidR="00AD6892">
        <w:rPr>
          <w:lang w:val="es-ES"/>
        </w:rPr>
        <w:t>onsabilidades diferentes tendrá</w:t>
      </w:r>
      <w:r w:rsidRPr="00F332C9">
        <w:rPr>
          <w:lang w:val="es-ES"/>
        </w:rPr>
        <w:t xml:space="preserve"> diferentes necesidades de información. Como mínimo, todo el personal debe ser informado de los principios de la Cruz Roja y Media Luna Roja y el mandato, los objetivos del programa y alcance, </w:t>
      </w:r>
      <w:r w:rsidR="00AD6892">
        <w:rPr>
          <w:lang w:val="es-ES"/>
        </w:rPr>
        <w:t xml:space="preserve">las funciones y responsabilidades y </w:t>
      </w:r>
      <w:r w:rsidR="00AD6892" w:rsidRPr="00F332C9">
        <w:rPr>
          <w:lang w:val="es-ES"/>
        </w:rPr>
        <w:t xml:space="preserve">los sistemas de rendición de cuentas </w:t>
      </w:r>
      <w:r w:rsidR="00AD6892">
        <w:rPr>
          <w:lang w:val="es-ES"/>
        </w:rPr>
        <w:t xml:space="preserve">y </w:t>
      </w:r>
      <w:r w:rsidRPr="00F332C9">
        <w:rPr>
          <w:lang w:val="es-ES"/>
        </w:rPr>
        <w:t xml:space="preserve">comunicación </w:t>
      </w:r>
      <w:r w:rsidR="00AD6892">
        <w:rPr>
          <w:lang w:val="es-ES"/>
        </w:rPr>
        <w:t xml:space="preserve">con los </w:t>
      </w:r>
      <w:r w:rsidRPr="00F332C9">
        <w:rPr>
          <w:lang w:val="es-ES"/>
        </w:rPr>
        <w:t>beneficiario</w:t>
      </w:r>
      <w:r w:rsidR="00AD6892">
        <w:rPr>
          <w:lang w:val="es-ES"/>
        </w:rPr>
        <w:t>s</w:t>
      </w:r>
      <w:r w:rsidRPr="00F332C9">
        <w:rPr>
          <w:lang w:val="es-ES"/>
        </w:rPr>
        <w:t xml:space="preserve"> y (incluyendo </w:t>
      </w:r>
      <w:r w:rsidR="00AD6892">
        <w:rPr>
          <w:lang w:val="es-ES"/>
        </w:rPr>
        <w:t xml:space="preserve">el mecanismo de </w:t>
      </w:r>
      <w:r w:rsidR="00AD6892" w:rsidRPr="00F332C9">
        <w:rPr>
          <w:lang w:val="es-ES"/>
        </w:rPr>
        <w:t>queja</w:t>
      </w:r>
      <w:r w:rsidR="00AD6892">
        <w:rPr>
          <w:lang w:val="es-ES"/>
        </w:rPr>
        <w:t xml:space="preserve">s </w:t>
      </w:r>
      <w:r w:rsidRPr="00F332C9">
        <w:rPr>
          <w:lang w:val="es-ES"/>
        </w:rPr>
        <w:t xml:space="preserve">y de respuesta). Las herramientas </w:t>
      </w:r>
      <w:r w:rsidR="00AD6892">
        <w:rPr>
          <w:lang w:val="es-ES"/>
        </w:rPr>
        <w:t xml:space="preserve">de la </w:t>
      </w:r>
      <w:r w:rsidRPr="00F332C9">
        <w:rPr>
          <w:lang w:val="es-ES"/>
        </w:rPr>
        <w:t>sub</w:t>
      </w:r>
      <w:r w:rsidR="00AD6892">
        <w:rPr>
          <w:lang w:val="es-ES"/>
        </w:rPr>
        <w:t xml:space="preserve">-etapa incluyen una formación para el </w:t>
      </w:r>
      <w:r w:rsidR="00AD6892" w:rsidRPr="00F332C9">
        <w:rPr>
          <w:lang w:val="es-ES"/>
        </w:rPr>
        <w:t>proveedor</w:t>
      </w:r>
      <w:r w:rsidRPr="00F332C9">
        <w:rPr>
          <w:lang w:val="es-ES"/>
        </w:rPr>
        <w:t xml:space="preserve"> de servicios</w:t>
      </w:r>
      <w:r w:rsidR="00AD6892">
        <w:rPr>
          <w:lang w:val="es-ES"/>
        </w:rPr>
        <w:t xml:space="preserve">. </w:t>
      </w:r>
    </w:p>
    <w:p w14:paraId="68BF2897" w14:textId="4E9A45DF" w:rsidR="00F332C9" w:rsidRDefault="00F332C9" w:rsidP="00F332C9">
      <w:pPr>
        <w:rPr>
          <w:lang w:val="es-ES"/>
        </w:rPr>
      </w:pPr>
      <w:r w:rsidRPr="00F332C9">
        <w:rPr>
          <w:lang w:val="es-ES"/>
        </w:rPr>
        <w:t>Si la red de agentes es más grande que su capacidad para formar</w:t>
      </w:r>
      <w:r w:rsidR="00AD6892">
        <w:rPr>
          <w:lang w:val="es-ES"/>
        </w:rPr>
        <w:t xml:space="preserve">les, puede ser útil </w:t>
      </w:r>
      <w:r w:rsidRPr="00F332C9">
        <w:rPr>
          <w:lang w:val="es-ES"/>
        </w:rPr>
        <w:t xml:space="preserve">enviarles una carta sobre el programa y las excepciones que pueden aplicarse para algunos beneficiarios. Esto puede mejorar la preparación de los agentes, aumentar la transparencia y facilitar el seguimiento del programa. Para este propósito, </w:t>
      </w:r>
      <w:r w:rsidR="00AD6892" w:rsidRPr="00F332C9">
        <w:rPr>
          <w:lang w:val="es-ES"/>
        </w:rPr>
        <w:t xml:space="preserve">entre las herramientas de </w:t>
      </w:r>
      <w:r w:rsidR="00AD6892">
        <w:rPr>
          <w:lang w:val="es-ES"/>
        </w:rPr>
        <w:t xml:space="preserve">la </w:t>
      </w:r>
      <w:r w:rsidR="00AD6892" w:rsidRPr="00F332C9">
        <w:rPr>
          <w:lang w:val="es-ES"/>
        </w:rPr>
        <w:t>sub-</w:t>
      </w:r>
      <w:r w:rsidR="00AD6892">
        <w:rPr>
          <w:lang w:val="es-ES"/>
        </w:rPr>
        <w:t xml:space="preserve">etapa </w:t>
      </w:r>
      <w:r w:rsidRPr="00F332C9">
        <w:rPr>
          <w:lang w:val="es-ES"/>
        </w:rPr>
        <w:t>se encuentra un ejemplo de carta a los comerciantes.</w:t>
      </w:r>
    </w:p>
    <w:p w14:paraId="4BC1C1FC" w14:textId="7D04BE7D" w:rsidR="00155657" w:rsidRPr="00F332C9" w:rsidRDefault="00F51B00" w:rsidP="005255BE">
      <w:pPr>
        <w:pStyle w:val="Heading3"/>
        <w:rPr>
          <w:lang w:val="es-ES"/>
        </w:rPr>
      </w:pPr>
      <w:r>
        <w:rPr>
          <w:lang w:val="es-ES"/>
        </w:rPr>
        <w:t xml:space="preserve">Planificación e implementación </w:t>
      </w:r>
      <w:r w:rsidR="00F332C9" w:rsidRPr="00F332C9">
        <w:rPr>
          <w:lang w:val="es-ES"/>
        </w:rPr>
        <w:t>de las distribuciones</w:t>
      </w:r>
      <w:r w:rsidR="00F332C9">
        <w:rPr>
          <w:lang w:val="es-ES"/>
        </w:rPr>
        <w:t xml:space="preserve">     </w:t>
      </w:r>
    </w:p>
    <w:p w14:paraId="742A9F41" w14:textId="5854E704" w:rsidR="00F332C9" w:rsidRDefault="00F332C9" w:rsidP="005255BE">
      <w:pPr>
        <w:rPr>
          <w:lang w:val="es-ES"/>
        </w:rPr>
      </w:pPr>
      <w:r w:rsidRPr="00F332C9">
        <w:rPr>
          <w:lang w:val="es-ES"/>
        </w:rPr>
        <w:t>Dependiendo del me</w:t>
      </w:r>
      <w:r w:rsidR="00AD6892">
        <w:rPr>
          <w:lang w:val="es-ES"/>
        </w:rPr>
        <w:t xml:space="preserve">canismo de entrega, se tendrán </w:t>
      </w:r>
      <w:r w:rsidRPr="00F332C9">
        <w:rPr>
          <w:lang w:val="es-ES"/>
        </w:rPr>
        <w:t xml:space="preserve">que distribuir artículos tales como </w:t>
      </w:r>
      <w:r w:rsidR="00AD6892">
        <w:rPr>
          <w:lang w:val="es-ES"/>
        </w:rPr>
        <w:t>cupones</w:t>
      </w:r>
      <w:r w:rsidRPr="00F332C9">
        <w:rPr>
          <w:lang w:val="es-ES"/>
        </w:rPr>
        <w:t>, tarjetas, teléfonos móviles y/o tarjetas SIM, etc. Los puntos de distribución deben ser elegidos</w:t>
      </w:r>
      <w:r w:rsidR="00AD6892">
        <w:rPr>
          <w:lang w:val="es-ES"/>
        </w:rPr>
        <w:t xml:space="preserve"> y</w:t>
      </w:r>
      <w:r w:rsidRPr="00F332C9">
        <w:rPr>
          <w:lang w:val="es-ES"/>
        </w:rPr>
        <w:t xml:space="preserve"> </w:t>
      </w:r>
      <w:r w:rsidR="00AD6892">
        <w:rPr>
          <w:lang w:val="es-ES"/>
        </w:rPr>
        <w:t>organizado</w:t>
      </w:r>
      <w:r w:rsidR="00AD6892" w:rsidRPr="00F332C9">
        <w:rPr>
          <w:lang w:val="es-ES"/>
        </w:rPr>
        <w:t xml:space="preserve">s </w:t>
      </w:r>
      <w:r w:rsidRPr="00F332C9">
        <w:rPr>
          <w:lang w:val="es-ES"/>
        </w:rPr>
        <w:t>cuidadosamente</w:t>
      </w:r>
      <w:r w:rsidR="00AD6892">
        <w:rPr>
          <w:lang w:val="es-ES"/>
        </w:rPr>
        <w:t>,</w:t>
      </w:r>
      <w:r w:rsidRPr="00F332C9">
        <w:rPr>
          <w:lang w:val="es-ES"/>
        </w:rPr>
        <w:t xml:space="preserve"> y l</w:t>
      </w:r>
      <w:r w:rsidR="00AD6892">
        <w:rPr>
          <w:lang w:val="es-ES"/>
        </w:rPr>
        <w:t>as distribuciones</w:t>
      </w:r>
      <w:r w:rsidRPr="00F332C9">
        <w:rPr>
          <w:lang w:val="es-ES"/>
        </w:rPr>
        <w:t xml:space="preserve"> deben planificarse con mucha ant</w:t>
      </w:r>
      <w:r w:rsidR="00AD6892">
        <w:rPr>
          <w:lang w:val="es-ES"/>
        </w:rPr>
        <w:t xml:space="preserve">elación, en colaboración con la </w:t>
      </w:r>
      <w:r w:rsidRPr="00F332C9">
        <w:rPr>
          <w:lang w:val="es-ES"/>
        </w:rPr>
        <w:t xml:space="preserve">comunidad y el proveedor de servicios financieros. Entre las herramientas </w:t>
      </w:r>
      <w:r w:rsidR="00AD6892">
        <w:rPr>
          <w:lang w:val="es-ES"/>
        </w:rPr>
        <w:t xml:space="preserve">de la </w:t>
      </w:r>
      <w:r w:rsidRPr="00F332C9">
        <w:rPr>
          <w:lang w:val="es-ES"/>
        </w:rPr>
        <w:t>sub</w:t>
      </w:r>
      <w:r w:rsidR="00AD6892">
        <w:rPr>
          <w:lang w:val="es-ES"/>
        </w:rPr>
        <w:t>-</w:t>
      </w:r>
      <w:r w:rsidRPr="00F332C9">
        <w:rPr>
          <w:lang w:val="es-ES"/>
        </w:rPr>
        <w:t>etapa, se encuentra un formulario de evaluación del sitio de distribución, un plan de organización del sitio de distribución, una lista de distribución y un</w:t>
      </w:r>
      <w:r w:rsidR="00C417F3">
        <w:rPr>
          <w:lang w:val="es-ES"/>
        </w:rPr>
        <w:t xml:space="preserve"> resumen </w:t>
      </w:r>
      <w:r w:rsidRPr="00F332C9">
        <w:rPr>
          <w:lang w:val="es-ES"/>
        </w:rPr>
        <w:t>del plan de distribución.</w:t>
      </w:r>
    </w:p>
    <w:p w14:paraId="72EA7A75" w14:textId="61735582" w:rsidR="00155657" w:rsidRPr="00F332C9" w:rsidRDefault="000975A1" w:rsidP="005255BE">
      <w:pPr>
        <w:pStyle w:val="Heading3"/>
        <w:rPr>
          <w:lang w:val="es-ES"/>
        </w:rPr>
      </w:pPr>
      <w:r>
        <w:rPr>
          <w:lang w:val="es-ES"/>
        </w:rPr>
        <w:t>P</w:t>
      </w:r>
      <w:r w:rsidRPr="000975A1">
        <w:rPr>
          <w:lang w:val="es-ES"/>
        </w:rPr>
        <w:t>lanificación de</w:t>
      </w:r>
      <w:r w:rsidR="00F51B00">
        <w:rPr>
          <w:lang w:val="es-ES"/>
        </w:rPr>
        <w:t xml:space="preserve"> </w:t>
      </w:r>
      <w:r w:rsidR="00C417F3">
        <w:rPr>
          <w:lang w:val="es-ES"/>
        </w:rPr>
        <w:t>l</w:t>
      </w:r>
      <w:r w:rsidR="00F51B00">
        <w:rPr>
          <w:lang w:val="es-ES"/>
        </w:rPr>
        <w:t>a conversión a efectivo/</w:t>
      </w:r>
      <w:r w:rsidR="00C417F3">
        <w:rPr>
          <w:lang w:val="es-ES"/>
        </w:rPr>
        <w:t xml:space="preserve">cobro y movilización del </w:t>
      </w:r>
      <w:r w:rsidRPr="000975A1">
        <w:rPr>
          <w:lang w:val="es-ES"/>
        </w:rPr>
        <w:t>agente</w:t>
      </w:r>
      <w:r w:rsidR="00F332C9">
        <w:rPr>
          <w:lang w:val="es-ES"/>
        </w:rPr>
        <w:t xml:space="preserve">     </w:t>
      </w:r>
    </w:p>
    <w:p w14:paraId="27739212" w14:textId="44D4CAB4" w:rsidR="000975A1" w:rsidRPr="000975A1" w:rsidRDefault="000975A1" w:rsidP="000975A1">
      <w:pPr>
        <w:rPr>
          <w:lang w:val="es-ES"/>
        </w:rPr>
      </w:pPr>
      <w:r>
        <w:rPr>
          <w:lang w:val="es-ES"/>
        </w:rPr>
        <w:t>L</w:t>
      </w:r>
      <w:r w:rsidRPr="000975A1">
        <w:rPr>
          <w:lang w:val="es-ES"/>
        </w:rPr>
        <w:t>os proveedores de servicios financieros normalmente dependen de agentes independientes para cubrir el último tramo de la cadena de distribución. Los agentes pueden ser propieta</w:t>
      </w:r>
      <w:r w:rsidR="00C417F3">
        <w:rPr>
          <w:lang w:val="es-ES"/>
        </w:rPr>
        <w:t xml:space="preserve">rios de tiendas, distribuidores, </w:t>
      </w:r>
      <w:r w:rsidRPr="000975A1">
        <w:rPr>
          <w:lang w:val="es-ES"/>
        </w:rPr>
        <w:t>o cualquier otro negocio que se utiliza p</w:t>
      </w:r>
      <w:r w:rsidR="00C417F3">
        <w:rPr>
          <w:lang w:val="es-ES"/>
        </w:rPr>
        <w:t>ara recibir y hacer pagos y que está dispuesto</w:t>
      </w:r>
      <w:r w:rsidRPr="000975A1">
        <w:rPr>
          <w:lang w:val="es-ES"/>
        </w:rPr>
        <w:t xml:space="preserve"> a proporcionar servicios de cobro paralelamente a su actividad principal.</w:t>
      </w:r>
    </w:p>
    <w:p w14:paraId="17B78ED0" w14:textId="20A903D5" w:rsidR="000975A1" w:rsidRPr="000975A1" w:rsidRDefault="00C417F3" w:rsidP="000975A1">
      <w:pPr>
        <w:rPr>
          <w:lang w:val="es-ES"/>
        </w:rPr>
      </w:pPr>
      <w:r>
        <w:rPr>
          <w:lang w:val="es-ES"/>
        </w:rPr>
        <w:t>Se d</w:t>
      </w:r>
      <w:r w:rsidR="000975A1" w:rsidRPr="000975A1">
        <w:rPr>
          <w:lang w:val="es-ES"/>
        </w:rPr>
        <w:t>ebe solicitar al proveedor de servicios</w:t>
      </w:r>
      <w:r>
        <w:rPr>
          <w:lang w:val="es-ES"/>
        </w:rPr>
        <w:t xml:space="preserve"> que</w:t>
      </w:r>
      <w:r w:rsidR="000975A1" w:rsidRPr="000975A1">
        <w:rPr>
          <w:lang w:val="es-ES"/>
        </w:rPr>
        <w:t xml:space="preserve"> suministr</w:t>
      </w:r>
      <w:r>
        <w:rPr>
          <w:lang w:val="es-ES"/>
        </w:rPr>
        <w:t>e</w:t>
      </w:r>
      <w:r w:rsidR="000975A1" w:rsidRPr="000975A1">
        <w:rPr>
          <w:lang w:val="es-ES"/>
        </w:rPr>
        <w:t xml:space="preserve"> una lista de sus agentes, con información sobre su ubicación y </w:t>
      </w:r>
      <w:r>
        <w:rPr>
          <w:lang w:val="es-ES"/>
        </w:rPr>
        <w:t>su diaria de hacer efectivos cobros</w:t>
      </w:r>
      <w:r w:rsidR="000975A1" w:rsidRPr="000975A1">
        <w:rPr>
          <w:lang w:val="es-ES"/>
        </w:rPr>
        <w:t>. Esto facilitará la agrupación de los beneficiarios en relaci</w:t>
      </w:r>
      <w:r>
        <w:rPr>
          <w:lang w:val="es-ES"/>
        </w:rPr>
        <w:t>ón a</w:t>
      </w:r>
      <w:r w:rsidR="000975A1" w:rsidRPr="000975A1">
        <w:rPr>
          <w:lang w:val="es-ES"/>
        </w:rPr>
        <w:t xml:space="preserve"> los diferentes puntos de cobro. Los proveedores de servicios deben explicar el método de cálculo utilizado.</w:t>
      </w:r>
    </w:p>
    <w:p w14:paraId="59D16522" w14:textId="0790C4BB" w:rsidR="000975A1" w:rsidRDefault="000975A1" w:rsidP="000975A1">
      <w:pPr>
        <w:rPr>
          <w:lang w:val="es-ES"/>
        </w:rPr>
      </w:pPr>
      <w:r w:rsidRPr="000975A1">
        <w:rPr>
          <w:lang w:val="es-ES"/>
        </w:rPr>
        <w:t xml:space="preserve">Entre las herramientas </w:t>
      </w:r>
      <w:r w:rsidR="00C417F3">
        <w:rPr>
          <w:lang w:val="es-ES"/>
        </w:rPr>
        <w:t xml:space="preserve">de la </w:t>
      </w:r>
      <w:r w:rsidRPr="000975A1">
        <w:rPr>
          <w:lang w:val="es-ES"/>
        </w:rPr>
        <w:t>sub-</w:t>
      </w:r>
      <w:r w:rsidR="00C417F3">
        <w:rPr>
          <w:lang w:val="es-ES"/>
        </w:rPr>
        <w:t xml:space="preserve">etapa </w:t>
      </w:r>
      <w:r w:rsidRPr="000975A1">
        <w:rPr>
          <w:lang w:val="es-ES"/>
        </w:rPr>
        <w:t xml:space="preserve">encontrará una herramienta </w:t>
      </w:r>
      <w:r w:rsidR="00C417F3">
        <w:rPr>
          <w:lang w:val="es-ES"/>
        </w:rPr>
        <w:t xml:space="preserve">para calcular la </w:t>
      </w:r>
      <w:r w:rsidRPr="000975A1">
        <w:rPr>
          <w:lang w:val="es-ES"/>
        </w:rPr>
        <w:t xml:space="preserve">capacidad de </w:t>
      </w:r>
      <w:r w:rsidR="00C417F3">
        <w:rPr>
          <w:lang w:val="es-ES"/>
        </w:rPr>
        <w:t>cobro</w:t>
      </w:r>
      <w:r w:rsidRPr="000975A1">
        <w:rPr>
          <w:lang w:val="es-ES"/>
        </w:rPr>
        <w:t xml:space="preserve"> que </w:t>
      </w:r>
      <w:r w:rsidR="00C417F3">
        <w:rPr>
          <w:lang w:val="es-ES"/>
        </w:rPr>
        <w:t xml:space="preserve">tiene como objetivo </w:t>
      </w:r>
      <w:r w:rsidRPr="000975A1">
        <w:rPr>
          <w:lang w:val="es-ES"/>
        </w:rPr>
        <w:t>facilitar el trabajo de los prove</w:t>
      </w:r>
      <w:r w:rsidR="00C417F3">
        <w:rPr>
          <w:lang w:val="es-ES"/>
        </w:rPr>
        <w:t>edores de servicios a la hora de</w:t>
      </w:r>
      <w:r w:rsidRPr="000975A1">
        <w:rPr>
          <w:lang w:val="es-ES"/>
        </w:rPr>
        <w:t xml:space="preserve"> recopilar toda la información necesaria. Asimismo, </w:t>
      </w:r>
      <w:r w:rsidR="00F51B00">
        <w:rPr>
          <w:lang w:val="es-ES"/>
        </w:rPr>
        <w:t xml:space="preserve">también </w:t>
      </w:r>
      <w:r w:rsidRPr="000975A1">
        <w:rPr>
          <w:lang w:val="es-ES"/>
        </w:rPr>
        <w:t xml:space="preserve">se encuentra un instrumento de cálculo del tiempo de </w:t>
      </w:r>
      <w:r w:rsidR="00F51B00">
        <w:rPr>
          <w:lang w:val="es-ES"/>
        </w:rPr>
        <w:t xml:space="preserve">cobro </w:t>
      </w:r>
      <w:r w:rsidRPr="000975A1">
        <w:rPr>
          <w:lang w:val="es-ES"/>
        </w:rPr>
        <w:t xml:space="preserve">que le permitirá entender cuántos días de cada agente </w:t>
      </w:r>
      <w:r w:rsidR="00F51B00">
        <w:rPr>
          <w:lang w:val="es-ES"/>
        </w:rPr>
        <w:t xml:space="preserve">se </w:t>
      </w:r>
      <w:r w:rsidRPr="000975A1">
        <w:rPr>
          <w:lang w:val="es-ES"/>
        </w:rPr>
        <w:t xml:space="preserve">necesita para </w:t>
      </w:r>
      <w:r w:rsidR="00F51B00">
        <w:rPr>
          <w:lang w:val="es-ES"/>
        </w:rPr>
        <w:t xml:space="preserve">que </w:t>
      </w:r>
      <w:r w:rsidRPr="000975A1">
        <w:rPr>
          <w:lang w:val="es-ES"/>
        </w:rPr>
        <w:t>los beneficiarios asignados a</w:t>
      </w:r>
      <w:r w:rsidR="00F51B00">
        <w:rPr>
          <w:lang w:val="es-ES"/>
        </w:rPr>
        <w:t>l mismo puedan cobrar.  Esto permitirá re</w:t>
      </w:r>
      <w:r w:rsidRPr="000975A1">
        <w:rPr>
          <w:lang w:val="es-ES"/>
        </w:rPr>
        <w:t xml:space="preserve">llenar </w:t>
      </w:r>
      <w:r w:rsidR="00F51B00">
        <w:rPr>
          <w:lang w:val="es-ES"/>
        </w:rPr>
        <w:t xml:space="preserve">la </w:t>
      </w:r>
      <w:r w:rsidRPr="000975A1">
        <w:rPr>
          <w:lang w:val="es-ES"/>
        </w:rPr>
        <w:t xml:space="preserve">plantilla de plan de movilización de cada agente, con </w:t>
      </w:r>
      <w:r w:rsidR="00F51B00">
        <w:rPr>
          <w:lang w:val="es-ES"/>
        </w:rPr>
        <w:t xml:space="preserve">la información sobre la formación y </w:t>
      </w:r>
      <w:r w:rsidRPr="000975A1">
        <w:rPr>
          <w:lang w:val="es-ES"/>
        </w:rPr>
        <w:t xml:space="preserve">las fechas de cobro, y la plantilla del plan de </w:t>
      </w:r>
      <w:r w:rsidR="00F51B00">
        <w:rPr>
          <w:lang w:val="es-ES"/>
        </w:rPr>
        <w:t>cobro</w:t>
      </w:r>
      <w:r w:rsidRPr="000975A1">
        <w:rPr>
          <w:lang w:val="es-ES"/>
        </w:rPr>
        <w:t>, con información detallada sobre el número de hogares, la cantidad total a se</w:t>
      </w:r>
      <w:r w:rsidR="00F51B00">
        <w:rPr>
          <w:lang w:val="es-ES"/>
        </w:rPr>
        <w:t>r cobrada</w:t>
      </w:r>
      <w:r w:rsidRPr="000975A1">
        <w:rPr>
          <w:lang w:val="es-ES"/>
        </w:rPr>
        <w:t xml:space="preserve"> y </w:t>
      </w:r>
      <w:r w:rsidR="00F51B00">
        <w:rPr>
          <w:lang w:val="es-ES"/>
        </w:rPr>
        <w:t>el cronograma p</w:t>
      </w:r>
      <w:r w:rsidRPr="000975A1">
        <w:rPr>
          <w:lang w:val="es-ES"/>
        </w:rPr>
        <w:t>ara cada localid</w:t>
      </w:r>
      <w:r w:rsidR="00F51B00">
        <w:rPr>
          <w:lang w:val="es-ES"/>
        </w:rPr>
        <w:t>ad. Este plan de cobro detallado</w:t>
      </w:r>
      <w:r w:rsidRPr="000975A1">
        <w:rPr>
          <w:lang w:val="es-ES"/>
        </w:rPr>
        <w:t xml:space="preserve"> </w:t>
      </w:r>
      <w:r w:rsidRPr="000975A1">
        <w:rPr>
          <w:lang w:val="es-ES"/>
        </w:rPr>
        <w:lastRenderedPageBreak/>
        <w:t>es adecuado para la distribución a gran escala, que implica múltiples ubicaciones y varias comunidades. Se pue</w:t>
      </w:r>
      <w:r w:rsidR="00F51B00">
        <w:rPr>
          <w:lang w:val="es-ES"/>
        </w:rPr>
        <w:t>de utilizar para coordinar con logística, finanzas, RRHH</w:t>
      </w:r>
      <w:r w:rsidRPr="000975A1">
        <w:rPr>
          <w:lang w:val="es-ES"/>
        </w:rPr>
        <w:t xml:space="preserve">, </w:t>
      </w:r>
      <w:r w:rsidR="00F51B00">
        <w:rPr>
          <w:lang w:val="es-ES"/>
        </w:rPr>
        <w:t>s</w:t>
      </w:r>
      <w:r w:rsidRPr="000975A1">
        <w:rPr>
          <w:lang w:val="es-ES"/>
        </w:rPr>
        <w:t>eguridad y, si es posible, las autoridades locales.</w:t>
      </w:r>
    </w:p>
    <w:p w14:paraId="1A3D494C" w14:textId="1D600315" w:rsidR="00155657" w:rsidRPr="00F332C9" w:rsidRDefault="00F51B00" w:rsidP="005255BE">
      <w:pPr>
        <w:pStyle w:val="Heading3"/>
        <w:rPr>
          <w:lang w:val="es-ES"/>
        </w:rPr>
      </w:pPr>
      <w:r>
        <w:rPr>
          <w:lang w:val="es-ES"/>
        </w:rPr>
        <w:t>Implementación de la conversión a efectivo/cobro</w:t>
      </w:r>
      <w:r w:rsidR="00F332C9">
        <w:rPr>
          <w:lang w:val="es-ES"/>
        </w:rPr>
        <w:t xml:space="preserve">   </w:t>
      </w:r>
    </w:p>
    <w:p w14:paraId="3FCB68FF" w14:textId="1A7693B2" w:rsidR="000975A1" w:rsidRPr="000975A1" w:rsidRDefault="000975A1" w:rsidP="000975A1">
      <w:pPr>
        <w:rPr>
          <w:lang w:val="es-ES"/>
        </w:rPr>
      </w:pPr>
      <w:r w:rsidRPr="000975A1">
        <w:rPr>
          <w:lang w:val="es-ES"/>
        </w:rPr>
        <w:t xml:space="preserve">El proceso de </w:t>
      </w:r>
      <w:r w:rsidR="00F51B00">
        <w:rPr>
          <w:lang w:val="es-ES"/>
        </w:rPr>
        <w:t xml:space="preserve">los cobros </w:t>
      </w:r>
      <w:r w:rsidRPr="000975A1">
        <w:rPr>
          <w:lang w:val="es-ES"/>
        </w:rPr>
        <w:t>puede variar en función del mecanismo de entrega. Lo ideal es encontrar procedimientos internos detallados para la aplicación de cobros a través de diferentes medios de distribución y tipos</w:t>
      </w:r>
      <w:r w:rsidR="00F51B00">
        <w:rPr>
          <w:lang w:val="es-ES"/>
        </w:rPr>
        <w:t xml:space="preserve"> de proveedor de servicios en lo</w:t>
      </w:r>
      <w:r w:rsidRPr="000975A1">
        <w:rPr>
          <w:lang w:val="es-ES"/>
        </w:rPr>
        <w:t xml:space="preserve">s </w:t>
      </w:r>
      <w:r w:rsidR="00F51B00">
        <w:rPr>
          <w:lang w:val="es-ES"/>
        </w:rPr>
        <w:t xml:space="preserve">procedimientos operativos estándares de la organización. </w:t>
      </w:r>
    </w:p>
    <w:p w14:paraId="7987D1BB" w14:textId="69A0EE00" w:rsidR="000975A1" w:rsidRPr="000975A1" w:rsidRDefault="000975A1" w:rsidP="000975A1">
      <w:pPr>
        <w:rPr>
          <w:lang w:val="es-ES"/>
        </w:rPr>
      </w:pPr>
      <w:r w:rsidRPr="000975A1">
        <w:rPr>
          <w:lang w:val="es-ES"/>
        </w:rPr>
        <w:t>En términos gen</w:t>
      </w:r>
      <w:r w:rsidR="00F51B00">
        <w:rPr>
          <w:lang w:val="es-ES"/>
        </w:rPr>
        <w:t xml:space="preserve">erales, cualquier </w:t>
      </w:r>
      <w:r w:rsidR="002E77E8">
        <w:rPr>
          <w:lang w:val="es-ES"/>
        </w:rPr>
        <w:t>cobro se inicia</w:t>
      </w:r>
      <w:r w:rsidRPr="000975A1">
        <w:rPr>
          <w:lang w:val="es-ES"/>
        </w:rPr>
        <w:t xml:space="preserve"> con una orden de transferencia de efectivo, que </w:t>
      </w:r>
      <w:r w:rsidR="002E77E8">
        <w:rPr>
          <w:lang w:val="es-ES"/>
        </w:rPr>
        <w:t xml:space="preserve">comunica y </w:t>
      </w:r>
      <w:r w:rsidRPr="000975A1">
        <w:rPr>
          <w:lang w:val="es-ES"/>
        </w:rPr>
        <w:t>autoriza al proveedor de servicios financieros para distribuir los f</w:t>
      </w:r>
      <w:r w:rsidR="002E77E8">
        <w:rPr>
          <w:lang w:val="es-ES"/>
        </w:rPr>
        <w:t xml:space="preserve">ondos en nombre de la Cruz Roja. Cuando se espera informar al proveedor sobre el proceso de planificación, entonces también será necesario incluir al punto de </w:t>
      </w:r>
      <w:r w:rsidR="002E77E8" w:rsidRPr="000975A1">
        <w:rPr>
          <w:lang w:val="es-ES"/>
        </w:rPr>
        <w:t>conversión</w:t>
      </w:r>
      <w:r w:rsidR="002E77E8">
        <w:rPr>
          <w:lang w:val="es-ES"/>
        </w:rPr>
        <w:t xml:space="preserve"> de efectivo o agente. </w:t>
      </w:r>
      <w:r w:rsidRPr="000975A1">
        <w:rPr>
          <w:lang w:val="es-ES"/>
        </w:rPr>
        <w:t>El proveedor de servicios financieros puede suministrar su pl</w:t>
      </w:r>
      <w:r w:rsidR="002E77E8">
        <w:rPr>
          <w:lang w:val="es-ES"/>
        </w:rPr>
        <w:t>antilla para</w:t>
      </w:r>
      <w:r w:rsidRPr="000975A1">
        <w:rPr>
          <w:lang w:val="es-ES"/>
        </w:rPr>
        <w:t xml:space="preserve"> la orden de transferencia de dinero en efectivo. De lo contrario, </w:t>
      </w:r>
      <w:r w:rsidR="002E77E8">
        <w:rPr>
          <w:lang w:val="es-ES"/>
        </w:rPr>
        <w:t xml:space="preserve">se </w:t>
      </w:r>
      <w:r w:rsidRPr="000975A1">
        <w:rPr>
          <w:lang w:val="es-ES"/>
        </w:rPr>
        <w:t xml:space="preserve">puede adaptar la </w:t>
      </w:r>
      <w:r w:rsidR="002E77E8">
        <w:rPr>
          <w:lang w:val="es-ES"/>
        </w:rPr>
        <w:t xml:space="preserve">plantilla </w:t>
      </w:r>
      <w:r w:rsidRPr="000975A1">
        <w:rPr>
          <w:lang w:val="es-ES"/>
        </w:rPr>
        <w:t>dispo</w:t>
      </w:r>
      <w:r w:rsidR="002E77E8">
        <w:rPr>
          <w:lang w:val="es-ES"/>
        </w:rPr>
        <w:t xml:space="preserve">nible entre </w:t>
      </w:r>
      <w:r w:rsidRPr="000975A1">
        <w:rPr>
          <w:lang w:val="es-ES"/>
        </w:rPr>
        <w:t xml:space="preserve">de las herramientas de </w:t>
      </w:r>
      <w:r w:rsidR="002E77E8">
        <w:rPr>
          <w:lang w:val="es-ES"/>
        </w:rPr>
        <w:t xml:space="preserve">la </w:t>
      </w:r>
      <w:r w:rsidRPr="000975A1">
        <w:rPr>
          <w:lang w:val="es-ES"/>
        </w:rPr>
        <w:t>sub-</w:t>
      </w:r>
      <w:r w:rsidR="002E77E8">
        <w:rPr>
          <w:lang w:val="es-ES"/>
        </w:rPr>
        <w:t xml:space="preserve">etapa. </w:t>
      </w:r>
    </w:p>
    <w:p w14:paraId="6A85DDA1" w14:textId="368AF46B" w:rsidR="000975A1" w:rsidRPr="000975A1" w:rsidRDefault="002E77E8" w:rsidP="000975A1">
      <w:pPr>
        <w:rPr>
          <w:lang w:val="es-ES"/>
        </w:rPr>
      </w:pPr>
      <w:r>
        <w:rPr>
          <w:lang w:val="es-ES"/>
        </w:rPr>
        <w:t>Se deben recibir informes d</w:t>
      </w:r>
      <w:r w:rsidR="000975A1" w:rsidRPr="000975A1">
        <w:rPr>
          <w:lang w:val="es-ES"/>
        </w:rPr>
        <w:t xml:space="preserve">el proveedor de servicios financieros </w:t>
      </w:r>
      <w:r>
        <w:rPr>
          <w:lang w:val="es-ES"/>
        </w:rPr>
        <w:t xml:space="preserve">de manera </w:t>
      </w:r>
      <w:r w:rsidR="000975A1" w:rsidRPr="000975A1">
        <w:rPr>
          <w:lang w:val="es-ES"/>
        </w:rPr>
        <w:t xml:space="preserve">regular, </w:t>
      </w:r>
      <w:r>
        <w:rPr>
          <w:lang w:val="es-ES"/>
        </w:rPr>
        <w:t>a veces a diario, que muestren</w:t>
      </w:r>
      <w:r w:rsidR="000975A1" w:rsidRPr="000975A1">
        <w:rPr>
          <w:lang w:val="es-ES"/>
        </w:rPr>
        <w:t xml:space="preserve"> el estado de las donaciones en efectivo individuales. </w:t>
      </w:r>
      <w:r>
        <w:rPr>
          <w:lang w:val="es-ES"/>
        </w:rPr>
        <w:t xml:space="preserve">El formato de los </w:t>
      </w:r>
      <w:r w:rsidR="000975A1" w:rsidRPr="000975A1">
        <w:rPr>
          <w:lang w:val="es-ES"/>
        </w:rPr>
        <w:t xml:space="preserve">informes debe estar </w:t>
      </w:r>
      <w:r>
        <w:rPr>
          <w:lang w:val="es-ES"/>
        </w:rPr>
        <w:t xml:space="preserve">acordado de manera contractual. </w:t>
      </w:r>
      <w:r w:rsidR="000975A1" w:rsidRPr="000975A1">
        <w:rPr>
          <w:lang w:val="es-ES"/>
        </w:rPr>
        <w:t xml:space="preserve">Entre las herramientas </w:t>
      </w:r>
      <w:r>
        <w:rPr>
          <w:lang w:val="es-ES"/>
        </w:rPr>
        <w:t xml:space="preserve">de la </w:t>
      </w:r>
      <w:r w:rsidR="000975A1" w:rsidRPr="000975A1">
        <w:rPr>
          <w:lang w:val="es-ES"/>
        </w:rPr>
        <w:t>sub-</w:t>
      </w:r>
      <w:r>
        <w:rPr>
          <w:lang w:val="es-ES"/>
        </w:rPr>
        <w:t>etapa</w:t>
      </w:r>
      <w:r w:rsidR="000975A1" w:rsidRPr="000975A1">
        <w:rPr>
          <w:lang w:val="es-ES"/>
        </w:rPr>
        <w:t xml:space="preserve"> encontrará un ejemplo de informe de actividad</w:t>
      </w:r>
      <w:r>
        <w:rPr>
          <w:lang w:val="es-ES"/>
        </w:rPr>
        <w:t>es</w:t>
      </w:r>
      <w:r w:rsidR="000975A1" w:rsidRPr="000975A1">
        <w:rPr>
          <w:lang w:val="es-ES"/>
        </w:rPr>
        <w:t>.</w:t>
      </w:r>
    </w:p>
    <w:p w14:paraId="49B7DD64" w14:textId="568A8585" w:rsidR="000975A1" w:rsidRDefault="000975A1" w:rsidP="000975A1">
      <w:pPr>
        <w:rPr>
          <w:lang w:val="es-ES"/>
        </w:rPr>
      </w:pPr>
      <w:r w:rsidRPr="000975A1">
        <w:rPr>
          <w:lang w:val="es-ES"/>
        </w:rPr>
        <w:t xml:space="preserve">Cuando sea apropiado, sobre todo cuando el organismo </w:t>
      </w:r>
      <w:r w:rsidR="002E77E8">
        <w:rPr>
          <w:lang w:val="es-ES"/>
        </w:rPr>
        <w:t>es el responsable de realizar la conversión en efectivo</w:t>
      </w:r>
      <w:r w:rsidRPr="000975A1">
        <w:rPr>
          <w:lang w:val="es-ES"/>
        </w:rPr>
        <w:t xml:space="preserve"> directamente a los beneficiarios, </w:t>
      </w:r>
      <w:r w:rsidR="002E77E8" w:rsidRPr="000975A1">
        <w:rPr>
          <w:lang w:val="es-ES"/>
        </w:rPr>
        <w:t xml:space="preserve">también </w:t>
      </w:r>
      <w:r w:rsidRPr="000975A1">
        <w:rPr>
          <w:lang w:val="es-ES"/>
        </w:rPr>
        <w:t>se puede</w:t>
      </w:r>
      <w:r w:rsidR="002E77E8">
        <w:rPr>
          <w:lang w:val="es-ES"/>
        </w:rPr>
        <w:t>n</w:t>
      </w:r>
      <w:r w:rsidRPr="000975A1">
        <w:rPr>
          <w:lang w:val="es-ES"/>
        </w:rPr>
        <w:t xml:space="preserve"> producir y distribuir informes internos de distribución. Las herramientas</w:t>
      </w:r>
      <w:r w:rsidR="00CB74E1">
        <w:rPr>
          <w:lang w:val="es-ES"/>
        </w:rPr>
        <w:t xml:space="preserve"> de la </w:t>
      </w:r>
      <w:r w:rsidRPr="000975A1">
        <w:rPr>
          <w:lang w:val="es-ES"/>
        </w:rPr>
        <w:t>sub</w:t>
      </w:r>
      <w:r w:rsidR="00CB74E1">
        <w:rPr>
          <w:lang w:val="es-ES"/>
        </w:rPr>
        <w:t>-</w:t>
      </w:r>
      <w:r w:rsidRPr="000975A1">
        <w:rPr>
          <w:lang w:val="es-ES"/>
        </w:rPr>
        <w:t>etapa incluyen una plantilla de informe de conversión en efectivo</w:t>
      </w:r>
      <w:r w:rsidR="00CB74E1">
        <w:rPr>
          <w:lang w:val="es-ES"/>
        </w:rPr>
        <w:t>, que s</w:t>
      </w:r>
      <w:r w:rsidRPr="000975A1">
        <w:rPr>
          <w:lang w:val="es-ES"/>
        </w:rPr>
        <w:t>e puede utilizar para obtener una visión rápida del dinero en efectivo distribuido y el número de beneficiarios atendidos.</w:t>
      </w:r>
    </w:p>
    <w:p w14:paraId="729ACD21" w14:textId="20C34334" w:rsidR="00155657" w:rsidRPr="000975A1" w:rsidRDefault="000975A1" w:rsidP="005255BE">
      <w:pPr>
        <w:pStyle w:val="Heading3"/>
        <w:rPr>
          <w:lang w:val="en-GB"/>
        </w:rPr>
      </w:pPr>
      <w:proofErr w:type="spellStart"/>
      <w:r w:rsidRPr="000975A1">
        <w:rPr>
          <w:lang w:val="en-GB"/>
        </w:rPr>
        <w:t>C</w:t>
      </w:r>
      <w:r w:rsidR="00CB74E1">
        <w:rPr>
          <w:lang w:val="en-GB"/>
        </w:rPr>
        <w:t>i</w:t>
      </w:r>
      <w:r w:rsidRPr="000975A1">
        <w:rPr>
          <w:lang w:val="en-GB"/>
        </w:rPr>
        <w:t>erre</w:t>
      </w:r>
      <w:proofErr w:type="spellEnd"/>
      <w:r w:rsidRPr="000975A1">
        <w:rPr>
          <w:lang w:val="en-GB"/>
        </w:rPr>
        <w:t xml:space="preserve"> de</w:t>
      </w:r>
      <w:r w:rsidR="00CB74E1">
        <w:rPr>
          <w:lang w:val="en-GB"/>
        </w:rPr>
        <w:t xml:space="preserve"> </w:t>
      </w:r>
      <w:r w:rsidRPr="000975A1">
        <w:rPr>
          <w:lang w:val="en-GB"/>
        </w:rPr>
        <w:t>l</w:t>
      </w:r>
      <w:r w:rsidR="00CB74E1">
        <w:rPr>
          <w:lang w:val="en-GB"/>
        </w:rPr>
        <w:t xml:space="preserve">a </w:t>
      </w:r>
      <w:proofErr w:type="spellStart"/>
      <w:r w:rsidR="00CB74E1">
        <w:rPr>
          <w:lang w:val="en-GB"/>
        </w:rPr>
        <w:t>conversión</w:t>
      </w:r>
      <w:proofErr w:type="spellEnd"/>
      <w:r w:rsidR="00CB74E1">
        <w:rPr>
          <w:lang w:val="en-GB"/>
        </w:rPr>
        <w:t xml:space="preserve"> a </w:t>
      </w:r>
      <w:proofErr w:type="spellStart"/>
      <w:r w:rsidR="00CB74E1">
        <w:rPr>
          <w:lang w:val="en-GB"/>
        </w:rPr>
        <w:t>efectivo</w:t>
      </w:r>
      <w:proofErr w:type="spellEnd"/>
      <w:r w:rsidR="00CB74E1">
        <w:rPr>
          <w:lang w:val="en-GB"/>
        </w:rPr>
        <w:t>/</w:t>
      </w:r>
      <w:proofErr w:type="spellStart"/>
      <w:r w:rsidRPr="000975A1">
        <w:rPr>
          <w:lang w:val="en-GB"/>
        </w:rPr>
        <w:t>cobro</w:t>
      </w:r>
      <w:proofErr w:type="spellEnd"/>
      <w:r w:rsidRPr="000975A1">
        <w:rPr>
          <w:lang w:val="en-GB"/>
        </w:rPr>
        <w:t xml:space="preserve"> ….</w:t>
      </w:r>
    </w:p>
    <w:p w14:paraId="4040B7E5" w14:textId="08540209" w:rsidR="000975A1" w:rsidRPr="000975A1" w:rsidRDefault="000975A1" w:rsidP="005255BE">
      <w:pPr>
        <w:spacing w:after="360"/>
        <w:rPr>
          <w:lang w:val="es-ES"/>
        </w:rPr>
      </w:pPr>
      <w:r w:rsidRPr="000975A1">
        <w:rPr>
          <w:lang w:val="es-ES"/>
        </w:rPr>
        <w:t>La reconciliación de los fondos debe llevarse a cabo con regularidad durante todo el periodo de</w:t>
      </w:r>
      <w:r w:rsidR="00CB74E1">
        <w:rPr>
          <w:lang w:val="es-ES"/>
        </w:rPr>
        <w:t xml:space="preserve"> cobro. Al final del proyecto, el departamento de f</w:t>
      </w:r>
      <w:r w:rsidRPr="000975A1">
        <w:rPr>
          <w:lang w:val="es-ES"/>
        </w:rPr>
        <w:t xml:space="preserve">inanzas debe completar una reconciliación final de los fondos. Todas las cuentas configuradas para el cobro </w:t>
      </w:r>
      <w:r w:rsidR="00CB74E1">
        <w:rPr>
          <w:lang w:val="es-ES"/>
        </w:rPr>
        <w:t xml:space="preserve">del PTE </w:t>
      </w:r>
      <w:r w:rsidRPr="000975A1">
        <w:rPr>
          <w:lang w:val="es-ES"/>
        </w:rPr>
        <w:t xml:space="preserve">deben </w:t>
      </w:r>
      <w:r w:rsidR="00CB74E1">
        <w:rPr>
          <w:lang w:val="es-ES"/>
        </w:rPr>
        <w:t xml:space="preserve">cuadradas y </w:t>
      </w:r>
      <w:r w:rsidRPr="000975A1">
        <w:rPr>
          <w:lang w:val="es-ES"/>
        </w:rPr>
        <w:t>reconciliad</w:t>
      </w:r>
      <w:r w:rsidR="00CB74E1">
        <w:rPr>
          <w:lang w:val="es-ES"/>
        </w:rPr>
        <w:t>a</w:t>
      </w:r>
      <w:r w:rsidRPr="000975A1">
        <w:rPr>
          <w:lang w:val="es-ES"/>
        </w:rPr>
        <w:t xml:space="preserve">s. Todos los fondos restantes deben ser devueltos por el proveedor de servicios financieros, y la cuenta (s) cerradas. Todos los documentos, </w:t>
      </w:r>
      <w:r w:rsidR="00CB74E1">
        <w:rPr>
          <w:lang w:val="es-ES"/>
        </w:rPr>
        <w:t xml:space="preserve">en </w:t>
      </w:r>
      <w:r w:rsidRPr="000975A1">
        <w:rPr>
          <w:lang w:val="es-ES"/>
        </w:rPr>
        <w:t>papel y electrónicos, que se utilizan para el procesamiento y la aplicación de las transferencias de efectivo deben mantenerse de acuerdo con las políticas de retención de registros de la organización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255BE" w:rsidRPr="00F332C9" w14:paraId="3FDDE400" w14:textId="77777777" w:rsidTr="00CB74E1">
        <w:tc>
          <w:tcPr>
            <w:tcW w:w="9632" w:type="dxa"/>
          </w:tcPr>
          <w:p w14:paraId="512FD9AD" w14:textId="35EC9C11" w:rsidR="005255BE" w:rsidRPr="00F332C9" w:rsidRDefault="000975A1" w:rsidP="005255BE">
            <w:pPr>
              <w:pStyle w:val="RefTitre"/>
              <w:keepNext/>
              <w:keepLines/>
              <w:rPr>
                <w:rFonts w:cs="Arial"/>
                <w:sz w:val="20"/>
                <w:szCs w:val="20"/>
                <w:lang w:val="es-ES"/>
              </w:rPr>
            </w:pPr>
            <w:r w:rsidRPr="000975A1">
              <w:rPr>
                <w:rFonts w:cs="Arial"/>
                <w:sz w:val="20"/>
                <w:szCs w:val="20"/>
                <w:lang w:val="es-ES"/>
              </w:rPr>
              <w:t>DOCUMENTOS DE REFERENCIA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      </w:t>
            </w:r>
          </w:p>
          <w:p w14:paraId="72A16E75" w14:textId="77777777" w:rsidR="000975A1" w:rsidRDefault="000975A1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</w:p>
          <w:p w14:paraId="33BEAA13" w14:textId="73B14498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>E-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transfers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in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emergencies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implementation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support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guidelines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(2013)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7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http://www.cashlearning.org/resources/library/390-e-transfers-in-emergencies-implementation-support-guideline</w:t>
              </w:r>
            </w:hyperlink>
          </w:p>
          <w:p w14:paraId="348F67C8" w14:textId="208E0077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Money: Cash Transfer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Mechanisms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in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Emergencies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(2010)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8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http://www.cashlearning.org/resources/library/6-delivering-money-cash-transfer-mechanisms-in-emergencies</w:t>
              </w:r>
            </w:hyperlink>
          </w:p>
          <w:p w14:paraId="4DD3ECF8" w14:textId="2AD0F08B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e-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payments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in </w:t>
            </w:r>
            <w:r w:rsidR="00D81DE8">
              <w:rPr>
                <w:rFonts w:cs="Arial"/>
                <w:szCs w:val="20"/>
                <w:lang w:val="es-ES"/>
              </w:rPr>
              <w:t>PTE</w:t>
            </w:r>
            <w:r w:rsidRPr="00F332C9">
              <w:rPr>
                <w:rFonts w:cs="Arial"/>
                <w:szCs w:val="20"/>
                <w:lang w:val="es-ES"/>
              </w:rPr>
              <w:t xml:space="preserve">. 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information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sheet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. </w:t>
            </w:r>
            <w:r w:rsidRPr="00F332C9">
              <w:rPr>
                <w:rFonts w:cs="Arial"/>
                <w:szCs w:val="20"/>
                <w:lang w:val="es-ES"/>
              </w:rPr>
              <w:br/>
            </w:r>
            <w:hyperlink r:id="rId9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http://www.cashlearning.org/resources/library/287-e-payments-in-cash-transfer-programming-quick-tool</w:t>
              </w:r>
            </w:hyperlink>
          </w:p>
          <w:p w14:paraId="5636C03B" w14:textId="1CDCAAB7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 xml:space="preserve">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Cheques (2011)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10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http://www.cashlearning.org/resources/library/22-cheques---a-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quick</w:t>
              </w:r>
              <w:proofErr w:type="spellEnd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delivery-guide-screen-version</w:t>
              </w:r>
              <w:proofErr w:type="spellEnd"/>
            </w:hyperlink>
          </w:p>
          <w:p w14:paraId="0D7984FB" w14:textId="588DF729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 xml:space="preserve">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Cards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(2011)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11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http://www.cashlearning.org/resources/library/235-delivering-cash-through-cards---a-quick-delivery-guide-booklet</w:t>
              </w:r>
            </w:hyperlink>
          </w:p>
          <w:p w14:paraId="09EF5A18" w14:textId="594FC113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 xml:space="preserve">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Direct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Cash (2011)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12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http://www.cashlearning.org/resources/library/24-direct-cash---a-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quick</w:t>
              </w:r>
              <w:proofErr w:type="spellEnd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delivery-guide-screen-version</w:t>
              </w:r>
              <w:proofErr w:type="spellEnd"/>
            </w:hyperlink>
          </w:p>
          <w:p w14:paraId="3E5FF414" w14:textId="63AEE64B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 xml:space="preserve">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Vouchers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(2011)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13" w:history="1"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http://www.cashlearning.org/resources/library/25-vouchers---a-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quick</w:t>
              </w:r>
              <w:proofErr w:type="spellEnd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-</w:t>
              </w:r>
              <w:proofErr w:type="spellStart"/>
              <w:r w:rsidRPr="00F332C9">
                <w:rPr>
                  <w:rStyle w:val="Hyperlink"/>
                  <w:rFonts w:cs="Arial"/>
                  <w:szCs w:val="20"/>
                  <w:lang w:val="es-ES"/>
                </w:rPr>
                <w:t>delivery-guide-booklet-version</w:t>
              </w:r>
              <w:proofErr w:type="spellEnd"/>
            </w:hyperlink>
          </w:p>
          <w:p w14:paraId="29F53ACF" w14:textId="47C5B6C5" w:rsidR="005255BE" w:rsidRPr="00F332C9" w:rsidRDefault="005255BE" w:rsidP="005255BE">
            <w:pPr>
              <w:pStyle w:val="RefItem1"/>
              <w:keepNext/>
              <w:keepLines/>
              <w:rPr>
                <w:rFonts w:cs="Arial"/>
                <w:szCs w:val="20"/>
                <w:lang w:val="es-ES"/>
              </w:rPr>
            </w:pPr>
            <w:r w:rsidRPr="00F332C9">
              <w:rPr>
                <w:rFonts w:cs="Arial"/>
                <w:szCs w:val="20"/>
                <w:lang w:val="es-ES"/>
              </w:rPr>
              <w:t xml:space="preserve">A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quick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delivery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guide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: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Voucher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fairs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(2011) </w:t>
            </w:r>
            <w:proofErr w:type="spellStart"/>
            <w:r w:rsidRPr="00F332C9">
              <w:rPr>
                <w:rFonts w:cs="Arial"/>
                <w:szCs w:val="20"/>
                <w:lang w:val="es-ES"/>
              </w:rPr>
              <w:t>CaLP</w:t>
            </w:r>
            <w:proofErr w:type="spellEnd"/>
            <w:r w:rsidRPr="00F332C9">
              <w:rPr>
                <w:rFonts w:cs="Arial"/>
                <w:szCs w:val="20"/>
                <w:lang w:val="es-ES"/>
              </w:rPr>
              <w:t xml:space="preserve"> </w:t>
            </w:r>
            <w:r w:rsidR="00A449C7" w:rsidRPr="00F332C9">
              <w:rPr>
                <w:rFonts w:cs="Arial"/>
                <w:szCs w:val="20"/>
                <w:lang w:val="es-ES"/>
              </w:rPr>
              <w:br/>
            </w:r>
            <w:hyperlink r:id="rId14" w:history="1">
              <w:r w:rsidRPr="00F332C9">
                <w:rPr>
                  <w:rStyle w:val="Hyperlink"/>
                  <w:rFonts w:eastAsia="Times New Roman" w:cs="Arial"/>
                  <w:szCs w:val="20"/>
                  <w:lang w:val="es-ES"/>
                </w:rPr>
                <w:t>http://www.cashlearning.org/resources/library/217-voucher-fairs-a-quick-delivery-guide-booklet-version</w:t>
              </w:r>
            </w:hyperlink>
          </w:p>
        </w:tc>
      </w:tr>
    </w:tbl>
    <w:p w14:paraId="1707D2A8" w14:textId="77777777" w:rsidR="00155657" w:rsidRPr="00F332C9" w:rsidRDefault="00155657" w:rsidP="005255BE">
      <w:pPr>
        <w:rPr>
          <w:rFonts w:cs="Arial"/>
          <w:lang w:val="es-ES"/>
        </w:rPr>
      </w:pPr>
    </w:p>
    <w:sectPr w:rsidR="00155657" w:rsidRPr="00F332C9" w:rsidSect="005255B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2850" w14:textId="77777777" w:rsidR="00DD10BB" w:rsidRDefault="00DD10BB">
      <w:r>
        <w:separator/>
      </w:r>
    </w:p>
  </w:endnote>
  <w:endnote w:type="continuationSeparator" w:id="0">
    <w:p w14:paraId="2E5E312E" w14:textId="77777777" w:rsidR="00DD10BB" w:rsidRDefault="00D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437A" w14:textId="77777777" w:rsidR="00936457" w:rsidRDefault="00936457" w:rsidP="00155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F7EA1" w14:textId="77777777" w:rsidR="00936457" w:rsidRDefault="00936457" w:rsidP="009364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4E04" w14:textId="16F6DF8F" w:rsidR="00091AE5" w:rsidRPr="00B45C74" w:rsidRDefault="00091AE5" w:rsidP="0015565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337AB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BD4ABEC" w14:textId="34EF439B" w:rsidR="00091AE5" w:rsidRPr="000975A1" w:rsidRDefault="000975A1" w:rsidP="00155657">
    <w:pPr>
      <w:pStyle w:val="Footer"/>
      <w:rPr>
        <w:lang w:val="es-ES"/>
      </w:rPr>
    </w:pPr>
    <w:r>
      <w:rPr>
        <w:b/>
        <w:lang w:val="es-ES"/>
      </w:rPr>
      <w:t>Mó</w:t>
    </w:r>
    <w:r w:rsidR="00091AE5" w:rsidRPr="000975A1">
      <w:rPr>
        <w:b/>
        <w:lang w:val="es-ES"/>
      </w:rPr>
      <w:t>dul</w:t>
    </w:r>
    <w:r>
      <w:rPr>
        <w:b/>
        <w:lang w:val="es-ES"/>
      </w:rPr>
      <w:t>o</w:t>
    </w:r>
    <w:r w:rsidR="00091AE5" w:rsidRPr="000975A1">
      <w:rPr>
        <w:b/>
        <w:lang w:val="es-ES"/>
      </w:rPr>
      <w:t xml:space="preserve"> 4.</w:t>
    </w:r>
    <w:r w:rsidR="00091AE5" w:rsidRPr="000975A1">
      <w:rPr>
        <w:lang w:val="es-ES"/>
      </w:rPr>
      <w:t xml:space="preserve"> </w:t>
    </w:r>
    <w:r>
      <w:rPr>
        <w:lang w:val="es-ES"/>
      </w:rPr>
      <w:t>Etapa</w:t>
    </w:r>
    <w:r w:rsidR="00091AE5" w:rsidRPr="000975A1">
      <w:rPr>
        <w:lang w:val="es-ES"/>
      </w:rPr>
      <w:t xml:space="preserve"> 5. </w:t>
    </w:r>
    <w:r w:rsidR="005A73DE" w:rsidRPr="000975A1">
      <w:rPr>
        <w:i/>
        <w:lang w:val="es-ES"/>
      </w:rPr>
      <w:fldChar w:fldCharType="begin"/>
    </w:r>
    <w:r w:rsidR="005A73DE" w:rsidRPr="000975A1">
      <w:rPr>
        <w:i/>
        <w:lang w:val="es-ES"/>
      </w:rPr>
      <w:instrText xml:space="preserve"> STYLEREF  H1 \t  \* MERGEFORMAT </w:instrText>
    </w:r>
    <w:r w:rsidR="005A73DE" w:rsidRPr="000975A1">
      <w:rPr>
        <w:i/>
        <w:lang w:val="es-ES"/>
      </w:rPr>
      <w:fldChar w:fldCharType="separate"/>
    </w:r>
    <w:r w:rsidR="00D337AB">
      <w:rPr>
        <w:i/>
        <w:noProof/>
        <w:lang w:val="es-ES"/>
      </w:rPr>
      <w:t>Hoja de ruta para la distribución y cobro en PTE</w:t>
    </w:r>
    <w:r w:rsidR="005A73DE" w:rsidRPr="000975A1">
      <w:rPr>
        <w:i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77C9" w14:textId="50397231" w:rsidR="005255BE" w:rsidRPr="00B45C74" w:rsidRDefault="005255BE" w:rsidP="0015565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337A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8DE477D" w14:textId="67477A41" w:rsidR="005255BE" w:rsidRPr="003A3500" w:rsidRDefault="0079271F" w:rsidP="00155657">
    <w:pPr>
      <w:pStyle w:val="Footer"/>
    </w:pPr>
    <w:proofErr w:type="spellStart"/>
    <w:r>
      <w:rPr>
        <w:b/>
      </w:rPr>
      <w:t>Módulo</w:t>
    </w:r>
    <w:proofErr w:type="spellEnd"/>
    <w:r w:rsidR="005255BE" w:rsidRPr="00107E15">
      <w:rPr>
        <w:b/>
      </w:rPr>
      <w:t xml:space="preserve"> </w:t>
    </w:r>
    <w:r w:rsidR="005255BE">
      <w:rPr>
        <w:b/>
      </w:rPr>
      <w:t>4</w:t>
    </w:r>
    <w:r w:rsidR="005255BE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5255BE" w:rsidRPr="00107E15">
      <w:t xml:space="preserve"> </w:t>
    </w:r>
    <w:r w:rsidR="005255BE">
      <w:t xml:space="preserve">5. </w:t>
    </w:r>
    <w:r w:rsidR="005255BE" w:rsidRPr="00107E15">
      <w:rPr>
        <w:i/>
      </w:rPr>
      <w:fldChar w:fldCharType="begin"/>
    </w:r>
    <w:r w:rsidR="005255BE" w:rsidRPr="00107E15">
      <w:rPr>
        <w:i/>
      </w:rPr>
      <w:instrText xml:space="preserve"> STYLEREF  H1 \t  \* MERGEFORMAT </w:instrText>
    </w:r>
    <w:r w:rsidR="005255BE" w:rsidRPr="00107E15">
      <w:rPr>
        <w:i/>
      </w:rPr>
      <w:fldChar w:fldCharType="separate"/>
    </w:r>
    <w:r w:rsidR="00D337AB">
      <w:rPr>
        <w:i/>
        <w:noProof/>
      </w:rPr>
      <w:t>Hoja de ruta para la distribución y cobro en PTE</w:t>
    </w:r>
    <w:r w:rsidR="005255BE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447" w14:textId="77777777" w:rsidR="00DD10BB" w:rsidRDefault="00DD10BB">
      <w:r>
        <w:separator/>
      </w:r>
    </w:p>
  </w:footnote>
  <w:footnote w:type="continuationSeparator" w:id="0">
    <w:p w14:paraId="0882AFDA" w14:textId="77777777" w:rsidR="00DD10BB" w:rsidRDefault="00DD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2DD9" w14:textId="77777777" w:rsidR="000975A1" w:rsidRPr="000975A1" w:rsidRDefault="000975A1" w:rsidP="000975A1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0975A1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0975A1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54F9F8CC" w14:textId="1CF44A82" w:rsidR="005255BE" w:rsidRPr="000975A1" w:rsidRDefault="005255BE" w:rsidP="000975A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92B8" w14:textId="5DB7EF31" w:rsidR="005255BE" w:rsidRDefault="00C20942" w:rsidP="00155657">
    <w:pPr>
      <w:pStyle w:val="Header1"/>
    </w:pPr>
    <w:r w:rsidRPr="00C20942">
      <w:rPr>
        <w:noProof/>
        <w:color w:val="DC281E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7A1FF852" wp14:editId="51BE0A47">
          <wp:simplePos x="0" y="0"/>
          <wp:positionH relativeFrom="column">
            <wp:posOffset>365125</wp:posOffset>
          </wp:positionH>
          <wp:positionV relativeFrom="paragraph">
            <wp:posOffset>15240</wp:posOffset>
          </wp:positionV>
          <wp:extent cx="596900" cy="6851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 ESPAÑ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B6466" w14:textId="4EB836A3" w:rsidR="005255BE" w:rsidRDefault="00F332C9" w:rsidP="00155657">
    <w:pPr>
      <w:pStyle w:val="Header1"/>
    </w:pPr>
    <w:r w:rsidRPr="00C20942">
      <w:rPr>
        <w:noProof/>
        <w:color w:val="DC281E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902A3AD" wp14:editId="5F12EFB2">
          <wp:simplePos x="0" y="0"/>
          <wp:positionH relativeFrom="column">
            <wp:posOffset>2545080</wp:posOffset>
          </wp:positionH>
          <wp:positionV relativeFrom="paragraph">
            <wp:posOffset>170815</wp:posOffset>
          </wp:positionV>
          <wp:extent cx="3302000" cy="32448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788CC" w14:textId="409C7EC6" w:rsidR="005255BE" w:rsidRDefault="005255BE" w:rsidP="00155657">
    <w:pPr>
      <w:pStyle w:val="Header"/>
      <w:rPr>
        <w:color w:val="DC281E"/>
        <w:sz w:val="24"/>
        <w:szCs w:val="24"/>
      </w:rPr>
    </w:pPr>
  </w:p>
  <w:p w14:paraId="5F9801F4" w14:textId="0EF28A40" w:rsidR="005255BE" w:rsidRDefault="005255BE" w:rsidP="00155657">
    <w:pPr>
      <w:pStyle w:val="Header"/>
      <w:spacing w:line="240" w:lineRule="auto"/>
      <w:rPr>
        <w:b/>
        <w:color w:val="DC281E"/>
        <w:sz w:val="24"/>
        <w:szCs w:val="24"/>
      </w:rPr>
    </w:pPr>
  </w:p>
  <w:p w14:paraId="658FD39E" w14:textId="2C2F51F0" w:rsidR="005255BE" w:rsidRDefault="005255BE" w:rsidP="00155657">
    <w:pPr>
      <w:pStyle w:val="Header"/>
      <w:spacing w:line="240" w:lineRule="auto"/>
      <w:rPr>
        <w:b/>
        <w:color w:val="DC281E"/>
        <w:sz w:val="24"/>
        <w:szCs w:val="24"/>
      </w:rPr>
    </w:pPr>
  </w:p>
  <w:p w14:paraId="59B63667" w14:textId="185EFE89" w:rsidR="005255BE" w:rsidRPr="00F332C9" w:rsidRDefault="00277B37" w:rsidP="00F332C9">
    <w:pPr>
      <w:spacing w:after="0" w:line="288" w:lineRule="auto"/>
      <w:jc w:val="left"/>
      <w:rPr>
        <w:rFonts w:eastAsia="MS PGothic" w:cs="Caecilia-Light"/>
        <w:b/>
        <w:color w:val="DC281E"/>
        <w:sz w:val="24"/>
        <w:szCs w:val="16"/>
        <w:lang w:val="es-ES"/>
      </w:rPr>
    </w:pPr>
    <w:r>
      <w:rPr>
        <w:rFonts w:eastAsia="MS PGothic" w:cs="Caecilia-Light"/>
        <w:b/>
        <w:color w:val="DC281E"/>
        <w:sz w:val="24"/>
        <w:szCs w:val="16"/>
        <w:lang w:val="es-ES"/>
      </w:rPr>
      <w:t>Caja de h</w:t>
    </w:r>
    <w:r w:rsidR="00F332C9" w:rsidRPr="00F332C9">
      <w:rPr>
        <w:rFonts w:eastAsia="MS PGothic" w:cs="Caecilia-Light"/>
        <w:b/>
        <w:color w:val="DC281E"/>
        <w:sz w:val="24"/>
        <w:szCs w:val="16"/>
        <w:lang w:val="es-ES"/>
      </w:rPr>
      <w:t xml:space="preserve">erramientas para </w:t>
    </w:r>
    <w:r>
      <w:rPr>
        <w:rFonts w:eastAsia="MS PGothic" w:cs="Caecilia-Light"/>
        <w:b/>
        <w:color w:val="DC281E"/>
        <w:sz w:val="24"/>
        <w:szCs w:val="16"/>
        <w:lang w:val="es-ES"/>
      </w:rPr>
      <w:t>PTE en emergencia</w:t>
    </w:r>
    <w:r w:rsidR="00D81DE8">
      <w:rPr>
        <w:rFonts w:eastAsia="MS PGothic" w:cs="Caecilia-Light"/>
        <w:b/>
        <w:color w:val="DC281E"/>
        <w:sz w:val="24"/>
        <w:szCs w:val="16"/>
        <w:lang w:val="es-ES"/>
      </w:rPr>
      <w:t>s</w:t>
    </w:r>
    <w:r w:rsidR="00F332C9" w:rsidRPr="00F332C9">
      <w:rPr>
        <w:rFonts w:eastAsia="MS PGothic" w:cs="Caecilia-Light"/>
        <w:b/>
        <w:color w:val="DC281E"/>
        <w:sz w:val="24"/>
        <w:szCs w:val="16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3E0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0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10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FE8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A6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F81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A2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C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0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447205F4"/>
    <w:multiLevelType w:val="hybridMultilevel"/>
    <w:tmpl w:val="444A4B64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33B1"/>
    <w:multiLevelType w:val="hybridMultilevel"/>
    <w:tmpl w:val="90DA872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0302F"/>
    <w:multiLevelType w:val="hybridMultilevel"/>
    <w:tmpl w:val="D6AAD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F6F51"/>
    <w:multiLevelType w:val="hybridMultilevel"/>
    <w:tmpl w:val="6CC42E1A"/>
    <w:lvl w:ilvl="0" w:tplc="3000D490">
      <w:start w:val="1"/>
      <w:numFmt w:val="bullet"/>
      <w:lvlText w:val=""/>
      <w:lvlJc w:val="left"/>
      <w:pPr>
        <w:ind w:left="4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3677DB1"/>
    <w:multiLevelType w:val="hybridMultilevel"/>
    <w:tmpl w:val="988E046A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16"/>
  </w:num>
  <w:num w:numId="9">
    <w:abstractNumId w:val="17"/>
  </w:num>
  <w:num w:numId="10">
    <w:abstractNumId w:val="19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5"/>
    <w:rsid w:val="000049E5"/>
    <w:rsid w:val="00041BA3"/>
    <w:rsid w:val="00091AE5"/>
    <w:rsid w:val="000975A1"/>
    <w:rsid w:val="000B6130"/>
    <w:rsid w:val="000C0B74"/>
    <w:rsid w:val="0010453C"/>
    <w:rsid w:val="00155657"/>
    <w:rsid w:val="001B79A0"/>
    <w:rsid w:val="001D2A29"/>
    <w:rsid w:val="001E6D95"/>
    <w:rsid w:val="0024645E"/>
    <w:rsid w:val="00277B37"/>
    <w:rsid w:val="00285496"/>
    <w:rsid w:val="00294635"/>
    <w:rsid w:val="002E77E8"/>
    <w:rsid w:val="00350E36"/>
    <w:rsid w:val="00391808"/>
    <w:rsid w:val="00395ABF"/>
    <w:rsid w:val="003C6AF5"/>
    <w:rsid w:val="003D6747"/>
    <w:rsid w:val="003F28E4"/>
    <w:rsid w:val="00432C28"/>
    <w:rsid w:val="00466836"/>
    <w:rsid w:val="00491177"/>
    <w:rsid w:val="004C2C8D"/>
    <w:rsid w:val="004D09A5"/>
    <w:rsid w:val="005255BE"/>
    <w:rsid w:val="00597D5B"/>
    <w:rsid w:val="005A73DE"/>
    <w:rsid w:val="005D6300"/>
    <w:rsid w:val="005D7F72"/>
    <w:rsid w:val="005F7533"/>
    <w:rsid w:val="006475BB"/>
    <w:rsid w:val="006E095B"/>
    <w:rsid w:val="00702DD8"/>
    <w:rsid w:val="00741E19"/>
    <w:rsid w:val="0079271F"/>
    <w:rsid w:val="007D71F8"/>
    <w:rsid w:val="007F4D5B"/>
    <w:rsid w:val="00803E06"/>
    <w:rsid w:val="00840DE0"/>
    <w:rsid w:val="008D6F66"/>
    <w:rsid w:val="008F619E"/>
    <w:rsid w:val="00926F3A"/>
    <w:rsid w:val="00936457"/>
    <w:rsid w:val="009644B0"/>
    <w:rsid w:val="00A449C7"/>
    <w:rsid w:val="00AD6892"/>
    <w:rsid w:val="00AE62F8"/>
    <w:rsid w:val="00B017FF"/>
    <w:rsid w:val="00BA04D7"/>
    <w:rsid w:val="00BB6924"/>
    <w:rsid w:val="00BF70E8"/>
    <w:rsid w:val="00C20942"/>
    <w:rsid w:val="00C372F1"/>
    <w:rsid w:val="00C417F3"/>
    <w:rsid w:val="00C71234"/>
    <w:rsid w:val="00C90A9B"/>
    <w:rsid w:val="00CB74E1"/>
    <w:rsid w:val="00CF2CB2"/>
    <w:rsid w:val="00CF48B2"/>
    <w:rsid w:val="00D27308"/>
    <w:rsid w:val="00D337AB"/>
    <w:rsid w:val="00D81DE8"/>
    <w:rsid w:val="00DD10BB"/>
    <w:rsid w:val="00E26E3D"/>
    <w:rsid w:val="00E4557B"/>
    <w:rsid w:val="00F332C9"/>
    <w:rsid w:val="00F4644F"/>
    <w:rsid w:val="00F51B00"/>
    <w:rsid w:val="00FA50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11429"/>
  <w15:docId w15:val="{E1E3846E-07A4-4AB4-AFEF-DD5181B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255B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255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5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5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55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255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5BE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25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55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5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55BE"/>
    <w:rPr>
      <w:rFonts w:ascii="Arial" w:eastAsiaTheme="minorEastAsia" w:hAnsi="Arial" w:cs="Times New Roman"/>
      <w:sz w:val="16"/>
      <w:szCs w:val="18"/>
    </w:rPr>
  </w:style>
  <w:style w:type="table" w:styleId="TableGrid">
    <w:name w:val="Table Grid"/>
    <w:basedOn w:val="TableNormal"/>
    <w:uiPriority w:val="59"/>
    <w:rsid w:val="005255BE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k">
    <w:name w:val="aak"/>
    <w:basedOn w:val="DefaultParagraphFont"/>
    <w:rsid w:val="00BA4AA5"/>
  </w:style>
  <w:style w:type="character" w:customStyle="1" w:styleId="apple-converted-space">
    <w:name w:val="apple-converted-space"/>
    <w:basedOn w:val="DefaultParagraphFont"/>
    <w:rsid w:val="00BA4AA5"/>
  </w:style>
  <w:style w:type="character" w:styleId="CommentReference">
    <w:name w:val="annotation reference"/>
    <w:basedOn w:val="DefaultParagraphFont"/>
    <w:uiPriority w:val="99"/>
    <w:semiHidden/>
    <w:unhideWhenUsed/>
    <w:rsid w:val="005255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22"/>
    <w:rPr>
      <w:rFonts w:asciiTheme="majorHAnsi" w:hAnsiTheme="majorHAnsi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255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255BE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BE"/>
    <w:rPr>
      <w:rFonts w:ascii="Lucida Grande" w:eastAsiaTheme="minorEastAsia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55BE"/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uiPriority w:val="99"/>
    <w:unhideWhenUsed/>
    <w:rsid w:val="005255B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255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55BE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55BE"/>
    <w:rPr>
      <w:rFonts w:ascii="Arial" w:eastAsiaTheme="minorEastAsia" w:hAnsi="Arial" w:cs="Times New Roman"/>
      <w:b/>
      <w:sz w:val="22"/>
    </w:rPr>
  </w:style>
  <w:style w:type="paragraph" w:customStyle="1" w:styleId="Default">
    <w:name w:val="Default"/>
    <w:rsid w:val="005255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255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255BE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5255BE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255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255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255B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255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255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255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255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255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255BE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255BE"/>
    <w:pPr>
      <w:numPr>
        <w:numId w:val="9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255BE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255BE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255BE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255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255B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255BE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6-delivering-money-cash-transfer-mechanisms-in-emergencies" TargetMode="External"/><Relationship Id="rId13" Type="http://schemas.openxmlformats.org/officeDocument/2006/relationships/hyperlink" Target="http://www.cashlearning.org/resources/library/25-vouchers---a-quick-delivery-guide-booklet-versio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shlearning.org/resources/library/390-e-transfers-in-emergencies-implementation-support-guideline" TargetMode="External"/><Relationship Id="rId12" Type="http://schemas.openxmlformats.org/officeDocument/2006/relationships/hyperlink" Target="http://www.cashlearning.org/resources/library/24-direct-cash---a-quick-delivery-guide-screen-vers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hlearning.org/resources/library/235-delivering-cash-through-cards---a-quick-delivery-guide-bookl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shlearning.org/resources/library/22-cheques---a-quick-delivery-guide-screen-vers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resources/library/287-e-payments-in-cash-transfer-programming-quick-tool" TargetMode="External"/><Relationship Id="rId14" Type="http://schemas.openxmlformats.org/officeDocument/2006/relationships/hyperlink" Target="http://www.cashlearning.org/resources/library/217-voucher-fairs-a-quick-delivery-guide-booklet-vers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3</Pages>
  <Words>1809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Ines DALMAU i GUTSENS</cp:lastModifiedBy>
  <cp:revision>2</cp:revision>
  <cp:lastPrinted>2015-10-11T22:00:00Z</cp:lastPrinted>
  <dcterms:created xsi:type="dcterms:W3CDTF">2016-02-22T14:52:00Z</dcterms:created>
  <dcterms:modified xsi:type="dcterms:W3CDTF">2016-02-22T14:52:00Z</dcterms:modified>
</cp:coreProperties>
</file>