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CA6E" w14:textId="2FD0EB77" w:rsidR="002D2351" w:rsidRDefault="006E095B" w:rsidP="005255BE">
      <w:pPr>
        <w:pStyle w:val="H1"/>
      </w:pPr>
      <w:bookmarkStart w:id="0" w:name="_GoBack"/>
      <w:bookmarkEnd w:id="0"/>
      <w:r>
        <w:t>Roadmap fo</w:t>
      </w:r>
      <w:r w:rsidR="00D27308" w:rsidRPr="00543A89">
        <w:t xml:space="preserve">r </w:t>
      </w:r>
      <w:r w:rsidR="005F7533">
        <w:t xml:space="preserve">CTP </w:t>
      </w:r>
      <w:r w:rsidR="00D27308">
        <w:t>distribution and encashment</w:t>
      </w:r>
    </w:p>
    <w:p w14:paraId="184D2878" w14:textId="5803373E" w:rsidR="001D2A29" w:rsidRPr="001D2A29" w:rsidRDefault="003C6AF5" w:rsidP="001D2A29">
      <w:pPr>
        <w:pStyle w:val="H1"/>
        <w:ind w:left="-170"/>
        <w:rPr>
          <w:sz w:val="20"/>
        </w:rPr>
      </w:pPr>
      <w:r>
        <w:pict w14:anchorId="17398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pt;height:3in">
            <v:imagedata r:id="rId8" o:title="04-Setup_Implementation-rodmap-EN5"/>
          </v:shape>
        </w:pict>
      </w:r>
    </w:p>
    <w:p w14:paraId="47945F96" w14:textId="77777777" w:rsidR="006C7416" w:rsidRPr="00DA703F" w:rsidRDefault="00D27308" w:rsidP="005255BE">
      <w:pPr>
        <w:pStyle w:val="Heading2"/>
      </w:pPr>
      <w:r w:rsidRPr="00DA703F">
        <w:t>INTRODUCTION</w:t>
      </w:r>
    </w:p>
    <w:p w14:paraId="2223E8A4" w14:textId="05F3080D" w:rsidR="00952148" w:rsidRDefault="00D27308" w:rsidP="005255BE">
      <w:r w:rsidRPr="00DA703F">
        <w:t>This road</w:t>
      </w:r>
      <w:r w:rsidR="001E6D95">
        <w:t xml:space="preserve"> </w:t>
      </w:r>
      <w:r w:rsidRPr="00DA703F">
        <w:t xml:space="preserve">map will guide you through the process of </w:t>
      </w:r>
      <w:r>
        <w:t>distributing items related to the chosen payment mechanism as well as cash itself to beneficiaries. Cash distribution,</w:t>
      </w:r>
      <w:r w:rsidR="001E6D95">
        <w:t xml:space="preserve"> regardless</w:t>
      </w:r>
      <w:r w:rsidR="00BA04D7">
        <w:t xml:space="preserve"> of</w:t>
      </w:r>
      <w:r>
        <w:t xml:space="preserve"> whether</w:t>
      </w:r>
      <w:r w:rsidR="00BA04D7">
        <w:t xml:space="preserve"> it is carried out</w:t>
      </w:r>
      <w:r>
        <w:t xml:space="preserve"> directly by the agency or through</w:t>
      </w:r>
      <w:r w:rsidRPr="00DA703F">
        <w:t xml:space="preserve"> financial service providers</w:t>
      </w:r>
      <w:r w:rsidR="00BA04D7">
        <w:t>,</w:t>
      </w:r>
      <w:r>
        <w:t xml:space="preserve"> will be referred to as encashment</w:t>
      </w:r>
      <w:r w:rsidRPr="00DA703F">
        <w:t xml:space="preserve">. </w:t>
      </w:r>
      <w:r>
        <w:t>S</w:t>
      </w:r>
      <w:r w:rsidRPr="00DA703F">
        <w:t>ometimes</w:t>
      </w:r>
      <w:r>
        <w:t xml:space="preserve">, </w:t>
      </w:r>
      <w:r w:rsidRPr="00DA703F">
        <w:t>particularly when financial systems are weak or absent in the emergency context</w:t>
      </w:r>
      <w:r>
        <w:t>, direct encashment</w:t>
      </w:r>
      <w:r w:rsidRPr="00DA703F">
        <w:t xml:space="preserve"> </w:t>
      </w:r>
      <w:r w:rsidR="009644B0">
        <w:t xml:space="preserve">is </w:t>
      </w:r>
      <w:r w:rsidRPr="00DA703F">
        <w:t xml:space="preserve">the only available option. </w:t>
      </w:r>
    </w:p>
    <w:p w14:paraId="0A4D0EFE" w14:textId="119F468B" w:rsidR="005D7F72" w:rsidRPr="00EB6B84" w:rsidRDefault="00294635" w:rsidP="005255BE">
      <w:r>
        <w:t>Also, t</w:t>
      </w:r>
      <w:r w:rsidR="005D7F72" w:rsidRPr="00EB6B84">
        <w:t>he road</w:t>
      </w:r>
      <w:r w:rsidR="001E6D95">
        <w:t xml:space="preserve"> </w:t>
      </w:r>
      <w:r w:rsidR="005D7F72" w:rsidRPr="00EB6B84">
        <w:t xml:space="preserve">map provides suggestions on which </w:t>
      </w:r>
      <w:proofErr w:type="spellStart"/>
      <w:r w:rsidR="005D7F72" w:rsidRPr="00EB6B84">
        <w:t>CiE</w:t>
      </w:r>
      <w:proofErr w:type="spellEnd"/>
      <w:r w:rsidR="005D7F72" w:rsidRPr="00EB6B84">
        <w:t xml:space="preserve"> tools are most useful for this step and sub-steps. The tools will need to be adapted to your need and context.  </w:t>
      </w:r>
    </w:p>
    <w:p w14:paraId="4944CFB5" w14:textId="77777777" w:rsidR="005D7F72" w:rsidRPr="00EB6B84" w:rsidRDefault="005D7F72" w:rsidP="005255BE">
      <w:r w:rsidRPr="00EB6B84">
        <w:t xml:space="preserve">You should always aim to comply with the minimum standards listed under this step, as this will contribute to the quality of your CTP response. </w:t>
      </w:r>
    </w:p>
    <w:p w14:paraId="6FE13DC0" w14:textId="77777777" w:rsidR="005D7F72" w:rsidRPr="00EB6B84" w:rsidRDefault="005D7F72" w:rsidP="005255BE">
      <w:r w:rsidRPr="00EB6B84">
        <w:t xml:space="preserve">It is likely that you will need to move </w:t>
      </w:r>
      <w:r w:rsidRPr="005528EF">
        <w:rPr>
          <w:b/>
        </w:rPr>
        <w:t>back and forth</w:t>
      </w:r>
      <w:r w:rsidRPr="00EB6B84">
        <w:t xml:space="preserve"> between the different sub-steps to guide your decision-making as information and processes are completed and feed into each sub-step.</w:t>
      </w:r>
    </w:p>
    <w:p w14:paraId="2F0AD747" w14:textId="25C6D979" w:rsidR="005D7F72" w:rsidRDefault="005D7F72" w:rsidP="005255BE">
      <w:r w:rsidRPr="005255BE">
        <w:t>If you need more detailed guidance on distribution and encashment, consult the reference documents</w:t>
      </w:r>
      <w:r w:rsidRPr="00EB6B84">
        <w:t xml:space="preserve"> suggested at the end of this road</w:t>
      </w:r>
      <w:r w:rsidR="001E6D95">
        <w:t xml:space="preserve"> </w:t>
      </w:r>
      <w:r w:rsidRPr="00EB6B84">
        <w:t>map.</w:t>
      </w:r>
      <w:r>
        <w:t xml:space="preserve"> </w:t>
      </w:r>
    </w:p>
    <w:p w14:paraId="6CE6EC5A" w14:textId="77777777" w:rsidR="006C7416" w:rsidRPr="00DA703F" w:rsidRDefault="00D27308" w:rsidP="005255BE">
      <w:pPr>
        <w:pStyle w:val="Heading2"/>
      </w:pPr>
      <w:r w:rsidRPr="00DA703F">
        <w:t>MINIMUM STANDARDS</w:t>
      </w:r>
    </w:p>
    <w:p w14:paraId="72063719" w14:textId="77777777" w:rsidR="00113FA3" w:rsidRDefault="00D27308" w:rsidP="005255BE">
      <w:pPr>
        <w:pStyle w:val="Bullet1"/>
        <w:rPr>
          <w:lang w:eastAsia="it-IT"/>
        </w:rPr>
      </w:pPr>
      <w:r>
        <w:rPr>
          <w:lang w:eastAsia="it-IT"/>
        </w:rPr>
        <w:t>Both agency and service provider staff should be sensitized, informed and/or trained on cash transfer programming, according to their level of involvement in distributions and encashment.</w:t>
      </w:r>
    </w:p>
    <w:p w14:paraId="737CA467" w14:textId="77777777" w:rsidR="00DA703F" w:rsidRPr="00DA703F" w:rsidRDefault="00D27308" w:rsidP="005255BE">
      <w:pPr>
        <w:pStyle w:val="Bullet1"/>
        <w:rPr>
          <w:lang w:eastAsia="it-IT"/>
        </w:rPr>
      </w:pPr>
      <w:r w:rsidRPr="00DA703F">
        <w:rPr>
          <w:lang w:eastAsia="it-IT"/>
        </w:rPr>
        <w:t xml:space="preserve">Ensure that the encashment plan is </w:t>
      </w:r>
      <w:r>
        <w:rPr>
          <w:lang w:eastAsia="it-IT"/>
        </w:rPr>
        <w:t>consistent with</w:t>
      </w:r>
      <w:r w:rsidRPr="00DA703F">
        <w:rPr>
          <w:lang w:eastAsia="it-IT"/>
        </w:rPr>
        <w:t xml:space="preserve"> the service provider location and capacity.</w:t>
      </w:r>
    </w:p>
    <w:p w14:paraId="0FBBFA08" w14:textId="77777777" w:rsidR="006C7416" w:rsidRPr="00DA703F" w:rsidRDefault="00D27308" w:rsidP="005255BE">
      <w:pPr>
        <w:pStyle w:val="Bullet1"/>
        <w:rPr>
          <w:lang w:eastAsia="it-IT"/>
        </w:rPr>
      </w:pPr>
      <w:r w:rsidRPr="00DA703F">
        <w:rPr>
          <w:lang w:eastAsia="it-IT"/>
        </w:rPr>
        <w:t>Verify that direct cash distribution sites are safe and guarantee beneficiary dignity.</w:t>
      </w:r>
    </w:p>
    <w:p w14:paraId="3973CD10" w14:textId="77777777" w:rsidR="006C7416" w:rsidRPr="00DA703F" w:rsidRDefault="00D27308" w:rsidP="005255BE">
      <w:pPr>
        <w:pStyle w:val="Heading2"/>
      </w:pPr>
      <w:r w:rsidRPr="00DA703F">
        <w:lastRenderedPageBreak/>
        <w:t>SUB-STEPS AND TOOLS</w:t>
      </w:r>
    </w:p>
    <w:p w14:paraId="2A8EB595" w14:textId="77777777" w:rsidR="00594E14" w:rsidRPr="002D2351" w:rsidRDefault="00D27308" w:rsidP="005255BE">
      <w:pPr>
        <w:pStyle w:val="Heading3"/>
      </w:pPr>
      <w:r w:rsidRPr="002D2351">
        <w:t>Training and communication</w:t>
      </w:r>
    </w:p>
    <w:p w14:paraId="3FD8D5A4" w14:textId="362925A9" w:rsidR="00594E14" w:rsidRPr="005255BE" w:rsidRDefault="00D27308" w:rsidP="005255BE">
      <w:r>
        <w:t>Before starting distributions and encashment, f</w:t>
      </w:r>
      <w:r w:rsidRPr="00DA703F">
        <w:t xml:space="preserve">ield staff should be given a general overview of cash transfer programming. Emphasis should be given to the </w:t>
      </w:r>
      <w:proofErr w:type="gramStart"/>
      <w:r w:rsidRPr="00DA703F">
        <w:t>activities</w:t>
      </w:r>
      <w:proofErr w:type="gramEnd"/>
      <w:r w:rsidRPr="00DA703F">
        <w:t xml:space="preserve"> in which they will be involved</w:t>
      </w:r>
      <w:r w:rsidR="00803E06" w:rsidRPr="00803E06">
        <w:t xml:space="preserve"> </w:t>
      </w:r>
      <w:r w:rsidR="00803E06" w:rsidRPr="00DA703F">
        <w:t>directly</w:t>
      </w:r>
      <w:r w:rsidRPr="00DA703F">
        <w:t xml:space="preserve">, but they should be able </w:t>
      </w:r>
      <w:r w:rsidR="004D09A5">
        <w:t xml:space="preserve">to </w:t>
      </w:r>
      <w:r w:rsidRPr="00DA703F">
        <w:t>answer the questions be</w:t>
      </w:r>
      <w:r w:rsidR="00803E06">
        <w:t>neficiaries ask most frequently</w:t>
      </w:r>
      <w:r w:rsidRPr="00DA703F">
        <w:t xml:space="preserve"> or</w:t>
      </w:r>
      <w:r w:rsidR="00803E06">
        <w:t>,</w:t>
      </w:r>
      <w:r w:rsidRPr="00DA703F">
        <w:t xml:space="preserve"> at least</w:t>
      </w:r>
      <w:r w:rsidR="00803E06">
        <w:t>, they should</w:t>
      </w:r>
      <w:r w:rsidRPr="00DA703F">
        <w:t xml:space="preserve"> refer </w:t>
      </w:r>
      <w:r w:rsidRPr="005255BE">
        <w:t>beneficiaries appropriately. Among the sub-step tools you will find a CTP presentation and an end-of-session questionnaire.</w:t>
      </w:r>
    </w:p>
    <w:p w14:paraId="7C88DD79" w14:textId="44785E36" w:rsidR="00594E14" w:rsidRPr="005255BE" w:rsidRDefault="00D27308" w:rsidP="005255BE">
      <w:r w:rsidRPr="005255BE">
        <w:t xml:space="preserve">When </w:t>
      </w:r>
      <w:r w:rsidR="00803E06" w:rsidRPr="005255BE">
        <w:t xml:space="preserve">you are </w:t>
      </w:r>
      <w:r w:rsidRPr="005255BE">
        <w:t>working with financial service providers, their staff will</w:t>
      </w:r>
      <w:r w:rsidR="00803E06" w:rsidRPr="005255BE">
        <w:t xml:space="preserve"> need</w:t>
      </w:r>
      <w:r w:rsidRPr="005255BE">
        <w:t xml:space="preserve"> to be </w:t>
      </w:r>
      <w:r w:rsidR="00803E06" w:rsidRPr="005255BE">
        <w:t>sensitiz</w:t>
      </w:r>
      <w:r w:rsidRPr="005255BE">
        <w:t>ed and informed about CTP</w:t>
      </w:r>
      <w:r w:rsidR="00803E06" w:rsidRPr="005255BE">
        <w:t xml:space="preserve"> also</w:t>
      </w:r>
      <w:r w:rsidRPr="005255BE">
        <w:t xml:space="preserve">. Consider that staff with different responsibilities will have different information needs. As </w:t>
      </w:r>
      <w:r w:rsidR="00803E06" w:rsidRPr="005255BE">
        <w:t xml:space="preserve">a </w:t>
      </w:r>
      <w:r w:rsidRPr="005255BE">
        <w:t>minimum, al</w:t>
      </w:r>
      <w:r w:rsidR="00803E06" w:rsidRPr="005255BE">
        <w:t xml:space="preserve">l staff should be informed of Red Cross </w:t>
      </w:r>
      <w:r w:rsidRPr="005255BE">
        <w:t>R</w:t>
      </w:r>
      <w:r w:rsidR="00803E06" w:rsidRPr="005255BE">
        <w:t xml:space="preserve">ed </w:t>
      </w:r>
      <w:r w:rsidRPr="005255BE">
        <w:t>C</w:t>
      </w:r>
      <w:r w:rsidR="00803E06" w:rsidRPr="005255BE">
        <w:t>rescent</w:t>
      </w:r>
      <w:r w:rsidRPr="005255BE">
        <w:t xml:space="preserve"> principles and mandate, the </w:t>
      </w:r>
      <w:proofErr w:type="spellStart"/>
      <w:r w:rsidRPr="005255BE">
        <w:t>programme</w:t>
      </w:r>
      <w:proofErr w:type="spellEnd"/>
      <w:r w:rsidRPr="005255BE">
        <w:t xml:space="preserve"> objectives and scope, roles and responsibilities, beneficiary communication and accountability systems (including </w:t>
      </w:r>
      <w:r w:rsidR="008F619E" w:rsidRPr="005255BE">
        <w:t xml:space="preserve">the </w:t>
      </w:r>
      <w:r w:rsidRPr="005255BE">
        <w:t>complaint and response mechanism). The sub-step tools include a service provider training.</w:t>
      </w:r>
    </w:p>
    <w:p w14:paraId="29A5768D" w14:textId="65B968F5" w:rsidR="00594E14" w:rsidRPr="005255BE" w:rsidRDefault="00D27308" w:rsidP="005255BE">
      <w:r w:rsidRPr="005255BE">
        <w:t>If the network of agents is larger than you</w:t>
      </w:r>
      <w:r w:rsidR="00FA5088" w:rsidRPr="005255BE">
        <w:t>r</w:t>
      </w:r>
      <w:r w:rsidRPr="005255BE">
        <w:t xml:space="preserve"> capacity to train them, it may be useful to send them a letter about the </w:t>
      </w:r>
      <w:proofErr w:type="spellStart"/>
      <w:r w:rsidRPr="005255BE">
        <w:t>programme</w:t>
      </w:r>
      <w:proofErr w:type="spellEnd"/>
      <w:r w:rsidRPr="005255BE">
        <w:t xml:space="preserve"> and the exceptions</w:t>
      </w:r>
      <w:r w:rsidR="00FA5088" w:rsidRPr="005255BE">
        <w:t xml:space="preserve"> that may apply for some</w:t>
      </w:r>
      <w:r w:rsidRPr="005255BE">
        <w:t xml:space="preserve"> beneficiaries. This can improve agents’ readiness, increase </w:t>
      </w:r>
      <w:proofErr w:type="spellStart"/>
      <w:r w:rsidRPr="005255BE">
        <w:t>programme</w:t>
      </w:r>
      <w:proofErr w:type="spellEnd"/>
      <w:r w:rsidRPr="005255BE">
        <w:t xml:space="preserve"> transparency and facilitate monitoring. For this purpose, you will find a sample letter to merchant</w:t>
      </w:r>
      <w:r w:rsidR="00041BA3" w:rsidRPr="005255BE">
        <w:t>s</w:t>
      </w:r>
      <w:r w:rsidRPr="005255BE">
        <w:t xml:space="preserve"> among the sub-step tools. </w:t>
      </w:r>
    </w:p>
    <w:p w14:paraId="4BC1C1FC" w14:textId="77777777" w:rsidR="00594E14" w:rsidRPr="002D2351" w:rsidRDefault="00D27308" w:rsidP="005255BE">
      <w:pPr>
        <w:pStyle w:val="Heading3"/>
      </w:pPr>
      <w:r w:rsidRPr="002D2351">
        <w:t>Planning and implementing distributions</w:t>
      </w:r>
    </w:p>
    <w:p w14:paraId="633BB451" w14:textId="313ABD10" w:rsidR="0082053B" w:rsidRDefault="00D27308" w:rsidP="005255BE">
      <w:r w:rsidRPr="000619B5">
        <w:t>Depending on the delivery mechanism, you will have to distribute items like vouchers, cards, mobile phones and/or SIM cards, etc. Distribution sites should be chosen and organized</w:t>
      </w:r>
      <w:r w:rsidR="0024645E" w:rsidRPr="0024645E">
        <w:t xml:space="preserve"> </w:t>
      </w:r>
      <w:r w:rsidR="0024645E" w:rsidRPr="000619B5">
        <w:t>carefully</w:t>
      </w:r>
      <w:r w:rsidRPr="000619B5">
        <w:t xml:space="preserve">, and distribution events should be planned well in advance, in collaboration with the community and the financial service provider. </w:t>
      </w:r>
      <w:r w:rsidRPr="005255BE">
        <w:t>Among the sub-step tools, you will find a distribution site assessment form, a dist</w:t>
      </w:r>
      <w:r w:rsidR="00BF70E8" w:rsidRPr="005255BE">
        <w:t>ribution site organization</w:t>
      </w:r>
      <w:r w:rsidR="0024645E">
        <w:t xml:space="preserve"> plan</w:t>
      </w:r>
      <w:r w:rsidR="00BF70E8">
        <w:t>, a</w:t>
      </w:r>
      <w:r w:rsidRPr="00083FDC">
        <w:t xml:space="preserve"> distribution </w:t>
      </w:r>
      <w:r w:rsidR="00BF70E8">
        <w:t xml:space="preserve">list and a distribution </w:t>
      </w:r>
      <w:r w:rsidRPr="00083FDC">
        <w:t>plan overview.</w:t>
      </w:r>
      <w:r w:rsidR="0024645E">
        <w:t xml:space="preserve"> </w:t>
      </w:r>
    </w:p>
    <w:p w14:paraId="72EA7A75" w14:textId="77777777" w:rsidR="00E9433A" w:rsidRPr="002D2351" w:rsidRDefault="00D27308" w:rsidP="005255BE">
      <w:pPr>
        <w:pStyle w:val="Heading3"/>
      </w:pPr>
      <w:r w:rsidRPr="002D2351">
        <w:t>Encashment planning and agent mobilization</w:t>
      </w:r>
    </w:p>
    <w:p w14:paraId="2868D71D" w14:textId="77777777" w:rsidR="00AB1275" w:rsidRPr="00DA703F" w:rsidRDefault="00D27308" w:rsidP="005255BE">
      <w:r w:rsidRPr="00DA703F">
        <w:t>Financial service providers normally rely on independent agents to cover the last mile in the distribution chain. Agents can be shop owners, airtime dealers, or any other business that is used to receiving and making payments and is willing to provide encashment services alongside its primary activity.</w:t>
      </w:r>
    </w:p>
    <w:p w14:paraId="591129B5" w14:textId="542AFC64" w:rsidR="00AB1275" w:rsidRPr="00DA703F" w:rsidRDefault="00D27308" w:rsidP="005255BE">
      <w:r w:rsidRPr="00DA703F">
        <w:t>You should ask the service provider to supply a list of</w:t>
      </w:r>
      <w:r w:rsidR="0024645E">
        <w:t xml:space="preserve"> its</w:t>
      </w:r>
      <w:r w:rsidRPr="00DA703F">
        <w:t xml:space="preserve"> agents</w:t>
      </w:r>
      <w:r>
        <w:t>,</w:t>
      </w:r>
      <w:r w:rsidRPr="00DA703F">
        <w:t xml:space="preserve"> </w:t>
      </w:r>
      <w:r>
        <w:t>with information on their location and daily encashment capacity. This will facilitate grouping beneficiaries in</w:t>
      </w:r>
      <w:r w:rsidR="0024645E">
        <w:t xml:space="preserve"> relation to</w:t>
      </w:r>
      <w:r>
        <w:t xml:space="preserve"> the different encashment points. Service providers should </w:t>
      </w:r>
      <w:r w:rsidR="008D6F66">
        <w:t>explain</w:t>
      </w:r>
      <w:r>
        <w:t xml:space="preserve"> t</w:t>
      </w:r>
      <w:r w:rsidRPr="00DA703F">
        <w:t>he calculation meth</w:t>
      </w:r>
      <w:r>
        <w:t>odology used</w:t>
      </w:r>
      <w:r w:rsidRPr="00DA703F">
        <w:t xml:space="preserve">. </w:t>
      </w:r>
    </w:p>
    <w:p w14:paraId="0279EB1C" w14:textId="2A3FB744" w:rsidR="00AB1275" w:rsidRPr="002E478A" w:rsidRDefault="00D27308" w:rsidP="005255BE">
      <w:pPr>
        <w:rPr>
          <w:color w:val="000000"/>
        </w:rPr>
      </w:pPr>
      <w:r w:rsidRPr="005255BE">
        <w:t>Among the sub-step tools you will find an encashment capacity tool that can facilitate the service providers’</w:t>
      </w:r>
      <w:r>
        <w:t xml:space="preserve"> job</w:t>
      </w:r>
      <w:r w:rsidRPr="004E1BF8">
        <w:t xml:space="preserve"> to compile all necessary information. </w:t>
      </w:r>
      <w:r w:rsidR="0024645E">
        <w:t>Also, y</w:t>
      </w:r>
      <w:r>
        <w:t xml:space="preserve">ou will find </w:t>
      </w:r>
      <w:r w:rsidRPr="00421CD8">
        <w:t>an encashment time estimation tool</w:t>
      </w:r>
      <w:r>
        <w:t xml:space="preserve"> that will allow you to understand how many days each agent needs to </w:t>
      </w:r>
      <w:proofErr w:type="spellStart"/>
      <w:r>
        <w:t>encash</w:t>
      </w:r>
      <w:proofErr w:type="spellEnd"/>
      <w:r>
        <w:t xml:space="preserve"> the beneficiaries allocated to</w:t>
      </w:r>
      <w:r w:rsidR="00432C28">
        <w:t xml:space="preserve"> it</w:t>
      </w:r>
      <w:r>
        <w:t xml:space="preserve">. This will allow you to fill out </w:t>
      </w:r>
      <w:r w:rsidR="00432C28">
        <w:t xml:space="preserve">each </w:t>
      </w:r>
      <w:r>
        <w:t>agent</w:t>
      </w:r>
      <w:r w:rsidR="00432C28">
        <w:t>’s</w:t>
      </w:r>
      <w:r>
        <w:t xml:space="preserve"> mobilization plan template, with training and encashment dates, and </w:t>
      </w:r>
      <w:r>
        <w:rPr>
          <w:color w:val="000000"/>
        </w:rPr>
        <w:t xml:space="preserve">the encashment plan template, with detailed information about </w:t>
      </w:r>
      <w:r w:rsidR="00432C28">
        <w:rPr>
          <w:color w:val="000000"/>
        </w:rPr>
        <w:t xml:space="preserve">the </w:t>
      </w:r>
      <w:r>
        <w:rPr>
          <w:color w:val="000000"/>
        </w:rPr>
        <w:t>number</w:t>
      </w:r>
      <w:r w:rsidR="00432C28">
        <w:rPr>
          <w:color w:val="000000"/>
        </w:rPr>
        <w:t>s</w:t>
      </w:r>
      <w:r>
        <w:rPr>
          <w:color w:val="000000"/>
        </w:rPr>
        <w:t xml:space="preserve"> of households, </w:t>
      </w:r>
      <w:r w:rsidR="00432C28">
        <w:rPr>
          <w:color w:val="000000"/>
        </w:rPr>
        <w:t xml:space="preserve">the </w:t>
      </w:r>
      <w:r>
        <w:rPr>
          <w:color w:val="000000"/>
        </w:rPr>
        <w:t xml:space="preserve">total amount to be </w:t>
      </w:r>
      <w:proofErr w:type="spellStart"/>
      <w:r>
        <w:rPr>
          <w:color w:val="000000"/>
        </w:rPr>
        <w:t>encashed</w:t>
      </w:r>
      <w:proofErr w:type="spellEnd"/>
      <w:r>
        <w:rPr>
          <w:color w:val="000000"/>
        </w:rPr>
        <w:t xml:space="preserve"> and</w:t>
      </w:r>
      <w:r w:rsidR="00432C28">
        <w:rPr>
          <w:color w:val="000000"/>
        </w:rPr>
        <w:t xml:space="preserve"> the</w:t>
      </w:r>
      <w:r>
        <w:rPr>
          <w:color w:val="000000"/>
        </w:rPr>
        <w:t xml:space="preserve"> time</w:t>
      </w:r>
      <w:r w:rsidR="00432C28">
        <w:rPr>
          <w:color w:val="000000"/>
        </w:rPr>
        <w:t xml:space="preserve"> </w:t>
      </w:r>
      <w:r>
        <w:rPr>
          <w:color w:val="000000"/>
        </w:rPr>
        <w:t xml:space="preserve">line for each village. This detailed encashment plan </w:t>
      </w:r>
      <w:r w:rsidRPr="00DA703F">
        <w:rPr>
          <w:color w:val="000000"/>
          <w:lang w:eastAsia="it-IT"/>
        </w:rPr>
        <w:t xml:space="preserve">is suitable </w:t>
      </w:r>
      <w:r>
        <w:rPr>
          <w:color w:val="000000"/>
          <w:lang w:eastAsia="it-IT"/>
        </w:rPr>
        <w:t>for</w:t>
      </w:r>
      <w:r w:rsidRPr="00DA703F">
        <w:rPr>
          <w:color w:val="000000"/>
          <w:lang w:eastAsia="it-IT"/>
        </w:rPr>
        <w:t xml:space="preserve"> large-scale distributions, involving multi</w:t>
      </w:r>
      <w:r w:rsidR="00432C28">
        <w:rPr>
          <w:color w:val="000000"/>
          <w:lang w:eastAsia="it-IT"/>
        </w:rPr>
        <w:t xml:space="preserve">ple </w:t>
      </w:r>
      <w:r w:rsidRPr="00DA703F">
        <w:rPr>
          <w:color w:val="000000"/>
          <w:lang w:eastAsia="it-IT"/>
        </w:rPr>
        <w:t>locations and several communities. You</w:t>
      </w:r>
      <w:r w:rsidR="00432C28">
        <w:rPr>
          <w:color w:val="000000"/>
          <w:lang w:eastAsia="it-IT"/>
        </w:rPr>
        <w:t xml:space="preserve"> can use it to coordinate with Logistics, Finance, HR, S</w:t>
      </w:r>
      <w:r w:rsidRPr="00DA703F">
        <w:rPr>
          <w:color w:val="000000"/>
          <w:lang w:eastAsia="it-IT"/>
        </w:rPr>
        <w:t xml:space="preserve">ecurity and, if possible, </w:t>
      </w:r>
      <w:r>
        <w:rPr>
          <w:color w:val="000000"/>
          <w:lang w:eastAsia="it-IT"/>
        </w:rPr>
        <w:t>local authorities.</w:t>
      </w:r>
    </w:p>
    <w:p w14:paraId="1A3D494C" w14:textId="77777777" w:rsidR="00AB1275" w:rsidRPr="002D2351" w:rsidRDefault="00D27308" w:rsidP="005255BE">
      <w:pPr>
        <w:pStyle w:val="Heading3"/>
      </w:pPr>
      <w:r w:rsidRPr="002D2351">
        <w:t>Encashment implementation</w:t>
      </w:r>
    </w:p>
    <w:p w14:paraId="3C319DF6" w14:textId="1AD9514B" w:rsidR="004F4060" w:rsidRDefault="00D27308" w:rsidP="005255BE">
      <w:r>
        <w:t xml:space="preserve">The encashment process may vary depending on the delivery mechanism. Ideally you should find </w:t>
      </w:r>
      <w:r w:rsidRPr="00DA703F">
        <w:t xml:space="preserve">detailed internal procedures for encashment implementation through different </w:t>
      </w:r>
      <w:r>
        <w:t>delivery mechanisms and types of service provider in your age</w:t>
      </w:r>
      <w:r w:rsidR="00432C28">
        <w:t>ncy’s SOPs.</w:t>
      </w:r>
    </w:p>
    <w:p w14:paraId="5685BD6F" w14:textId="2BD583E7" w:rsidR="00AB1275" w:rsidRPr="005255BE" w:rsidRDefault="00D27308" w:rsidP="005255BE">
      <w:r w:rsidRPr="00DA703F">
        <w:t>In general terms, any enca</w:t>
      </w:r>
      <w:r w:rsidR="00432C28">
        <w:t xml:space="preserve">shment implementation is kicked </w:t>
      </w:r>
      <w:r w:rsidRPr="00DA703F">
        <w:t xml:space="preserve">off with a </w:t>
      </w:r>
      <w:r w:rsidRPr="004F4060">
        <w:t xml:space="preserve">cash transfer order, </w:t>
      </w:r>
      <w:r w:rsidR="00466836">
        <w:t>which communicates</w:t>
      </w:r>
      <w:r w:rsidRPr="00DA703F">
        <w:t xml:space="preserve"> and </w:t>
      </w:r>
      <w:r w:rsidR="00466836">
        <w:t>authorizes</w:t>
      </w:r>
      <w:r w:rsidRPr="00DA703F">
        <w:t xml:space="preserve"> the financial service provider to distr</w:t>
      </w:r>
      <w:r w:rsidR="00466836">
        <w:t xml:space="preserve">ibute funds on behalf of the Red Cross </w:t>
      </w:r>
      <w:r w:rsidRPr="00DA703F">
        <w:t>R</w:t>
      </w:r>
      <w:r w:rsidR="00466836">
        <w:t xml:space="preserve">ed </w:t>
      </w:r>
      <w:r w:rsidRPr="00DA703F">
        <w:t>C</w:t>
      </w:r>
      <w:r w:rsidR="00466836">
        <w:t>rescent</w:t>
      </w:r>
      <w:r w:rsidRPr="00DA703F">
        <w:t xml:space="preserve">. The expected encashment point or agent may need to be included </w:t>
      </w:r>
      <w:r w:rsidR="00BB6924" w:rsidRPr="00DA703F">
        <w:t xml:space="preserve">also </w:t>
      </w:r>
      <w:r w:rsidRPr="00DA703F">
        <w:t>if the document is expected to inform the service provider</w:t>
      </w:r>
      <w:r>
        <w:t xml:space="preserve"> about</w:t>
      </w:r>
      <w:r w:rsidRPr="00DA703F">
        <w:t xml:space="preserve"> the planning process.</w:t>
      </w:r>
      <w:r>
        <w:t xml:space="preserve"> The financial service provider may </w:t>
      </w:r>
      <w:r w:rsidRPr="005255BE">
        <w:t>supply its cash transfer order template. Otherwise, you can adapt the one made available in the sub-step tools.</w:t>
      </w:r>
      <w:r w:rsidR="00BB6924" w:rsidRPr="005255BE">
        <w:t xml:space="preserve"> </w:t>
      </w:r>
    </w:p>
    <w:p w14:paraId="63C127B5" w14:textId="60F9C4DA" w:rsidR="00AB1275" w:rsidRPr="005255BE" w:rsidRDefault="00D27308" w:rsidP="005255BE">
      <w:r w:rsidRPr="005255BE">
        <w:t>You should expect to receive reports from the financial service provider on a regular basis, sometimes daily, showing the status of the individual cash grants. Reports shou</w:t>
      </w:r>
      <w:r w:rsidR="00BB6924" w:rsidRPr="005255BE">
        <w:t>ld be in a contractually agreed-</w:t>
      </w:r>
      <w:r w:rsidRPr="005255BE">
        <w:t>upon format. Among the sub-step tools you will find an example of activity report.</w:t>
      </w:r>
    </w:p>
    <w:p w14:paraId="041D4989" w14:textId="752A0B97" w:rsidR="00AB1275" w:rsidRPr="005255BE" w:rsidRDefault="00D27308" w:rsidP="005255BE">
      <w:r w:rsidRPr="005255BE">
        <w:lastRenderedPageBreak/>
        <w:t xml:space="preserve">When appropriate, especially when the agency is </w:t>
      </w:r>
      <w:proofErr w:type="spellStart"/>
      <w:r w:rsidRPr="005255BE">
        <w:t>encashing</w:t>
      </w:r>
      <w:proofErr w:type="spellEnd"/>
      <w:r w:rsidRPr="005255BE">
        <w:t xml:space="preserve"> beneficiaries directly, you can produce and circulate internal distribution reports</w:t>
      </w:r>
      <w:r w:rsidR="00BB6924" w:rsidRPr="005255BE">
        <w:t xml:space="preserve"> also</w:t>
      </w:r>
      <w:r w:rsidRPr="005255BE">
        <w:t>. The sub-step tools include an encashment report template. You can use it to</w:t>
      </w:r>
      <w:r w:rsidR="00BB6924" w:rsidRPr="005255BE">
        <w:t xml:space="preserve"> obtain</w:t>
      </w:r>
      <w:r w:rsidRPr="005255BE">
        <w:t xml:space="preserve"> a quick overview of the cash distributed and the number of beneficiaries served.</w:t>
      </w:r>
    </w:p>
    <w:p w14:paraId="729ACD21" w14:textId="77777777" w:rsidR="00AB1275" w:rsidRPr="002D2351" w:rsidRDefault="00D27308" w:rsidP="005255BE">
      <w:pPr>
        <w:pStyle w:val="Heading3"/>
      </w:pPr>
      <w:r w:rsidRPr="002D2351">
        <w:t>Encashment close out</w:t>
      </w:r>
    </w:p>
    <w:p w14:paraId="37BC6C51" w14:textId="75213D77" w:rsidR="0082053B" w:rsidRDefault="00D27308" w:rsidP="005255BE">
      <w:pPr>
        <w:spacing w:after="360"/>
      </w:pPr>
      <w:r w:rsidRPr="00DA703F">
        <w:t>Reconciliation of funds should be</w:t>
      </w:r>
      <w:r w:rsidR="00926F3A">
        <w:t xml:space="preserve"> carried out</w:t>
      </w:r>
      <w:r w:rsidRPr="00DA703F">
        <w:t xml:space="preserve"> regularly throughout the encashment period. At the end of the project, Finance should complete a final reconciliation of funds. All accounts set up for the cash transfer </w:t>
      </w:r>
      <w:proofErr w:type="spellStart"/>
      <w:r w:rsidRPr="00DA703F">
        <w:t>programme</w:t>
      </w:r>
      <w:proofErr w:type="spellEnd"/>
      <w:r w:rsidRPr="00DA703F">
        <w:t xml:space="preserve"> encashment should be balanced and reconciled. Any remaining funds should be returned by the financial service provider, and the account(s) closed. All documents, paper and electronic, used for processing and implementing the cash transfers should </w:t>
      </w:r>
      <w:r w:rsidR="00926F3A">
        <w:t>be kept according to the organiz</w:t>
      </w:r>
      <w:r w:rsidRPr="00DA703F">
        <w:t>ation</w:t>
      </w:r>
      <w:r w:rsidR="00926F3A">
        <w:t>’s</w:t>
      </w:r>
      <w:r w:rsidRPr="00DA703F">
        <w:t xml:space="preserve"> record retention policies.</w:t>
      </w:r>
    </w:p>
    <w:tbl>
      <w:tblPr>
        <w:tblStyle w:val="TableGray"/>
        <w:tblW w:w="0" w:type="auto"/>
        <w:tblLook w:val="04A0" w:firstRow="1" w:lastRow="0" w:firstColumn="1" w:lastColumn="0" w:noHBand="0" w:noVBand="1"/>
      </w:tblPr>
      <w:tblGrid>
        <w:gridCol w:w="9848"/>
      </w:tblGrid>
      <w:tr w:rsidR="005255BE" w:rsidRPr="00A449C7" w14:paraId="3FDDE400" w14:textId="77777777" w:rsidTr="005255BE">
        <w:tc>
          <w:tcPr>
            <w:tcW w:w="9848" w:type="dxa"/>
          </w:tcPr>
          <w:p w14:paraId="512FD9AD" w14:textId="77777777" w:rsidR="005255BE" w:rsidRPr="00A449C7" w:rsidRDefault="005255BE" w:rsidP="005255BE">
            <w:pPr>
              <w:pStyle w:val="RefTitre"/>
              <w:keepNext/>
              <w:keepLines/>
              <w:rPr>
                <w:rFonts w:cs="Arial"/>
                <w:sz w:val="20"/>
                <w:szCs w:val="20"/>
              </w:rPr>
            </w:pPr>
            <w:r w:rsidRPr="00A449C7">
              <w:rPr>
                <w:rFonts w:cs="Arial"/>
                <w:sz w:val="20"/>
                <w:szCs w:val="20"/>
              </w:rPr>
              <w:t>REFERENCE DOCUMENTS</w:t>
            </w:r>
          </w:p>
          <w:p w14:paraId="33BEAA13" w14:textId="0691C061" w:rsidR="005255BE" w:rsidRPr="00A449C7" w:rsidRDefault="005255BE" w:rsidP="005255BE">
            <w:pPr>
              <w:pStyle w:val="RefItem1"/>
              <w:keepNext/>
              <w:keepLines/>
              <w:rPr>
                <w:rFonts w:cs="Arial"/>
                <w:szCs w:val="20"/>
              </w:rPr>
            </w:pPr>
            <w:r w:rsidRPr="00A449C7">
              <w:rPr>
                <w:rFonts w:cs="Arial"/>
                <w:szCs w:val="20"/>
              </w:rPr>
              <w:t xml:space="preserve">E-transfers in emergencies: implementation support guidelines (2013) </w:t>
            </w:r>
            <w:proofErr w:type="spellStart"/>
            <w:r w:rsidRPr="00A449C7">
              <w:rPr>
                <w:rFonts w:cs="Arial"/>
                <w:szCs w:val="20"/>
              </w:rPr>
              <w:t>CaLP</w:t>
            </w:r>
            <w:proofErr w:type="spellEnd"/>
            <w:r w:rsidRPr="00A449C7">
              <w:rPr>
                <w:rFonts w:cs="Arial"/>
                <w:szCs w:val="20"/>
              </w:rPr>
              <w:t xml:space="preserve"> </w:t>
            </w:r>
            <w:r w:rsidR="00A449C7">
              <w:rPr>
                <w:rFonts w:cs="Arial"/>
                <w:szCs w:val="20"/>
              </w:rPr>
              <w:br/>
            </w:r>
            <w:hyperlink r:id="rId9" w:history="1">
              <w:r w:rsidRPr="00A449C7">
                <w:rPr>
                  <w:rStyle w:val="Hyperlink"/>
                  <w:rFonts w:cs="Arial"/>
                  <w:szCs w:val="20"/>
                </w:rPr>
                <w:t>http://www.cashlearning.org/resources/library/390-e-transfers-in-emergencies-implementation-support-guideline</w:t>
              </w:r>
            </w:hyperlink>
          </w:p>
          <w:p w14:paraId="348F67C8" w14:textId="208E0077" w:rsidR="005255BE" w:rsidRPr="00A449C7" w:rsidRDefault="005255BE" w:rsidP="005255BE">
            <w:pPr>
              <w:pStyle w:val="RefItem1"/>
              <w:keepNext/>
              <w:keepLines/>
              <w:rPr>
                <w:rFonts w:cs="Arial"/>
                <w:szCs w:val="20"/>
              </w:rPr>
            </w:pPr>
            <w:r w:rsidRPr="00A449C7">
              <w:rPr>
                <w:rFonts w:cs="Arial"/>
                <w:szCs w:val="20"/>
              </w:rPr>
              <w:t xml:space="preserve">Delivery Money: Cash Transfer Mechanisms in Emergencies (2010) </w:t>
            </w:r>
            <w:proofErr w:type="spellStart"/>
            <w:r w:rsidRPr="00A449C7">
              <w:rPr>
                <w:rFonts w:cs="Arial"/>
                <w:szCs w:val="20"/>
              </w:rPr>
              <w:t>CaLP</w:t>
            </w:r>
            <w:proofErr w:type="spellEnd"/>
            <w:r w:rsidRPr="00A449C7">
              <w:rPr>
                <w:rFonts w:cs="Arial"/>
                <w:szCs w:val="20"/>
              </w:rPr>
              <w:t xml:space="preserve"> </w:t>
            </w:r>
            <w:r w:rsidR="00A449C7">
              <w:rPr>
                <w:rFonts w:cs="Arial"/>
                <w:szCs w:val="20"/>
              </w:rPr>
              <w:br/>
            </w:r>
            <w:hyperlink r:id="rId10" w:history="1">
              <w:r w:rsidRPr="00A449C7">
                <w:rPr>
                  <w:rStyle w:val="Hyperlink"/>
                  <w:rFonts w:cs="Arial"/>
                  <w:szCs w:val="20"/>
                </w:rPr>
                <w:t>http://www.cashlearning.org/resources/library/6-delivering-money-cash-transfer-mechanisms-in-emergencies</w:t>
              </w:r>
            </w:hyperlink>
          </w:p>
          <w:p w14:paraId="4DD3ECF8" w14:textId="09B8136F" w:rsidR="005255BE" w:rsidRPr="00A449C7" w:rsidRDefault="005255BE" w:rsidP="005255BE">
            <w:pPr>
              <w:pStyle w:val="RefItem1"/>
              <w:keepNext/>
              <w:keepLines/>
              <w:rPr>
                <w:rFonts w:cs="Arial"/>
                <w:szCs w:val="20"/>
              </w:rPr>
            </w:pPr>
            <w:proofErr w:type="spellStart"/>
            <w:r w:rsidRPr="00A449C7">
              <w:rPr>
                <w:rFonts w:cs="Arial"/>
                <w:szCs w:val="20"/>
              </w:rPr>
              <w:t>CaLP</w:t>
            </w:r>
            <w:proofErr w:type="spellEnd"/>
            <w:r w:rsidRPr="00A449C7">
              <w:rPr>
                <w:rFonts w:cs="Arial"/>
                <w:szCs w:val="20"/>
              </w:rPr>
              <w:t xml:space="preserve"> e-payments in CTP. A quick information sheet. </w:t>
            </w:r>
            <w:r w:rsidRPr="00A449C7">
              <w:rPr>
                <w:rFonts w:cs="Arial"/>
                <w:szCs w:val="20"/>
              </w:rPr>
              <w:br/>
            </w:r>
            <w:hyperlink r:id="rId11" w:history="1">
              <w:r w:rsidRPr="00A449C7">
                <w:rPr>
                  <w:rStyle w:val="Hyperlink"/>
                  <w:rFonts w:cs="Arial"/>
                  <w:szCs w:val="20"/>
                </w:rPr>
                <w:t>http://www.cashlearning.org/resources/library/287-e-payments-in-cash-transfer-programming-quick-tool</w:t>
              </w:r>
            </w:hyperlink>
          </w:p>
          <w:p w14:paraId="5636C03B" w14:textId="1CDCAAB7" w:rsidR="005255BE" w:rsidRPr="00A449C7" w:rsidRDefault="005255BE" w:rsidP="005255BE">
            <w:pPr>
              <w:pStyle w:val="RefItem1"/>
              <w:keepNext/>
              <w:keepLines/>
              <w:rPr>
                <w:rFonts w:cs="Arial"/>
                <w:szCs w:val="20"/>
              </w:rPr>
            </w:pPr>
            <w:r w:rsidRPr="00A449C7">
              <w:rPr>
                <w:rFonts w:cs="Arial"/>
                <w:szCs w:val="20"/>
              </w:rPr>
              <w:t xml:space="preserve">A quick delivery guide: </w:t>
            </w:r>
            <w:proofErr w:type="spellStart"/>
            <w:r w:rsidRPr="00A449C7">
              <w:rPr>
                <w:rFonts w:cs="Arial"/>
                <w:szCs w:val="20"/>
              </w:rPr>
              <w:t>Cheques</w:t>
            </w:r>
            <w:proofErr w:type="spellEnd"/>
            <w:r w:rsidRPr="00A449C7">
              <w:rPr>
                <w:rFonts w:cs="Arial"/>
                <w:szCs w:val="20"/>
              </w:rPr>
              <w:t xml:space="preserve"> (2011) </w:t>
            </w:r>
            <w:proofErr w:type="spellStart"/>
            <w:r w:rsidRPr="00A449C7">
              <w:rPr>
                <w:rFonts w:cs="Arial"/>
                <w:szCs w:val="20"/>
              </w:rPr>
              <w:t>CaLP</w:t>
            </w:r>
            <w:proofErr w:type="spellEnd"/>
            <w:r w:rsidR="00A449C7" w:rsidRPr="00A449C7">
              <w:rPr>
                <w:rFonts w:cs="Arial"/>
                <w:szCs w:val="20"/>
              </w:rPr>
              <w:br/>
            </w:r>
            <w:hyperlink r:id="rId12" w:history="1">
              <w:r w:rsidRPr="00A449C7">
                <w:rPr>
                  <w:rStyle w:val="Hyperlink"/>
                  <w:rFonts w:cs="Arial"/>
                  <w:szCs w:val="20"/>
                </w:rPr>
                <w:t>http://www.cashlearning.org/resources/library/22-cheques---a-quick-delivery-guide-screen-version</w:t>
              </w:r>
            </w:hyperlink>
          </w:p>
          <w:p w14:paraId="0D7984FB" w14:textId="588DF729" w:rsidR="005255BE" w:rsidRPr="00A449C7" w:rsidRDefault="005255BE" w:rsidP="005255BE">
            <w:pPr>
              <w:pStyle w:val="RefItem1"/>
              <w:keepNext/>
              <w:keepLines/>
              <w:rPr>
                <w:rFonts w:cs="Arial"/>
                <w:szCs w:val="20"/>
              </w:rPr>
            </w:pPr>
            <w:r w:rsidRPr="00A449C7">
              <w:rPr>
                <w:rFonts w:cs="Arial"/>
                <w:szCs w:val="20"/>
              </w:rPr>
              <w:t xml:space="preserve">A quick delivery guide: Cards (2011) </w:t>
            </w:r>
            <w:proofErr w:type="spellStart"/>
            <w:r w:rsidRPr="00A449C7">
              <w:rPr>
                <w:rFonts w:cs="Arial"/>
                <w:szCs w:val="20"/>
              </w:rPr>
              <w:t>CaLP</w:t>
            </w:r>
            <w:proofErr w:type="spellEnd"/>
            <w:r w:rsidRPr="00A449C7">
              <w:rPr>
                <w:rFonts w:cs="Arial"/>
                <w:szCs w:val="20"/>
              </w:rPr>
              <w:t xml:space="preserve"> </w:t>
            </w:r>
            <w:r w:rsidR="00A449C7" w:rsidRPr="00A449C7">
              <w:rPr>
                <w:rFonts w:cs="Arial"/>
                <w:szCs w:val="20"/>
              </w:rPr>
              <w:br/>
            </w:r>
            <w:hyperlink r:id="rId13" w:history="1">
              <w:r w:rsidRPr="00A449C7">
                <w:rPr>
                  <w:rStyle w:val="Hyperlink"/>
                  <w:rFonts w:cs="Arial"/>
                  <w:szCs w:val="20"/>
                </w:rPr>
                <w:t>http://www.cashlearning.org/resources/library/235-delivering-cash-through-cards---a-quick-delivery-guide-booklet</w:t>
              </w:r>
            </w:hyperlink>
          </w:p>
          <w:p w14:paraId="09EF5A18" w14:textId="594FC113" w:rsidR="005255BE" w:rsidRPr="00A449C7" w:rsidRDefault="005255BE" w:rsidP="005255BE">
            <w:pPr>
              <w:pStyle w:val="RefItem1"/>
              <w:keepNext/>
              <w:keepLines/>
              <w:rPr>
                <w:rFonts w:cs="Arial"/>
                <w:szCs w:val="20"/>
              </w:rPr>
            </w:pPr>
            <w:r w:rsidRPr="00A449C7">
              <w:rPr>
                <w:rFonts w:cs="Arial"/>
                <w:szCs w:val="20"/>
              </w:rPr>
              <w:t xml:space="preserve">A quick delivery guide: Direct Cash (2011) </w:t>
            </w:r>
            <w:proofErr w:type="spellStart"/>
            <w:r w:rsidRPr="00A449C7">
              <w:rPr>
                <w:rFonts w:cs="Arial"/>
                <w:szCs w:val="20"/>
              </w:rPr>
              <w:t>CaLP</w:t>
            </w:r>
            <w:proofErr w:type="spellEnd"/>
            <w:r w:rsidRPr="00A449C7">
              <w:rPr>
                <w:rFonts w:cs="Arial"/>
                <w:szCs w:val="20"/>
              </w:rPr>
              <w:t xml:space="preserve"> </w:t>
            </w:r>
            <w:r w:rsidR="00A449C7" w:rsidRPr="00A449C7">
              <w:rPr>
                <w:rFonts w:cs="Arial"/>
                <w:szCs w:val="20"/>
              </w:rPr>
              <w:br/>
            </w:r>
            <w:hyperlink r:id="rId14" w:history="1">
              <w:r w:rsidRPr="00A449C7">
                <w:rPr>
                  <w:rStyle w:val="Hyperlink"/>
                  <w:rFonts w:cs="Arial"/>
                  <w:szCs w:val="20"/>
                </w:rPr>
                <w:t>http://www.cashlearning.org/resources/library/24-direct-cash---a-quick-delivery-guide-screen-version</w:t>
              </w:r>
            </w:hyperlink>
          </w:p>
          <w:p w14:paraId="3E5FF414" w14:textId="63AEE64B" w:rsidR="005255BE" w:rsidRPr="00A449C7" w:rsidRDefault="005255BE" w:rsidP="005255BE">
            <w:pPr>
              <w:pStyle w:val="RefItem1"/>
              <w:keepNext/>
              <w:keepLines/>
              <w:rPr>
                <w:rFonts w:cs="Arial"/>
                <w:szCs w:val="20"/>
              </w:rPr>
            </w:pPr>
            <w:r w:rsidRPr="00A449C7">
              <w:rPr>
                <w:rFonts w:cs="Arial"/>
                <w:szCs w:val="20"/>
              </w:rPr>
              <w:t xml:space="preserve">A quick delivery guide: Vouchers (2011) </w:t>
            </w:r>
            <w:proofErr w:type="spellStart"/>
            <w:r w:rsidRPr="00A449C7">
              <w:rPr>
                <w:rFonts w:cs="Arial"/>
                <w:szCs w:val="20"/>
              </w:rPr>
              <w:t>CaLP</w:t>
            </w:r>
            <w:proofErr w:type="spellEnd"/>
            <w:r w:rsidRPr="00A449C7">
              <w:rPr>
                <w:rFonts w:cs="Arial"/>
                <w:szCs w:val="20"/>
              </w:rPr>
              <w:t xml:space="preserve"> </w:t>
            </w:r>
            <w:r w:rsidR="00A449C7" w:rsidRPr="00A449C7">
              <w:rPr>
                <w:rFonts w:cs="Arial"/>
                <w:szCs w:val="20"/>
              </w:rPr>
              <w:br/>
            </w:r>
            <w:hyperlink r:id="rId15" w:history="1">
              <w:r w:rsidRPr="00A449C7">
                <w:rPr>
                  <w:rStyle w:val="Hyperlink"/>
                  <w:rFonts w:cs="Arial"/>
                  <w:szCs w:val="20"/>
                </w:rPr>
                <w:t>http://www.cashlearning.org/resources/library/25-vouchers---a-quick-delivery-guide-booklet-version</w:t>
              </w:r>
            </w:hyperlink>
          </w:p>
          <w:p w14:paraId="29F53ACF" w14:textId="47C5B6C5" w:rsidR="005255BE" w:rsidRPr="00A449C7" w:rsidRDefault="005255BE" w:rsidP="005255BE">
            <w:pPr>
              <w:pStyle w:val="RefItem1"/>
              <w:keepNext/>
              <w:keepLines/>
              <w:rPr>
                <w:rFonts w:cs="Arial"/>
                <w:szCs w:val="20"/>
              </w:rPr>
            </w:pPr>
            <w:r w:rsidRPr="00A449C7">
              <w:rPr>
                <w:rFonts w:cs="Arial"/>
                <w:szCs w:val="20"/>
              </w:rPr>
              <w:t xml:space="preserve">A quick delivery guide: Voucher fairs (2011) </w:t>
            </w:r>
            <w:proofErr w:type="spellStart"/>
            <w:r w:rsidRPr="00A449C7">
              <w:rPr>
                <w:rFonts w:cs="Arial"/>
                <w:szCs w:val="20"/>
              </w:rPr>
              <w:t>CaLP</w:t>
            </w:r>
            <w:proofErr w:type="spellEnd"/>
            <w:r w:rsidRPr="00A449C7">
              <w:rPr>
                <w:rFonts w:cs="Arial"/>
                <w:szCs w:val="20"/>
              </w:rPr>
              <w:t xml:space="preserve"> </w:t>
            </w:r>
            <w:r w:rsidR="00A449C7" w:rsidRPr="00A449C7">
              <w:rPr>
                <w:rFonts w:cs="Arial"/>
                <w:szCs w:val="20"/>
              </w:rPr>
              <w:br/>
            </w:r>
            <w:hyperlink r:id="rId16" w:history="1">
              <w:r w:rsidRPr="00A449C7">
                <w:rPr>
                  <w:rStyle w:val="Hyperlink"/>
                  <w:rFonts w:eastAsia="Times New Roman" w:cs="Arial"/>
                  <w:szCs w:val="20"/>
                </w:rPr>
                <w:t>http://www.cashlearning.org/resources/library/217-voucher-fairs-a-quick-delivery-guide-booklet-version</w:t>
              </w:r>
            </w:hyperlink>
          </w:p>
        </w:tc>
      </w:tr>
    </w:tbl>
    <w:p w14:paraId="1707D2A8" w14:textId="77777777" w:rsidR="00537B1F" w:rsidRPr="00A449C7" w:rsidRDefault="003C6AF5" w:rsidP="005255BE">
      <w:pPr>
        <w:rPr>
          <w:rFonts w:cs="Arial"/>
        </w:rPr>
      </w:pPr>
    </w:p>
    <w:sectPr w:rsidR="00537B1F" w:rsidRPr="00A449C7" w:rsidSect="005255BE">
      <w:headerReference w:type="default" r:id="rId17"/>
      <w:footerReference w:type="even" r:id="rId18"/>
      <w:footerReference w:type="default" r:id="rId19"/>
      <w:headerReference w:type="first" r:id="rId20"/>
      <w:footerReference w:type="first" r:id="rId21"/>
      <w:pgSz w:w="11900" w:h="16840"/>
      <w:pgMar w:top="1134" w:right="1134" w:bottom="1134" w:left="1134" w:header="708" w:footer="708"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072D5C" w15:done="0"/>
  <w15:commentEx w15:paraId="1C847797" w15:done="0"/>
  <w15:commentEx w15:paraId="2B01978B" w15:done="0"/>
  <w15:commentEx w15:paraId="18505C36" w15:done="0"/>
  <w15:commentEx w15:paraId="7E3BC46D" w15:done="0"/>
  <w15:commentEx w15:paraId="07E5528A" w15:done="0"/>
  <w15:commentEx w15:paraId="186D943E" w15:done="0"/>
  <w15:commentEx w15:paraId="2E522477" w15:done="0"/>
  <w15:commentEx w15:paraId="6090534D" w15:done="0"/>
  <w15:commentEx w15:paraId="63D04F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F989F" w14:textId="77777777" w:rsidR="003C6AF5" w:rsidRDefault="003C6AF5">
      <w:r>
        <w:separator/>
      </w:r>
    </w:p>
  </w:endnote>
  <w:endnote w:type="continuationSeparator" w:id="0">
    <w:p w14:paraId="122AA8E5" w14:textId="77777777" w:rsidR="003C6AF5" w:rsidRDefault="003C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437A" w14:textId="77777777" w:rsidR="00936457" w:rsidRDefault="00936457"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F7EA1" w14:textId="77777777" w:rsidR="00936457" w:rsidRDefault="00936457" w:rsidP="009364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34E04" w14:textId="77777777" w:rsidR="00091AE5" w:rsidRPr="00B45C74" w:rsidRDefault="00091AE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C90A9B">
      <w:rPr>
        <w:b/>
        <w:noProof/>
        <w:color w:val="808080" w:themeColor="background1" w:themeShade="80"/>
        <w:sz w:val="18"/>
        <w:szCs w:val="18"/>
      </w:rPr>
      <w:t>3</w:t>
    </w:r>
    <w:r w:rsidRPr="00B45C74">
      <w:rPr>
        <w:b/>
        <w:color w:val="808080" w:themeColor="background1" w:themeShade="80"/>
        <w:sz w:val="18"/>
        <w:szCs w:val="18"/>
      </w:rPr>
      <w:fldChar w:fldCharType="end"/>
    </w:r>
  </w:p>
  <w:p w14:paraId="0BD4ABEC" w14:textId="2D91FAB2" w:rsidR="00091AE5" w:rsidRPr="003A3500" w:rsidRDefault="00091AE5" w:rsidP="00ED1B2B">
    <w:pPr>
      <w:pStyle w:val="Footer"/>
    </w:pPr>
    <w:r w:rsidRPr="00107E15">
      <w:rPr>
        <w:b/>
      </w:rPr>
      <w:t xml:space="preserve">Module </w:t>
    </w:r>
    <w:r>
      <w:rPr>
        <w:b/>
      </w:rPr>
      <w:t>4</w:t>
    </w:r>
    <w:r w:rsidRPr="00107E15">
      <w:rPr>
        <w:b/>
      </w:rPr>
      <w:t>.</w:t>
    </w:r>
    <w:r w:rsidRPr="00107E15">
      <w:t xml:space="preserve"> Step </w:t>
    </w:r>
    <w:r>
      <w:t>5</w:t>
    </w:r>
    <w:r w:rsidRPr="00107E15">
      <w:t>.</w:t>
    </w:r>
    <w:r>
      <w:t xml:space="preserve"> </w:t>
    </w:r>
    <w:r w:rsidR="005A73DE" w:rsidRPr="00107E15">
      <w:rPr>
        <w:i/>
      </w:rPr>
      <w:fldChar w:fldCharType="begin"/>
    </w:r>
    <w:r w:rsidR="005A73DE" w:rsidRPr="00107E15">
      <w:rPr>
        <w:i/>
      </w:rPr>
      <w:instrText xml:space="preserve"> STYLEREF  H1 \t  \* MERGEFORMAT </w:instrText>
    </w:r>
    <w:r w:rsidR="005A73DE" w:rsidRPr="00107E15">
      <w:rPr>
        <w:i/>
      </w:rPr>
      <w:fldChar w:fldCharType="end"/>
    </w:r>
    <w:r w:rsidR="005A73DE" w:rsidRPr="00107E15">
      <w:rPr>
        <w:i/>
      </w:rPr>
      <w:fldChar w:fldCharType="begin"/>
    </w:r>
    <w:r w:rsidR="005A73DE" w:rsidRPr="00107E15">
      <w:rPr>
        <w:i/>
      </w:rPr>
      <w:instrText xml:space="preserve"> STYLEREF  H1 \t  \* MERGEFORMAT </w:instrText>
    </w:r>
    <w:r w:rsidR="005A73DE" w:rsidRPr="00107E15">
      <w:rPr>
        <w:i/>
      </w:rPr>
      <w:fldChar w:fldCharType="end"/>
    </w:r>
    <w:r w:rsidR="005A73DE">
      <w:t>Roadmap for distribution and encashment</w:t>
    </w:r>
    <w:r w:rsidRPr="00107E15">
      <w:rPr>
        <w:i/>
      </w:rPr>
      <w:fldChar w:fldCharType="begin"/>
    </w:r>
    <w:r w:rsidRPr="00107E15">
      <w:rPr>
        <w:i/>
      </w:rPr>
      <w:instrText xml:space="preserve"> STYLEREF  H1 \t  \* MERGEFORMAT </w:instrText>
    </w:r>
    <w:r w:rsidRPr="00107E1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77C9" w14:textId="77777777" w:rsidR="005255BE" w:rsidRPr="00B45C74" w:rsidRDefault="005255B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C90A9B">
      <w:rPr>
        <w:b/>
        <w:noProof/>
        <w:color w:val="808080" w:themeColor="background1" w:themeShade="80"/>
        <w:sz w:val="18"/>
        <w:szCs w:val="18"/>
      </w:rPr>
      <w:t>1</w:t>
    </w:r>
    <w:r w:rsidRPr="00B45C74">
      <w:rPr>
        <w:b/>
        <w:color w:val="808080" w:themeColor="background1" w:themeShade="80"/>
        <w:sz w:val="18"/>
        <w:szCs w:val="18"/>
      </w:rPr>
      <w:fldChar w:fldCharType="end"/>
    </w:r>
  </w:p>
  <w:p w14:paraId="68DE477D" w14:textId="4D0E0EBB" w:rsidR="005255BE" w:rsidRPr="003A3500" w:rsidRDefault="005255BE" w:rsidP="00ED1B2B">
    <w:pPr>
      <w:pStyle w:val="Footer"/>
    </w:pPr>
    <w:r w:rsidRPr="00107E15">
      <w:rPr>
        <w:b/>
      </w:rPr>
      <w:t xml:space="preserve">Module </w:t>
    </w:r>
    <w:r>
      <w:rPr>
        <w:b/>
      </w:rPr>
      <w:t>4</w:t>
    </w:r>
    <w:r w:rsidRPr="00107E15">
      <w:rPr>
        <w:b/>
      </w:rPr>
      <w:t>.</w:t>
    </w:r>
    <w:r w:rsidRPr="00107E15">
      <w:t xml:space="preserve"> Step </w:t>
    </w:r>
    <w:r>
      <w:t xml:space="preserve">5. </w:t>
    </w:r>
    <w:r w:rsidRPr="00107E15">
      <w:rPr>
        <w:i/>
      </w:rPr>
      <w:fldChar w:fldCharType="begin"/>
    </w:r>
    <w:r w:rsidRPr="00107E15">
      <w:rPr>
        <w:i/>
      </w:rPr>
      <w:instrText xml:space="preserve"> STYLEREF  H1 \t  \* MERGEFORMAT </w:instrText>
    </w:r>
    <w:r w:rsidRPr="00107E15">
      <w:rPr>
        <w:i/>
      </w:rPr>
      <w:fldChar w:fldCharType="separate"/>
    </w:r>
    <w:r w:rsidR="00C90A9B" w:rsidRPr="00C90A9B">
      <w:rPr>
        <w:bCs/>
        <w:noProof/>
      </w:rPr>
      <w:t>Roadmap for CTP distribution and encashment</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4F8E0" w14:textId="77777777" w:rsidR="003C6AF5" w:rsidRDefault="003C6AF5">
      <w:r>
        <w:separator/>
      </w:r>
    </w:p>
  </w:footnote>
  <w:footnote w:type="continuationSeparator" w:id="0">
    <w:p w14:paraId="16F06272" w14:textId="77777777" w:rsidR="003C6AF5" w:rsidRDefault="003C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F8CC" w14:textId="77777777" w:rsidR="005255BE" w:rsidRPr="00074036" w:rsidRDefault="005255BE"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92B8" w14:textId="77777777" w:rsidR="005255BE" w:rsidRDefault="005255BE" w:rsidP="00050617">
    <w:pPr>
      <w:pStyle w:val="Header1"/>
    </w:pPr>
    <w:r>
      <w:rPr>
        <w:noProof/>
        <w:lang w:val="en-CA" w:eastAsia="en-CA"/>
      </w:rPr>
      <w:drawing>
        <wp:anchor distT="0" distB="0" distL="114300" distR="114300" simplePos="0" relativeHeight="251660288" behindDoc="0" locked="0" layoutInCell="1" allowOverlap="1" wp14:anchorId="3E51FDBC" wp14:editId="6A7FF9D9">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583B6466" w14:textId="77777777" w:rsidR="005255BE" w:rsidRDefault="005255BE" w:rsidP="00050617">
    <w:pPr>
      <w:pStyle w:val="Header1"/>
    </w:pPr>
  </w:p>
  <w:p w14:paraId="798788CC" w14:textId="77777777" w:rsidR="005255BE" w:rsidRDefault="005255BE" w:rsidP="00CB38F7">
    <w:pPr>
      <w:pStyle w:val="Header"/>
      <w:rPr>
        <w:color w:val="DC281E"/>
        <w:sz w:val="24"/>
        <w:szCs w:val="24"/>
      </w:rPr>
    </w:pPr>
    <w:r>
      <w:rPr>
        <w:noProof/>
        <w:lang w:val="en-CA" w:eastAsia="en-CA"/>
      </w:rPr>
      <w:drawing>
        <wp:anchor distT="0" distB="0" distL="114300" distR="114300" simplePos="0" relativeHeight="251659264" behindDoc="0" locked="0" layoutInCell="1" allowOverlap="1" wp14:anchorId="4AA0F0E5" wp14:editId="1B464CB9">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5F9801F4" w14:textId="77777777" w:rsidR="005255BE" w:rsidRDefault="005255BE" w:rsidP="00C16D71">
    <w:pPr>
      <w:pStyle w:val="Header"/>
      <w:spacing w:line="240" w:lineRule="auto"/>
      <w:rPr>
        <w:b/>
        <w:color w:val="DC281E"/>
        <w:sz w:val="24"/>
        <w:szCs w:val="24"/>
      </w:rPr>
    </w:pPr>
  </w:p>
  <w:p w14:paraId="658FD39E" w14:textId="77777777" w:rsidR="005255BE" w:rsidRDefault="005255BE" w:rsidP="00C16D71">
    <w:pPr>
      <w:pStyle w:val="Header"/>
      <w:spacing w:line="240" w:lineRule="auto"/>
      <w:rPr>
        <w:b/>
        <w:color w:val="DC281E"/>
        <w:sz w:val="24"/>
        <w:szCs w:val="24"/>
      </w:rPr>
    </w:pPr>
  </w:p>
  <w:p w14:paraId="59B63667" w14:textId="77777777" w:rsidR="005255BE" w:rsidRPr="000B6130" w:rsidRDefault="005255BE" w:rsidP="00050617">
    <w:pPr>
      <w:pStyle w:val="Header1"/>
      <w:rPr>
        <w:color w:val="DC281E"/>
      </w:rPr>
    </w:pPr>
    <w:r w:rsidRPr="000B6130">
      <w:rPr>
        <w:color w:val="DC281E"/>
      </w:rPr>
      <w:t>Cash in Emergencies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3E0354"/>
    <w:lvl w:ilvl="0">
      <w:start w:val="1"/>
      <w:numFmt w:val="decimal"/>
      <w:lvlText w:val="%1."/>
      <w:lvlJc w:val="left"/>
      <w:pPr>
        <w:tabs>
          <w:tab w:val="num" w:pos="1492"/>
        </w:tabs>
        <w:ind w:left="1492" w:hanging="360"/>
      </w:pPr>
    </w:lvl>
  </w:abstractNum>
  <w:abstractNum w:abstractNumId="1">
    <w:nsid w:val="FFFFFF7D"/>
    <w:multiLevelType w:val="singleLevel"/>
    <w:tmpl w:val="3D704F9C"/>
    <w:lvl w:ilvl="0">
      <w:start w:val="1"/>
      <w:numFmt w:val="decimal"/>
      <w:lvlText w:val="%1."/>
      <w:lvlJc w:val="left"/>
      <w:pPr>
        <w:tabs>
          <w:tab w:val="num" w:pos="1209"/>
        </w:tabs>
        <w:ind w:left="1209" w:hanging="360"/>
      </w:pPr>
    </w:lvl>
  </w:abstractNum>
  <w:abstractNum w:abstractNumId="2">
    <w:nsid w:val="FFFFFF7E"/>
    <w:multiLevelType w:val="singleLevel"/>
    <w:tmpl w:val="C610E97E"/>
    <w:lvl w:ilvl="0">
      <w:start w:val="1"/>
      <w:numFmt w:val="decimal"/>
      <w:lvlText w:val="%1."/>
      <w:lvlJc w:val="left"/>
      <w:pPr>
        <w:tabs>
          <w:tab w:val="num" w:pos="926"/>
        </w:tabs>
        <w:ind w:left="926" w:hanging="360"/>
      </w:pPr>
    </w:lvl>
  </w:abstractNum>
  <w:abstractNum w:abstractNumId="3">
    <w:nsid w:val="FFFFFF7F"/>
    <w:multiLevelType w:val="singleLevel"/>
    <w:tmpl w:val="C3FE8722"/>
    <w:lvl w:ilvl="0">
      <w:start w:val="1"/>
      <w:numFmt w:val="decimal"/>
      <w:lvlText w:val="%1."/>
      <w:lvlJc w:val="left"/>
      <w:pPr>
        <w:tabs>
          <w:tab w:val="num" w:pos="643"/>
        </w:tabs>
        <w:ind w:left="643" w:hanging="360"/>
      </w:pPr>
    </w:lvl>
  </w:abstractNum>
  <w:abstractNum w:abstractNumId="4">
    <w:nsid w:val="FFFFFF80"/>
    <w:multiLevelType w:val="singleLevel"/>
    <w:tmpl w:val="518A6A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D63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F81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9A2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C68BE"/>
    <w:lvl w:ilvl="0">
      <w:start w:val="1"/>
      <w:numFmt w:val="decimal"/>
      <w:lvlText w:val="%1."/>
      <w:lvlJc w:val="left"/>
      <w:pPr>
        <w:tabs>
          <w:tab w:val="num" w:pos="360"/>
        </w:tabs>
        <w:ind w:left="360" w:hanging="360"/>
      </w:pPr>
    </w:lvl>
  </w:abstractNum>
  <w:abstractNum w:abstractNumId="9">
    <w:nsid w:val="FFFFFF89"/>
    <w:multiLevelType w:val="singleLevel"/>
    <w:tmpl w:val="77A0C2B2"/>
    <w:lvl w:ilvl="0">
      <w:start w:val="1"/>
      <w:numFmt w:val="bullet"/>
      <w:lvlText w:val=""/>
      <w:lvlJc w:val="left"/>
      <w:pPr>
        <w:tabs>
          <w:tab w:val="num" w:pos="360"/>
        </w:tabs>
        <w:ind w:left="360" w:hanging="360"/>
      </w:pPr>
      <w:rPr>
        <w:rFonts w:ascii="Symbol" w:hAnsi="Symbol" w:hint="default"/>
      </w:rPr>
    </w:lvl>
  </w:abstractNum>
  <w:abstractNum w:abstractNumId="1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2202E"/>
    <w:multiLevelType w:val="hybridMultilevel"/>
    <w:tmpl w:val="9F087486"/>
    <w:lvl w:ilvl="0" w:tplc="FFCE2EEA">
      <w:start w:val="1"/>
      <w:numFmt w:val="bullet"/>
      <w:lvlText w:val=""/>
      <w:lvlJc w:val="left"/>
      <w:pPr>
        <w:ind w:left="6" w:hanging="360"/>
      </w:pPr>
      <w:rPr>
        <w:rFonts w:ascii="Wingdings" w:hAnsi="Wingdings" w:hint="default"/>
      </w:rPr>
    </w:lvl>
    <w:lvl w:ilvl="1" w:tplc="04100003" w:tentative="1">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13">
    <w:nsid w:val="447205F4"/>
    <w:multiLevelType w:val="hybridMultilevel"/>
    <w:tmpl w:val="444A4B64"/>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5833B1"/>
    <w:multiLevelType w:val="hybridMultilevel"/>
    <w:tmpl w:val="90DA872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F6F51"/>
    <w:multiLevelType w:val="hybridMultilevel"/>
    <w:tmpl w:val="6CC42E1A"/>
    <w:lvl w:ilvl="0" w:tplc="3000D490">
      <w:start w:val="1"/>
      <w:numFmt w:val="bullet"/>
      <w:lvlText w:val=""/>
      <w:lvlJc w:val="left"/>
      <w:pPr>
        <w:ind w:left="413" w:hanging="360"/>
      </w:pPr>
      <w:rPr>
        <w:rFonts w:ascii="Wingdings" w:hAnsi="Wingdings"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0">
    <w:nsid w:val="73677DB1"/>
    <w:multiLevelType w:val="hybridMultilevel"/>
    <w:tmpl w:val="988E046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0"/>
  </w:num>
  <w:num w:numId="4">
    <w:abstractNumId w:val="19"/>
  </w:num>
  <w:num w:numId="5">
    <w:abstractNumId w:val="11"/>
  </w:num>
  <w:num w:numId="6">
    <w:abstractNumId w:val="12"/>
  </w:num>
  <w:num w:numId="7">
    <w:abstractNumId w:val="10"/>
  </w:num>
  <w:num w:numId="8">
    <w:abstractNumId w:val="15"/>
  </w:num>
  <w:num w:numId="9">
    <w:abstractNumId w:val="16"/>
  </w:num>
  <w:num w:numId="10">
    <w:abstractNumId w:val="18"/>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E5"/>
    <w:rsid w:val="000049E5"/>
    <w:rsid w:val="00041BA3"/>
    <w:rsid w:val="00091AE5"/>
    <w:rsid w:val="000B6130"/>
    <w:rsid w:val="000C0B74"/>
    <w:rsid w:val="0010453C"/>
    <w:rsid w:val="001B79A0"/>
    <w:rsid w:val="001D2A29"/>
    <w:rsid w:val="001E6D95"/>
    <w:rsid w:val="0024645E"/>
    <w:rsid w:val="00285496"/>
    <w:rsid w:val="00294635"/>
    <w:rsid w:val="00350E36"/>
    <w:rsid w:val="00391808"/>
    <w:rsid w:val="00395ABF"/>
    <w:rsid w:val="003C6AF5"/>
    <w:rsid w:val="003D6747"/>
    <w:rsid w:val="003F28E4"/>
    <w:rsid w:val="00432C28"/>
    <w:rsid w:val="00466836"/>
    <w:rsid w:val="00491177"/>
    <w:rsid w:val="004D09A5"/>
    <w:rsid w:val="005255BE"/>
    <w:rsid w:val="005A73DE"/>
    <w:rsid w:val="005D6300"/>
    <w:rsid w:val="005D7F72"/>
    <w:rsid w:val="005F7533"/>
    <w:rsid w:val="006475BB"/>
    <w:rsid w:val="006E095B"/>
    <w:rsid w:val="00702DD8"/>
    <w:rsid w:val="00741E19"/>
    <w:rsid w:val="007D71F8"/>
    <w:rsid w:val="007F4D5B"/>
    <w:rsid w:val="00803E06"/>
    <w:rsid w:val="008D6F66"/>
    <w:rsid w:val="008F619E"/>
    <w:rsid w:val="00926F3A"/>
    <w:rsid w:val="00936457"/>
    <w:rsid w:val="009644B0"/>
    <w:rsid w:val="00A449C7"/>
    <w:rsid w:val="00AE62F8"/>
    <w:rsid w:val="00BA04D7"/>
    <w:rsid w:val="00BB6924"/>
    <w:rsid w:val="00BF70E8"/>
    <w:rsid w:val="00C372F1"/>
    <w:rsid w:val="00C71234"/>
    <w:rsid w:val="00C90A9B"/>
    <w:rsid w:val="00CF2CB2"/>
    <w:rsid w:val="00CF48B2"/>
    <w:rsid w:val="00D27308"/>
    <w:rsid w:val="00E26E3D"/>
    <w:rsid w:val="00FA508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01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5255B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5255BE"/>
  </w:style>
  <w:style w:type="paragraph" w:styleId="Heading2">
    <w:name w:val="heading 2"/>
    <w:basedOn w:val="Normal"/>
    <w:next w:val="Normal"/>
    <w:link w:val="Heading2Char"/>
    <w:uiPriority w:val="9"/>
    <w:unhideWhenUsed/>
    <w:qFormat/>
    <w:rsid w:val="005255B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255B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55BE"/>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5255BE"/>
    <w:pPr>
      <w:spacing w:after="0"/>
    </w:pPr>
    <w:rPr>
      <w:sz w:val="16"/>
      <w:szCs w:val="22"/>
    </w:rPr>
  </w:style>
  <w:style w:type="character" w:customStyle="1" w:styleId="FootnoteTextChar">
    <w:name w:val="Footnote Text Char"/>
    <w:basedOn w:val="DefaultParagraphFont"/>
    <w:link w:val="FootnoteText"/>
    <w:uiPriority w:val="99"/>
    <w:rsid w:val="005255B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5255BE"/>
    <w:rPr>
      <w:vertAlign w:val="superscript"/>
    </w:rPr>
  </w:style>
  <w:style w:type="paragraph" w:styleId="Header">
    <w:name w:val="header"/>
    <w:basedOn w:val="Normal"/>
    <w:link w:val="HeaderChar"/>
    <w:uiPriority w:val="99"/>
    <w:unhideWhenUsed/>
    <w:rsid w:val="005255BE"/>
    <w:pPr>
      <w:spacing w:after="0" w:line="288" w:lineRule="auto"/>
      <w:jc w:val="left"/>
    </w:pPr>
    <w:rPr>
      <w:sz w:val="16"/>
    </w:rPr>
  </w:style>
  <w:style w:type="character" w:customStyle="1" w:styleId="HeaderChar">
    <w:name w:val="Header Char"/>
    <w:basedOn w:val="DefaultParagraphFont"/>
    <w:link w:val="Header"/>
    <w:uiPriority w:val="99"/>
    <w:rsid w:val="005255BE"/>
    <w:rPr>
      <w:rFonts w:ascii="Arial" w:eastAsiaTheme="minorEastAsia" w:hAnsi="Arial" w:cs="Times New Roman"/>
      <w:sz w:val="16"/>
      <w:szCs w:val="20"/>
    </w:rPr>
  </w:style>
  <w:style w:type="paragraph" w:styleId="Footer">
    <w:name w:val="footer"/>
    <w:basedOn w:val="Normal"/>
    <w:link w:val="FooterChar"/>
    <w:uiPriority w:val="99"/>
    <w:unhideWhenUsed/>
    <w:rsid w:val="005255BE"/>
    <w:pPr>
      <w:spacing w:after="0"/>
      <w:jc w:val="left"/>
    </w:pPr>
    <w:rPr>
      <w:sz w:val="16"/>
      <w:szCs w:val="18"/>
    </w:rPr>
  </w:style>
  <w:style w:type="character" w:customStyle="1" w:styleId="FooterChar">
    <w:name w:val="Footer Char"/>
    <w:basedOn w:val="DefaultParagraphFont"/>
    <w:link w:val="Footer"/>
    <w:uiPriority w:val="99"/>
    <w:rsid w:val="005255BE"/>
    <w:rPr>
      <w:rFonts w:ascii="Arial" w:eastAsiaTheme="minorEastAsia" w:hAnsi="Arial" w:cs="Times New Roman"/>
      <w:sz w:val="16"/>
      <w:szCs w:val="18"/>
    </w:rPr>
  </w:style>
  <w:style w:type="table" w:styleId="TableGrid">
    <w:name w:val="Table Grid"/>
    <w:basedOn w:val="TableNormal"/>
    <w:uiPriority w:val="59"/>
    <w:rsid w:val="005255B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k">
    <w:name w:val="aak"/>
    <w:basedOn w:val="DefaultParagraphFont"/>
    <w:rsid w:val="00BA4AA5"/>
  </w:style>
  <w:style w:type="character" w:customStyle="1" w:styleId="apple-converted-space">
    <w:name w:val="apple-converted-space"/>
    <w:basedOn w:val="DefaultParagraphFont"/>
    <w:rsid w:val="00BA4AA5"/>
  </w:style>
  <w:style w:type="character" w:styleId="CommentReference">
    <w:name w:val="annotation reference"/>
    <w:basedOn w:val="DefaultParagraphFont"/>
    <w:uiPriority w:val="99"/>
    <w:semiHidden/>
    <w:unhideWhenUsed/>
    <w:rsid w:val="005255BE"/>
    <w:rPr>
      <w:sz w:val="18"/>
      <w:szCs w:val="18"/>
    </w:rPr>
  </w:style>
  <w:style w:type="paragraph" w:styleId="CommentText">
    <w:name w:val="annotation text"/>
    <w:basedOn w:val="Normal"/>
    <w:link w:val="CommentTextChar"/>
    <w:uiPriority w:val="99"/>
    <w:semiHidden/>
    <w:unhideWhenUsed/>
    <w:rsid w:val="00B20322"/>
  </w:style>
  <w:style w:type="character" w:customStyle="1" w:styleId="CommentTextChar">
    <w:name w:val="Comment Text Char"/>
    <w:basedOn w:val="DefaultParagraphFont"/>
    <w:link w:val="CommentText"/>
    <w:uiPriority w:val="99"/>
    <w:semiHidden/>
    <w:rsid w:val="00B20322"/>
    <w:rPr>
      <w:rFonts w:asciiTheme="majorHAnsi" w:hAnsiTheme="majorHAnsi"/>
      <w:sz w:val="20"/>
      <w:szCs w:val="20"/>
      <w:lang w:val="en-GB"/>
    </w:rPr>
  </w:style>
  <w:style w:type="paragraph" w:styleId="CommentSubject">
    <w:name w:val="annotation subject"/>
    <w:basedOn w:val="Normal"/>
    <w:link w:val="CommentSubjectChar"/>
    <w:uiPriority w:val="99"/>
    <w:semiHidden/>
    <w:unhideWhenUsed/>
    <w:rsid w:val="005255BE"/>
    <w:rPr>
      <w:b/>
      <w:bCs/>
    </w:rPr>
  </w:style>
  <w:style w:type="character" w:customStyle="1" w:styleId="CommentSubjectChar">
    <w:name w:val="Comment Subject Char"/>
    <w:basedOn w:val="DefaultParagraphFont"/>
    <w:link w:val="CommentSubject"/>
    <w:uiPriority w:val="99"/>
    <w:semiHidden/>
    <w:rsid w:val="005255BE"/>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5255B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5BE"/>
    <w:rPr>
      <w:rFonts w:ascii="Lucida Grande" w:eastAsiaTheme="minorEastAsia" w:hAnsi="Lucida Grande" w:cs="Lucida Grande"/>
      <w:sz w:val="18"/>
      <w:szCs w:val="18"/>
    </w:rPr>
  </w:style>
  <w:style w:type="character" w:customStyle="1" w:styleId="ListParagraphChar">
    <w:name w:val="List Paragraph Char"/>
    <w:basedOn w:val="DefaultParagraphFont"/>
    <w:link w:val="ListParagraph"/>
    <w:uiPriority w:val="34"/>
    <w:rsid w:val="005255BE"/>
    <w:rPr>
      <w:rFonts w:ascii="Arial" w:hAnsi="Arial"/>
      <w:sz w:val="20"/>
      <w:szCs w:val="22"/>
    </w:rPr>
  </w:style>
  <w:style w:type="character" w:styleId="PageNumber">
    <w:name w:val="page number"/>
    <w:basedOn w:val="DefaultParagraphFont"/>
    <w:uiPriority w:val="99"/>
    <w:unhideWhenUsed/>
    <w:rsid w:val="005255BE"/>
    <w:rPr>
      <w:b/>
    </w:rPr>
  </w:style>
  <w:style w:type="character" w:customStyle="1" w:styleId="Heading1Char">
    <w:name w:val="Heading 1 Char"/>
    <w:basedOn w:val="DefaultParagraphFont"/>
    <w:link w:val="Heading1"/>
    <w:uiPriority w:val="9"/>
    <w:rsid w:val="005255B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5255B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5255BE"/>
    <w:rPr>
      <w:rFonts w:ascii="Arial" w:eastAsiaTheme="minorEastAsia" w:hAnsi="Arial" w:cs="Times New Roman"/>
      <w:b/>
      <w:sz w:val="22"/>
    </w:rPr>
  </w:style>
  <w:style w:type="paragraph" w:customStyle="1" w:styleId="Default">
    <w:name w:val="Default"/>
    <w:rsid w:val="005255BE"/>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5255BE"/>
    <w:rPr>
      <w:color w:val="0000FF" w:themeColor="hyperlink"/>
      <w:u w:val="single"/>
    </w:rPr>
  </w:style>
  <w:style w:type="character" w:styleId="FollowedHyperlink">
    <w:name w:val="FollowedHyperlink"/>
    <w:basedOn w:val="DefaultParagraphFont"/>
    <w:uiPriority w:val="99"/>
    <w:unhideWhenUsed/>
    <w:rsid w:val="005255BE"/>
    <w:rPr>
      <w:color w:val="800080" w:themeColor="followedHyperlink"/>
      <w:u w:val="single"/>
    </w:rPr>
  </w:style>
  <w:style w:type="paragraph" w:styleId="Revision">
    <w:name w:val="Revision"/>
    <w:hidden/>
    <w:uiPriority w:val="99"/>
    <w:rsid w:val="005255BE"/>
    <w:rPr>
      <w:rFonts w:ascii="Arial" w:eastAsiaTheme="minorEastAsia" w:hAnsi="Arial" w:cs="Arial"/>
      <w:sz w:val="21"/>
      <w:szCs w:val="21"/>
    </w:rPr>
  </w:style>
  <w:style w:type="paragraph" w:customStyle="1" w:styleId="BasicParagraph">
    <w:name w:val="[Basic Paragraph]"/>
    <w:basedOn w:val="Normal"/>
    <w:uiPriority w:val="99"/>
    <w:rsid w:val="005255B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255BE"/>
    <w:pPr>
      <w:spacing w:before="360" w:after="240"/>
      <w:jc w:val="left"/>
      <w:outlineLvl w:val="0"/>
    </w:pPr>
    <w:rPr>
      <w:b/>
      <w:sz w:val="40"/>
      <w:szCs w:val="52"/>
    </w:rPr>
  </w:style>
  <w:style w:type="paragraph" w:customStyle="1" w:styleId="Bullet1">
    <w:name w:val="Bullet 1"/>
    <w:basedOn w:val="Normal"/>
    <w:rsid w:val="005255BE"/>
    <w:pPr>
      <w:numPr>
        <w:numId w:val="5"/>
      </w:numPr>
      <w:spacing w:before="60"/>
    </w:pPr>
    <w:rPr>
      <w:rFonts w:eastAsia="Times New Roman"/>
      <w:color w:val="000000"/>
    </w:rPr>
  </w:style>
  <w:style w:type="paragraph" w:customStyle="1" w:styleId="RefItem1">
    <w:name w:val="Ref Item 1"/>
    <w:basedOn w:val="Normal"/>
    <w:rsid w:val="005255BE"/>
    <w:pPr>
      <w:jc w:val="left"/>
    </w:pPr>
    <w:rPr>
      <w:color w:val="000000"/>
      <w:szCs w:val="24"/>
      <w:lang w:eastAsia="it-IT"/>
    </w:rPr>
  </w:style>
  <w:style w:type="paragraph" w:customStyle="1" w:styleId="RefTitre">
    <w:name w:val="Ref Titre"/>
    <w:basedOn w:val="Normal"/>
    <w:rsid w:val="005255BE"/>
    <w:pPr>
      <w:jc w:val="left"/>
    </w:pPr>
    <w:rPr>
      <w:rFonts w:eastAsia="Times New Roman"/>
      <w:b/>
      <w:bCs/>
      <w:sz w:val="26"/>
      <w:szCs w:val="26"/>
    </w:rPr>
  </w:style>
  <w:style w:type="paragraph" w:customStyle="1" w:styleId="Header1">
    <w:name w:val="Header 1"/>
    <w:basedOn w:val="Header"/>
    <w:rsid w:val="005255BE"/>
    <w:rPr>
      <w:b/>
      <w:sz w:val="24"/>
      <w:szCs w:val="24"/>
    </w:rPr>
  </w:style>
  <w:style w:type="character" w:customStyle="1" w:styleId="Pantone485">
    <w:name w:val="Pantone 485"/>
    <w:basedOn w:val="DefaultParagraphFont"/>
    <w:uiPriority w:val="1"/>
    <w:qFormat/>
    <w:rsid w:val="005255BE"/>
    <w:rPr>
      <w:rFonts w:cs="Caecilia-Light"/>
      <w:color w:val="DC281E"/>
      <w:szCs w:val="16"/>
    </w:rPr>
  </w:style>
  <w:style w:type="character" w:customStyle="1" w:styleId="H1Char">
    <w:name w:val="H1 Char"/>
    <w:basedOn w:val="DefaultParagraphFont"/>
    <w:link w:val="H1"/>
    <w:rsid w:val="005255BE"/>
    <w:rPr>
      <w:rFonts w:ascii="Arial" w:eastAsiaTheme="minorEastAsia" w:hAnsi="Arial" w:cs="Times New Roman"/>
      <w:b/>
      <w:sz w:val="40"/>
      <w:szCs w:val="52"/>
    </w:rPr>
  </w:style>
  <w:style w:type="table" w:customStyle="1" w:styleId="TableGray">
    <w:name w:val="Table Gray"/>
    <w:basedOn w:val="TableNormal"/>
    <w:uiPriority w:val="99"/>
    <w:rsid w:val="005255B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255BE"/>
    <w:pPr>
      <w:numPr>
        <w:numId w:val="9"/>
      </w:numPr>
      <w:tabs>
        <w:tab w:val="left" w:pos="7230"/>
      </w:tabs>
      <w:spacing w:before="120" w:after="120"/>
      <w:contextualSpacing w:val="0"/>
    </w:pPr>
    <w:rPr>
      <w:rFonts w:cs="Arial"/>
    </w:rPr>
  </w:style>
  <w:style w:type="paragraph" w:customStyle="1" w:styleId="ListNumber1">
    <w:name w:val="List Number 1"/>
    <w:basedOn w:val="Normal"/>
    <w:rsid w:val="005255BE"/>
    <w:pPr>
      <w:numPr>
        <w:ilvl w:val="1"/>
        <w:numId w:val="7"/>
      </w:numPr>
      <w:contextualSpacing/>
    </w:pPr>
    <w:rPr>
      <w:rFonts w:eastAsiaTheme="minorHAnsi" w:cstheme="minorHAnsi"/>
      <w:szCs w:val="22"/>
    </w:rPr>
  </w:style>
  <w:style w:type="paragraph" w:customStyle="1" w:styleId="NormalNo">
    <w:name w:val="Normal + No"/>
    <w:basedOn w:val="Normal"/>
    <w:qFormat/>
    <w:rsid w:val="005255BE"/>
    <w:pPr>
      <w:numPr>
        <w:numId w:val="8"/>
      </w:numPr>
    </w:pPr>
    <w:rPr>
      <w:rFonts w:eastAsia="MS Mincho"/>
      <w:b/>
      <w:sz w:val="22"/>
    </w:rPr>
  </w:style>
  <w:style w:type="paragraph" w:customStyle="1" w:styleId="Bullet3">
    <w:name w:val="Bullet 3"/>
    <w:basedOn w:val="ListParagraph"/>
    <w:qFormat/>
    <w:rsid w:val="005255BE"/>
    <w:pPr>
      <w:numPr>
        <w:numId w:val="10"/>
      </w:numPr>
      <w:spacing w:before="120" w:after="120"/>
      <w:ind w:right="425"/>
    </w:pPr>
    <w:rPr>
      <w:rFonts w:cs="Arial"/>
      <w:i/>
      <w:iCs/>
    </w:rPr>
  </w:style>
  <w:style w:type="paragraph" w:customStyle="1" w:styleId="Indent">
    <w:name w:val="Indent"/>
    <w:basedOn w:val="Normal"/>
    <w:qFormat/>
    <w:rsid w:val="005255BE"/>
    <w:pPr>
      <w:ind w:left="567"/>
    </w:pPr>
    <w:rPr>
      <w:rFonts w:cs="Arial"/>
      <w:b/>
    </w:rPr>
  </w:style>
  <w:style w:type="paragraph" w:customStyle="1" w:styleId="TitreTableau">
    <w:name w:val="Titre Tableau"/>
    <w:basedOn w:val="Normal"/>
    <w:qFormat/>
    <w:rsid w:val="005255BE"/>
    <w:pPr>
      <w:spacing w:before="120"/>
      <w:jc w:val="center"/>
    </w:pPr>
    <w:rPr>
      <w:rFonts w:cs="Arial"/>
      <w:b/>
      <w:bCs/>
      <w:color w:val="FFFFFF" w:themeColor="background1"/>
      <w:lang w:val="en-CA"/>
    </w:rPr>
  </w:style>
  <w:style w:type="paragraph" w:customStyle="1" w:styleId="BulletTableau">
    <w:name w:val="Bullet Tableau"/>
    <w:basedOn w:val="Bullet2"/>
    <w:qFormat/>
    <w:rsid w:val="005255BE"/>
    <w:pPr>
      <w:keepNext/>
      <w:keepLines/>
      <w:framePr w:hSpace="141" w:wrap="around" w:vAnchor="text" w:hAnchor="margin" w:y="402"/>
      <w:numPr>
        <w:numId w:val="11"/>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5255B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5255BE"/>
  </w:style>
  <w:style w:type="paragraph" w:styleId="Heading2">
    <w:name w:val="heading 2"/>
    <w:basedOn w:val="Normal"/>
    <w:next w:val="Normal"/>
    <w:link w:val="Heading2Char"/>
    <w:uiPriority w:val="9"/>
    <w:unhideWhenUsed/>
    <w:qFormat/>
    <w:rsid w:val="005255B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255B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55BE"/>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5255BE"/>
    <w:pPr>
      <w:spacing w:after="0"/>
    </w:pPr>
    <w:rPr>
      <w:sz w:val="16"/>
      <w:szCs w:val="22"/>
    </w:rPr>
  </w:style>
  <w:style w:type="character" w:customStyle="1" w:styleId="FootnoteTextChar">
    <w:name w:val="Footnote Text Char"/>
    <w:basedOn w:val="DefaultParagraphFont"/>
    <w:link w:val="FootnoteText"/>
    <w:uiPriority w:val="99"/>
    <w:rsid w:val="005255B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5255BE"/>
    <w:rPr>
      <w:vertAlign w:val="superscript"/>
    </w:rPr>
  </w:style>
  <w:style w:type="paragraph" w:styleId="Header">
    <w:name w:val="header"/>
    <w:basedOn w:val="Normal"/>
    <w:link w:val="HeaderChar"/>
    <w:uiPriority w:val="99"/>
    <w:unhideWhenUsed/>
    <w:rsid w:val="005255BE"/>
    <w:pPr>
      <w:spacing w:after="0" w:line="288" w:lineRule="auto"/>
      <w:jc w:val="left"/>
    </w:pPr>
    <w:rPr>
      <w:sz w:val="16"/>
    </w:rPr>
  </w:style>
  <w:style w:type="character" w:customStyle="1" w:styleId="HeaderChar">
    <w:name w:val="Header Char"/>
    <w:basedOn w:val="DefaultParagraphFont"/>
    <w:link w:val="Header"/>
    <w:uiPriority w:val="99"/>
    <w:rsid w:val="005255BE"/>
    <w:rPr>
      <w:rFonts w:ascii="Arial" w:eastAsiaTheme="minorEastAsia" w:hAnsi="Arial" w:cs="Times New Roman"/>
      <w:sz w:val="16"/>
      <w:szCs w:val="20"/>
    </w:rPr>
  </w:style>
  <w:style w:type="paragraph" w:styleId="Footer">
    <w:name w:val="footer"/>
    <w:basedOn w:val="Normal"/>
    <w:link w:val="FooterChar"/>
    <w:uiPriority w:val="99"/>
    <w:unhideWhenUsed/>
    <w:rsid w:val="005255BE"/>
    <w:pPr>
      <w:spacing w:after="0"/>
      <w:jc w:val="left"/>
    </w:pPr>
    <w:rPr>
      <w:sz w:val="16"/>
      <w:szCs w:val="18"/>
    </w:rPr>
  </w:style>
  <w:style w:type="character" w:customStyle="1" w:styleId="FooterChar">
    <w:name w:val="Footer Char"/>
    <w:basedOn w:val="DefaultParagraphFont"/>
    <w:link w:val="Footer"/>
    <w:uiPriority w:val="99"/>
    <w:rsid w:val="005255BE"/>
    <w:rPr>
      <w:rFonts w:ascii="Arial" w:eastAsiaTheme="minorEastAsia" w:hAnsi="Arial" w:cs="Times New Roman"/>
      <w:sz w:val="16"/>
      <w:szCs w:val="18"/>
    </w:rPr>
  </w:style>
  <w:style w:type="table" w:styleId="TableGrid">
    <w:name w:val="Table Grid"/>
    <w:basedOn w:val="TableNormal"/>
    <w:uiPriority w:val="59"/>
    <w:rsid w:val="005255B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k">
    <w:name w:val="aak"/>
    <w:basedOn w:val="DefaultParagraphFont"/>
    <w:rsid w:val="00BA4AA5"/>
  </w:style>
  <w:style w:type="character" w:customStyle="1" w:styleId="apple-converted-space">
    <w:name w:val="apple-converted-space"/>
    <w:basedOn w:val="DefaultParagraphFont"/>
    <w:rsid w:val="00BA4AA5"/>
  </w:style>
  <w:style w:type="character" w:styleId="CommentReference">
    <w:name w:val="annotation reference"/>
    <w:basedOn w:val="DefaultParagraphFont"/>
    <w:uiPriority w:val="99"/>
    <w:semiHidden/>
    <w:unhideWhenUsed/>
    <w:rsid w:val="005255BE"/>
    <w:rPr>
      <w:sz w:val="18"/>
      <w:szCs w:val="18"/>
    </w:rPr>
  </w:style>
  <w:style w:type="paragraph" w:styleId="CommentText">
    <w:name w:val="annotation text"/>
    <w:basedOn w:val="Normal"/>
    <w:link w:val="CommentTextChar"/>
    <w:uiPriority w:val="99"/>
    <w:semiHidden/>
    <w:unhideWhenUsed/>
    <w:rsid w:val="00B20322"/>
  </w:style>
  <w:style w:type="character" w:customStyle="1" w:styleId="CommentTextChar">
    <w:name w:val="Comment Text Char"/>
    <w:basedOn w:val="DefaultParagraphFont"/>
    <w:link w:val="CommentText"/>
    <w:uiPriority w:val="99"/>
    <w:semiHidden/>
    <w:rsid w:val="00B20322"/>
    <w:rPr>
      <w:rFonts w:asciiTheme="majorHAnsi" w:hAnsiTheme="majorHAnsi"/>
      <w:sz w:val="20"/>
      <w:szCs w:val="20"/>
      <w:lang w:val="en-GB"/>
    </w:rPr>
  </w:style>
  <w:style w:type="paragraph" w:styleId="CommentSubject">
    <w:name w:val="annotation subject"/>
    <w:basedOn w:val="Normal"/>
    <w:link w:val="CommentSubjectChar"/>
    <w:uiPriority w:val="99"/>
    <w:semiHidden/>
    <w:unhideWhenUsed/>
    <w:rsid w:val="005255BE"/>
    <w:rPr>
      <w:b/>
      <w:bCs/>
    </w:rPr>
  </w:style>
  <w:style w:type="character" w:customStyle="1" w:styleId="CommentSubjectChar">
    <w:name w:val="Comment Subject Char"/>
    <w:basedOn w:val="DefaultParagraphFont"/>
    <w:link w:val="CommentSubject"/>
    <w:uiPriority w:val="99"/>
    <w:semiHidden/>
    <w:rsid w:val="005255BE"/>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5255B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5BE"/>
    <w:rPr>
      <w:rFonts w:ascii="Lucida Grande" w:eastAsiaTheme="minorEastAsia" w:hAnsi="Lucida Grande" w:cs="Lucida Grande"/>
      <w:sz w:val="18"/>
      <w:szCs w:val="18"/>
    </w:rPr>
  </w:style>
  <w:style w:type="character" w:customStyle="1" w:styleId="ListParagraphChar">
    <w:name w:val="List Paragraph Char"/>
    <w:basedOn w:val="DefaultParagraphFont"/>
    <w:link w:val="ListParagraph"/>
    <w:uiPriority w:val="34"/>
    <w:rsid w:val="005255BE"/>
    <w:rPr>
      <w:rFonts w:ascii="Arial" w:hAnsi="Arial"/>
      <w:sz w:val="20"/>
      <w:szCs w:val="22"/>
    </w:rPr>
  </w:style>
  <w:style w:type="character" w:styleId="PageNumber">
    <w:name w:val="page number"/>
    <w:basedOn w:val="DefaultParagraphFont"/>
    <w:uiPriority w:val="99"/>
    <w:unhideWhenUsed/>
    <w:rsid w:val="005255BE"/>
    <w:rPr>
      <w:b/>
    </w:rPr>
  </w:style>
  <w:style w:type="character" w:customStyle="1" w:styleId="Heading1Char">
    <w:name w:val="Heading 1 Char"/>
    <w:basedOn w:val="DefaultParagraphFont"/>
    <w:link w:val="Heading1"/>
    <w:uiPriority w:val="9"/>
    <w:rsid w:val="005255B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5255B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5255BE"/>
    <w:rPr>
      <w:rFonts w:ascii="Arial" w:eastAsiaTheme="minorEastAsia" w:hAnsi="Arial" w:cs="Times New Roman"/>
      <w:b/>
      <w:sz w:val="22"/>
    </w:rPr>
  </w:style>
  <w:style w:type="paragraph" w:customStyle="1" w:styleId="Default">
    <w:name w:val="Default"/>
    <w:rsid w:val="005255BE"/>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5255BE"/>
    <w:rPr>
      <w:color w:val="0000FF" w:themeColor="hyperlink"/>
      <w:u w:val="single"/>
    </w:rPr>
  </w:style>
  <w:style w:type="character" w:styleId="FollowedHyperlink">
    <w:name w:val="FollowedHyperlink"/>
    <w:basedOn w:val="DefaultParagraphFont"/>
    <w:uiPriority w:val="99"/>
    <w:unhideWhenUsed/>
    <w:rsid w:val="005255BE"/>
    <w:rPr>
      <w:color w:val="800080" w:themeColor="followedHyperlink"/>
      <w:u w:val="single"/>
    </w:rPr>
  </w:style>
  <w:style w:type="paragraph" w:styleId="Revision">
    <w:name w:val="Revision"/>
    <w:hidden/>
    <w:uiPriority w:val="99"/>
    <w:rsid w:val="005255BE"/>
    <w:rPr>
      <w:rFonts w:ascii="Arial" w:eastAsiaTheme="minorEastAsia" w:hAnsi="Arial" w:cs="Arial"/>
      <w:sz w:val="21"/>
      <w:szCs w:val="21"/>
    </w:rPr>
  </w:style>
  <w:style w:type="paragraph" w:customStyle="1" w:styleId="BasicParagraph">
    <w:name w:val="[Basic Paragraph]"/>
    <w:basedOn w:val="Normal"/>
    <w:uiPriority w:val="99"/>
    <w:rsid w:val="005255B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255BE"/>
    <w:pPr>
      <w:spacing w:before="360" w:after="240"/>
      <w:jc w:val="left"/>
      <w:outlineLvl w:val="0"/>
    </w:pPr>
    <w:rPr>
      <w:b/>
      <w:sz w:val="40"/>
      <w:szCs w:val="52"/>
    </w:rPr>
  </w:style>
  <w:style w:type="paragraph" w:customStyle="1" w:styleId="Bullet1">
    <w:name w:val="Bullet 1"/>
    <w:basedOn w:val="Normal"/>
    <w:rsid w:val="005255BE"/>
    <w:pPr>
      <w:numPr>
        <w:numId w:val="5"/>
      </w:numPr>
      <w:spacing w:before="60"/>
    </w:pPr>
    <w:rPr>
      <w:rFonts w:eastAsia="Times New Roman"/>
      <w:color w:val="000000"/>
    </w:rPr>
  </w:style>
  <w:style w:type="paragraph" w:customStyle="1" w:styleId="RefItem1">
    <w:name w:val="Ref Item 1"/>
    <w:basedOn w:val="Normal"/>
    <w:rsid w:val="005255BE"/>
    <w:pPr>
      <w:jc w:val="left"/>
    </w:pPr>
    <w:rPr>
      <w:color w:val="000000"/>
      <w:szCs w:val="24"/>
      <w:lang w:eastAsia="it-IT"/>
    </w:rPr>
  </w:style>
  <w:style w:type="paragraph" w:customStyle="1" w:styleId="RefTitre">
    <w:name w:val="Ref Titre"/>
    <w:basedOn w:val="Normal"/>
    <w:rsid w:val="005255BE"/>
    <w:pPr>
      <w:jc w:val="left"/>
    </w:pPr>
    <w:rPr>
      <w:rFonts w:eastAsia="Times New Roman"/>
      <w:b/>
      <w:bCs/>
      <w:sz w:val="26"/>
      <w:szCs w:val="26"/>
    </w:rPr>
  </w:style>
  <w:style w:type="paragraph" w:customStyle="1" w:styleId="Header1">
    <w:name w:val="Header 1"/>
    <w:basedOn w:val="Header"/>
    <w:rsid w:val="005255BE"/>
    <w:rPr>
      <w:b/>
      <w:sz w:val="24"/>
      <w:szCs w:val="24"/>
    </w:rPr>
  </w:style>
  <w:style w:type="character" w:customStyle="1" w:styleId="Pantone485">
    <w:name w:val="Pantone 485"/>
    <w:basedOn w:val="DefaultParagraphFont"/>
    <w:uiPriority w:val="1"/>
    <w:qFormat/>
    <w:rsid w:val="005255BE"/>
    <w:rPr>
      <w:rFonts w:cs="Caecilia-Light"/>
      <w:color w:val="DC281E"/>
      <w:szCs w:val="16"/>
    </w:rPr>
  </w:style>
  <w:style w:type="character" w:customStyle="1" w:styleId="H1Char">
    <w:name w:val="H1 Char"/>
    <w:basedOn w:val="DefaultParagraphFont"/>
    <w:link w:val="H1"/>
    <w:rsid w:val="005255BE"/>
    <w:rPr>
      <w:rFonts w:ascii="Arial" w:eastAsiaTheme="minorEastAsia" w:hAnsi="Arial" w:cs="Times New Roman"/>
      <w:b/>
      <w:sz w:val="40"/>
      <w:szCs w:val="52"/>
    </w:rPr>
  </w:style>
  <w:style w:type="table" w:customStyle="1" w:styleId="TableGray">
    <w:name w:val="Table Gray"/>
    <w:basedOn w:val="TableNormal"/>
    <w:uiPriority w:val="99"/>
    <w:rsid w:val="005255B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255BE"/>
    <w:pPr>
      <w:numPr>
        <w:numId w:val="9"/>
      </w:numPr>
      <w:tabs>
        <w:tab w:val="left" w:pos="7230"/>
      </w:tabs>
      <w:spacing w:before="120" w:after="120"/>
      <w:contextualSpacing w:val="0"/>
    </w:pPr>
    <w:rPr>
      <w:rFonts w:cs="Arial"/>
    </w:rPr>
  </w:style>
  <w:style w:type="paragraph" w:customStyle="1" w:styleId="ListNumber1">
    <w:name w:val="List Number 1"/>
    <w:basedOn w:val="Normal"/>
    <w:rsid w:val="005255BE"/>
    <w:pPr>
      <w:numPr>
        <w:ilvl w:val="1"/>
        <w:numId w:val="7"/>
      </w:numPr>
      <w:contextualSpacing/>
    </w:pPr>
    <w:rPr>
      <w:rFonts w:eastAsiaTheme="minorHAnsi" w:cstheme="minorHAnsi"/>
      <w:szCs w:val="22"/>
    </w:rPr>
  </w:style>
  <w:style w:type="paragraph" w:customStyle="1" w:styleId="NormalNo">
    <w:name w:val="Normal + No"/>
    <w:basedOn w:val="Normal"/>
    <w:qFormat/>
    <w:rsid w:val="005255BE"/>
    <w:pPr>
      <w:numPr>
        <w:numId w:val="8"/>
      </w:numPr>
    </w:pPr>
    <w:rPr>
      <w:rFonts w:eastAsia="MS Mincho"/>
      <w:b/>
      <w:sz w:val="22"/>
    </w:rPr>
  </w:style>
  <w:style w:type="paragraph" w:customStyle="1" w:styleId="Bullet3">
    <w:name w:val="Bullet 3"/>
    <w:basedOn w:val="ListParagraph"/>
    <w:qFormat/>
    <w:rsid w:val="005255BE"/>
    <w:pPr>
      <w:numPr>
        <w:numId w:val="10"/>
      </w:numPr>
      <w:spacing w:before="120" w:after="120"/>
      <w:ind w:right="425"/>
    </w:pPr>
    <w:rPr>
      <w:rFonts w:cs="Arial"/>
      <w:i/>
      <w:iCs/>
    </w:rPr>
  </w:style>
  <w:style w:type="paragraph" w:customStyle="1" w:styleId="Indent">
    <w:name w:val="Indent"/>
    <w:basedOn w:val="Normal"/>
    <w:qFormat/>
    <w:rsid w:val="005255BE"/>
    <w:pPr>
      <w:ind w:left="567"/>
    </w:pPr>
    <w:rPr>
      <w:rFonts w:cs="Arial"/>
      <w:b/>
    </w:rPr>
  </w:style>
  <w:style w:type="paragraph" w:customStyle="1" w:styleId="TitreTableau">
    <w:name w:val="Titre Tableau"/>
    <w:basedOn w:val="Normal"/>
    <w:qFormat/>
    <w:rsid w:val="005255BE"/>
    <w:pPr>
      <w:spacing w:before="120"/>
      <w:jc w:val="center"/>
    </w:pPr>
    <w:rPr>
      <w:rFonts w:cs="Arial"/>
      <w:b/>
      <w:bCs/>
      <w:color w:val="FFFFFF" w:themeColor="background1"/>
      <w:lang w:val="en-CA"/>
    </w:rPr>
  </w:style>
  <w:style w:type="paragraph" w:customStyle="1" w:styleId="BulletTableau">
    <w:name w:val="Bullet Tableau"/>
    <w:basedOn w:val="Bullet2"/>
    <w:qFormat/>
    <w:rsid w:val="005255BE"/>
    <w:pPr>
      <w:keepNext/>
      <w:keepLines/>
      <w:framePr w:hSpace="141" w:wrap="around" w:vAnchor="text" w:hAnchor="margin" w:y="402"/>
      <w:numPr>
        <w:numId w:val="11"/>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6187">
      <w:bodyDiv w:val="1"/>
      <w:marLeft w:val="0"/>
      <w:marRight w:val="0"/>
      <w:marTop w:val="0"/>
      <w:marBottom w:val="0"/>
      <w:divBdr>
        <w:top w:val="none" w:sz="0" w:space="0" w:color="auto"/>
        <w:left w:val="none" w:sz="0" w:space="0" w:color="auto"/>
        <w:bottom w:val="none" w:sz="0" w:space="0" w:color="auto"/>
        <w:right w:val="none" w:sz="0" w:space="0" w:color="auto"/>
      </w:divBdr>
    </w:div>
    <w:div w:id="1761411096">
      <w:bodyDiv w:val="1"/>
      <w:marLeft w:val="0"/>
      <w:marRight w:val="0"/>
      <w:marTop w:val="0"/>
      <w:marBottom w:val="0"/>
      <w:divBdr>
        <w:top w:val="none" w:sz="0" w:space="0" w:color="auto"/>
        <w:left w:val="none" w:sz="0" w:space="0" w:color="auto"/>
        <w:bottom w:val="none" w:sz="0" w:space="0" w:color="auto"/>
        <w:right w:val="none" w:sz="0" w:space="0" w:color="auto"/>
      </w:divBdr>
    </w:div>
    <w:div w:id="2127767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shlearning.org/resources/library/235-delivering-cash-through-cards---a-quick-delivery-guide-bookle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ashlearning.org/resources/library/22-cheques---a-quick-delivery-guide-screen-version"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cashlearning.org/resources/library/217-voucher-fairs-a-quick-delivery-guide-booklet-vers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hlearning.org/resources/library/287-e-payments-in-cash-transfer-programming-quick-too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ashlearning.org/resources/library/25-vouchers---a-quick-delivery-guide-booklet-version" TargetMode="External"/><Relationship Id="rId23" Type="http://schemas.openxmlformats.org/officeDocument/2006/relationships/theme" Target="theme/theme1.xml"/><Relationship Id="rId10" Type="http://schemas.openxmlformats.org/officeDocument/2006/relationships/hyperlink" Target="http://www.cashlearning.org/resources/library/6-delivering-money-cash-transfer-mechanisms-in-emergenc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shlearning.org/resources/library/390-e-transfers-in-emergencies-implementation-support-guideline" TargetMode="External"/><Relationship Id="rId14" Type="http://schemas.openxmlformats.org/officeDocument/2006/relationships/hyperlink" Target="http://www.cashlearning.org/resources/library/24-direct-cash---a-quick-delivery-guide-screen-vers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21</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Creti Pantaleo</dc:creator>
  <cp:lastModifiedBy>Nicole Francoeur</cp:lastModifiedBy>
  <cp:revision>10</cp:revision>
  <cp:lastPrinted>2015-10-11T22:00:00Z</cp:lastPrinted>
  <dcterms:created xsi:type="dcterms:W3CDTF">2015-07-30T07:05:00Z</dcterms:created>
  <dcterms:modified xsi:type="dcterms:W3CDTF">2015-10-11T22:02:00Z</dcterms:modified>
</cp:coreProperties>
</file>