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2A" w:rsidRDefault="00B50F41" w:rsidP="008C6472">
      <w:pPr>
        <w:pStyle w:val="H1"/>
        <w:rPr>
          <w:sz w:val="24"/>
          <w:szCs w:val="24"/>
        </w:rPr>
      </w:pPr>
      <w:bookmarkStart w:id="0" w:name="_GoBack"/>
      <w:bookmarkEnd w:id="0"/>
      <w:r>
        <w:t>Value card r</w:t>
      </w:r>
      <w:r w:rsidR="001A6203" w:rsidRPr="00C4348D">
        <w:t>equirements</w:t>
      </w:r>
      <w:r w:rsidR="00515962">
        <w:t xml:space="preserve"> checklist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65"/>
        <w:gridCol w:w="1437"/>
        <w:gridCol w:w="1485"/>
      </w:tblGrid>
      <w:tr w:rsidR="00D722EB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bottom"/>
            <w:hideMark/>
          </w:tcPr>
          <w:p w:rsidR="001A6203" w:rsidRPr="00AD457A" w:rsidRDefault="001A6203" w:rsidP="00993189">
            <w:pPr>
              <w:spacing w:before="120"/>
              <w:jc w:val="left"/>
              <w:rPr>
                <w:rFonts w:eastAsia="Times New Roman" w:cs="Arial"/>
                <w:bCs/>
                <w:color w:val="FFFFFF" w:themeColor="background1"/>
              </w:rPr>
            </w:pPr>
            <w:r w:rsidRPr="00AD457A">
              <w:rPr>
                <w:rFonts w:eastAsia="Times New Roman" w:cs="Arial"/>
                <w:b/>
                <w:bCs/>
                <w:color w:val="FFFFFF" w:themeColor="background1"/>
              </w:rPr>
              <w:t>Directions: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Review the requirements of the card program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>me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and determine the level of service the </w:t>
            </w:r>
            <w:r w:rsidR="00AB2E46" w:rsidRPr="00AD457A">
              <w:rPr>
                <w:rFonts w:eastAsia="Times New Roman" w:cs="Arial"/>
                <w:bCs/>
                <w:color w:val="FFFFFF" w:themeColor="background1"/>
              </w:rPr>
              <w:t>Red Cross Red Crescent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requires or pr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>efers. Those statements marked ‘Required’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should be included in a Scope of Work to be given to the financial service provider. Those statements with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 xml:space="preserve"> ‘Preferred’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 xml:space="preserve"> can be discussed </w:t>
            </w:r>
            <w:r w:rsidR="006C3A6E" w:rsidRPr="00AD457A">
              <w:rPr>
                <w:rFonts w:eastAsia="Times New Roman" w:cs="Arial"/>
                <w:bCs/>
                <w:color w:val="FFFFFF" w:themeColor="background1"/>
              </w:rPr>
              <w:t xml:space="preserve">further </w:t>
            </w:r>
            <w:r w:rsidRPr="00AD457A">
              <w:rPr>
                <w:rFonts w:eastAsia="Times New Roman" w:cs="Arial"/>
                <w:bCs/>
                <w:color w:val="FFFFFF" w:themeColor="background1"/>
              </w:rPr>
              <w:t>with the financial service provider and included in negotiations.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AD457A">
              <w:rPr>
                <w:rFonts w:eastAsia="Times New Roman" w:cs="Arial"/>
                <w:b/>
                <w:color w:val="FFFFFF" w:themeColor="background1"/>
              </w:rPr>
              <w:t>Required (X)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AD457A">
              <w:rPr>
                <w:rFonts w:eastAsia="Times New Roman" w:cs="Arial"/>
                <w:b/>
                <w:color w:val="FFFFFF" w:themeColor="background1"/>
              </w:rPr>
              <w:t>Preferred (X)</w:t>
            </w:r>
          </w:p>
        </w:tc>
      </w:tr>
      <w:tr w:rsidR="001A6203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General</w:t>
            </w:r>
            <w:r w:rsidR="006C3A6E" w:rsidRPr="00AD457A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Unused funds are returned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Payment mechanism can be activated at will.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Variable loads on payment mechanism are possible.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</w:rPr>
            </w:pPr>
            <w:r w:rsidRPr="00AD457A">
              <w:rPr>
                <w:rFonts w:eastAsia="Times New Roman" w:cs="Arial"/>
                <w:b/>
                <w:bCs/>
              </w:rPr>
              <w:t>Card-based tool (ATM and</w:t>
            </w:r>
            <w:r w:rsidR="00441EB7" w:rsidRPr="00AD457A">
              <w:rPr>
                <w:rFonts w:eastAsia="Times New Roman" w:cs="Arial"/>
                <w:b/>
                <w:bCs/>
              </w:rPr>
              <w:t xml:space="preserve"> point of sales</w:t>
            </w:r>
            <w:r w:rsidRPr="00AD457A">
              <w:rPr>
                <w:rFonts w:eastAsia="Times New Roman" w:cs="Arial"/>
                <w:b/>
                <w:bCs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the ability to be activated at will.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a zero value with the ability for any value to be loaded on it (variable load value).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reloadable with a specific maximum value per load and maximum value per life of card.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Each card is capable of a limited number of loads.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is to be a stored value card with funds provided by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can be in use/activated within 24 hours of notification.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is available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within 72 hours of request.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has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logo for visibility.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transactions are signature based (credit card).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ability to draw ‘cash’ with purchases at PoS.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the ability to be used at ATMs for cash withdrawals.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can be limited by the amount of cash that can be withdrawn and the number of withdrawals.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the ability to be limited to XX days of activation.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lastRenderedPageBreak/>
              <w:t xml:space="preserve">Card can be loaded, reloaded or deactivated from a remote location.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can be loaded, reloaded or deactivated by a vendor on behalf of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Card can be suspended/unsuspended or deactivated by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An expired card can be deactivated.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declined at ATMs if it does not have sufficient funds loaded.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declined or rejects purchase transaction if the purchase amount exceeds the remaining available balance on the card; no negative balances are allowed.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Electronic approval is required with $0 threshold for all card transactions at time of purchase.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There is a limit to the time-frame during which merchants can report/post purchase and/or an ATM can be used to withdraw money to 60 days or less; all transactions after that would be rejected.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has ability to be restricted according to various industry and category transaction codes.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Clear costs of a system are provided where financial service provider maintains cards in stock and sends them to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Clear costs of a system are provided where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maintains cards in stock.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Card is connected to internationally accepted/global electronic payment company (i.e., MasterCard, VISA).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requirements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offers variety of payment mechanism options in a specified country.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must have a functioning product in the priority countries.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and willing to expand into new markets (market = country).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meets industry standards for regulatory, compliance and risk management (including partners).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meets industry standards for data integrity and security (including partners).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fully responsible for OFAC regulation compliance.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fully responsible for meeting in-country legal, regulatory and currency requirements.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offers competitive rates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lastRenderedPageBreak/>
              <w:t>Financial service provider has a demonstrated commitment to innovation and financial inclusion, and to promoting interoperability of service providers.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has a corporate social responsibility (CRS) mandate (i.e., is willing to lower fees in humanitarian crises, support research in CTP in emergencies, etc.; it is a partnership agreement rather than a contract).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services and fees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the ability to use electronic funds transfers to/from funding accounts for card loads, fees and unspent cards.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has the ability to receive electronic status statements and engage in reconciliation processes with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Monthly invoicing for account fees and other charges is available.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provides technical support for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staff in managing the payment tool.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redundant back office systems to provide adequate disaster back-up and continued functionality during disasters.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can produce a clearly defined fee structure for each level: customer (the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), beneficiary/end user.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A comprehensive cost for the programme, including any known costs associated with payment tool, is available.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Service fees are to be absorbed by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not by the end user/beneficiary.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payment platform requirements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platform provides a high level of access – urban and rural (with detailed country-level data: i.e., GPS coordinates of ATMs, PoS, branches, etc.).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and willing to expand infrastructure, if needed.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current capacity/scalability in the country (i.e., volume of functioning points that the service can handle in the country).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and willing to expand capacity/scalability (i.e., volume of the points to provide service), if needed.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is able to prioritize and mobilize resources on request to enable rapid response.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Payment tool offered by financial service provider allows for an option of physical cash.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promotes financial inclusion (i.e., two-way transactions).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lastRenderedPageBreak/>
              <w:t>Financial service provider user interface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a web-based, online system for managing accounts.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a web-based, online system for managing beneficiary accounts with the ability to load batches.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maintains a process to add/maintain user IDs and passwords to a geographically disbursed user group with system access limited to the appropriate information based on security level.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User interface is intuitive and user friendly.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User interface allows for added/specific information (flexi field to add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data).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User interface is available in UN languages.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User interface allows user ID reporting (i.e., who logged in, loaded cards, actions under that user ID).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training capabilities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training on web-based interface as well as on any interface with payment mechanism.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user training of trainers at country location.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AD457A">
              <w:rPr>
                <w:rFonts w:eastAsia="Times New Roman" w:cs="Arial"/>
                <w:b/>
                <w:bCs/>
                <w:color w:val="000000"/>
              </w:rPr>
              <w:t>Financial service provider reporting abilities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provides a reporting interface between itself and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offers a system of reporting with the ability to add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-specific information fields for standard reports and interfaces.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Reports are downloadable in Excel or Access for analysis and compilation.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provides an ad-hoc reporting ability so that all fields can be searched in any order.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has the ability to receive aggregate data regarding the accounts.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Financial service provider is able to select the currency for loading/accounting/reporting.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is able to report on merchant codes.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rPr>
                <w:rFonts w:eastAsia="Times New Roman" w:cs="Arial"/>
                <w:b/>
                <w:color w:val="000000"/>
              </w:rPr>
            </w:pPr>
            <w:r w:rsidRPr="00AD457A">
              <w:rPr>
                <w:rFonts w:eastAsia="Times New Roman" w:cs="Arial"/>
                <w:b/>
                <w:color w:val="000000"/>
              </w:rPr>
              <w:lastRenderedPageBreak/>
              <w:t>Financial service provider customer service programme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AD457A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service refers questions that are programme specific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 xml:space="preserve"> (i.e., amount on the card/fraud/extortion).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service is outsourced (not within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) in local language and/or other major dialects.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Customer service provides a toll-free call centre to answer usage questions.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Issues dealing with cards that are lost/stolen/damaged are addressed by customer service for cancellation/deactivation.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Financial service provider can provide customer service during business hours to assist cardholders in managing their cards; this service can be activated at the request of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service provides issue reporting and issue tracking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 xml:space="preserve">Customer statistics are gathered and reported by customer service to the </w:t>
            </w:r>
            <w:r w:rsidR="00AB2E46" w:rsidRPr="00AD457A">
              <w:rPr>
                <w:rFonts w:eastAsia="Times New Roman" w:cs="Arial"/>
                <w:color w:val="000000"/>
              </w:rPr>
              <w:t>Red Cross Red Crescent</w:t>
            </w:r>
            <w:r w:rsidRPr="00AD457A">
              <w:rPr>
                <w:rFonts w:eastAsia="Times New Roman" w:cs="Arial"/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AD457A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AD457A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AD457A">
              <w:rPr>
                <w:rFonts w:eastAsia="Times New Roman" w:cs="Arial"/>
                <w:color w:val="000000"/>
              </w:rPr>
              <w:t>Customer service reporting is conducted and required during requested card period, not all the time.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1A6203" w:rsidRPr="00D722EB" w:rsidRDefault="001A6203" w:rsidP="00D722EB">
      <w:pPr>
        <w:rPr>
          <w:szCs w:val="24"/>
        </w:rPr>
      </w:pPr>
    </w:p>
    <w:sectPr w:rsidR="001A6203" w:rsidRPr="00D722EB" w:rsidSect="009D028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03" w:rsidRDefault="00E87B03" w:rsidP="005F74D2">
      <w:pPr>
        <w:spacing w:after="0"/>
      </w:pPr>
      <w:r>
        <w:separator/>
      </w:r>
    </w:p>
  </w:endnote>
  <w:endnote w:type="continuationSeparator" w:id="0">
    <w:p w:rsidR="00E87B03" w:rsidRDefault="00E87B03" w:rsidP="005F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03" w:rsidRDefault="001A6203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203" w:rsidRDefault="001A6203" w:rsidP="001A62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2" w:rsidRPr="00B45C74" w:rsidRDefault="008C647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90DA6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C6472" w:rsidRPr="003A3500" w:rsidRDefault="008C647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690DA6" w:rsidRPr="00690DA6">
      <w:rPr>
        <w:bCs/>
        <w:noProof/>
      </w:rPr>
      <w:t>Value card requirements checklist</w:t>
    </w:r>
    <w:r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2" w:rsidRPr="00B45C74" w:rsidRDefault="008C647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8C6472" w:rsidRPr="003A3500" w:rsidRDefault="008C647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9D028F" w:rsidRPr="009D028F">
      <w:rPr>
        <w:bCs/>
        <w:noProof/>
      </w:rPr>
      <w:t>Value card requirements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03" w:rsidRDefault="00E87B03" w:rsidP="005F74D2">
      <w:pPr>
        <w:spacing w:after="0"/>
      </w:pPr>
      <w:r>
        <w:separator/>
      </w:r>
    </w:p>
  </w:footnote>
  <w:footnote w:type="continuationSeparator" w:id="0">
    <w:p w:rsidR="00E87B03" w:rsidRDefault="00E87B03" w:rsidP="005F7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2" w:rsidRPr="00074036" w:rsidRDefault="008C647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472" w:rsidRPr="00074036" w:rsidRDefault="008C647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D2"/>
    <w:rsid w:val="00034DD3"/>
    <w:rsid w:val="000A110C"/>
    <w:rsid w:val="0014212C"/>
    <w:rsid w:val="0017435F"/>
    <w:rsid w:val="001A6203"/>
    <w:rsid w:val="001D5020"/>
    <w:rsid w:val="0024178E"/>
    <w:rsid w:val="002A3C79"/>
    <w:rsid w:val="00304409"/>
    <w:rsid w:val="003178BA"/>
    <w:rsid w:val="00387C43"/>
    <w:rsid w:val="003B1EE4"/>
    <w:rsid w:val="003D7D0E"/>
    <w:rsid w:val="00423154"/>
    <w:rsid w:val="00441EB7"/>
    <w:rsid w:val="004659CA"/>
    <w:rsid w:val="004B406B"/>
    <w:rsid w:val="004F0F11"/>
    <w:rsid w:val="00507E94"/>
    <w:rsid w:val="00510DF8"/>
    <w:rsid w:val="00515962"/>
    <w:rsid w:val="00520E76"/>
    <w:rsid w:val="00581503"/>
    <w:rsid w:val="005B2DCA"/>
    <w:rsid w:val="005F74D2"/>
    <w:rsid w:val="0068487B"/>
    <w:rsid w:val="00690DA6"/>
    <w:rsid w:val="006C3A6E"/>
    <w:rsid w:val="00705D96"/>
    <w:rsid w:val="00737438"/>
    <w:rsid w:val="0074438E"/>
    <w:rsid w:val="00751F2F"/>
    <w:rsid w:val="00770141"/>
    <w:rsid w:val="00785B84"/>
    <w:rsid w:val="007F113B"/>
    <w:rsid w:val="008014CE"/>
    <w:rsid w:val="00873B04"/>
    <w:rsid w:val="008B6399"/>
    <w:rsid w:val="008B6B90"/>
    <w:rsid w:val="008C6472"/>
    <w:rsid w:val="00931CE1"/>
    <w:rsid w:val="009746F9"/>
    <w:rsid w:val="00993189"/>
    <w:rsid w:val="009D028F"/>
    <w:rsid w:val="00A909C8"/>
    <w:rsid w:val="00AB2E46"/>
    <w:rsid w:val="00AD457A"/>
    <w:rsid w:val="00B162DD"/>
    <w:rsid w:val="00B173DE"/>
    <w:rsid w:val="00B2066B"/>
    <w:rsid w:val="00B50F41"/>
    <w:rsid w:val="00BB049C"/>
    <w:rsid w:val="00BD6CCA"/>
    <w:rsid w:val="00C27B8E"/>
    <w:rsid w:val="00C318FB"/>
    <w:rsid w:val="00C4348D"/>
    <w:rsid w:val="00C446A4"/>
    <w:rsid w:val="00C74E0A"/>
    <w:rsid w:val="00CC64CA"/>
    <w:rsid w:val="00CE1F63"/>
    <w:rsid w:val="00CE3277"/>
    <w:rsid w:val="00CF4C55"/>
    <w:rsid w:val="00D01305"/>
    <w:rsid w:val="00D722EB"/>
    <w:rsid w:val="00D84CF5"/>
    <w:rsid w:val="00DB522D"/>
    <w:rsid w:val="00E346FF"/>
    <w:rsid w:val="00E73C98"/>
    <w:rsid w:val="00E87B03"/>
    <w:rsid w:val="00EE1BB3"/>
    <w:rsid w:val="00EF3B2A"/>
    <w:rsid w:val="00FA5E3C"/>
    <w:rsid w:val="00FD0CE2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1599BF-7536-4D73-BBF1-D0DCDA6B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8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D02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8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28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28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028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28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28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8F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D028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0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28F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028F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28F"/>
    <w:rPr>
      <w:rFonts w:ascii="Arial" w:eastAsiaTheme="minorEastAsia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28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8F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028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028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028F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028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8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D028F"/>
    <w:rPr>
      <w:vertAlign w:val="superscript"/>
    </w:rPr>
  </w:style>
  <w:style w:type="paragraph" w:styleId="Revision">
    <w:name w:val="Revision"/>
    <w:hidden/>
    <w:uiPriority w:val="99"/>
    <w:semiHidden/>
    <w:rsid w:val="009D028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D028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028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028F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028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028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028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028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028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D028F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028F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D028F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028F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028F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028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D028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028F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8CB3-EE22-4A36-ADE9-BAB504D7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Stored Value Cards – Program Requirements</vt:lpstr>
    </vt:vector>
  </TitlesOfParts>
  <Company>IFRC</Company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Stored Value Cards – Program Requirements</dc:title>
  <dc:creator>Valued Acer Customer</dc:creator>
  <cp:lastModifiedBy>Peter Mujtaba</cp:lastModifiedBy>
  <cp:revision>2</cp:revision>
  <cp:lastPrinted>2015-10-09T16:12:00Z</cp:lastPrinted>
  <dcterms:created xsi:type="dcterms:W3CDTF">2018-08-14T14:48:00Z</dcterms:created>
  <dcterms:modified xsi:type="dcterms:W3CDTF">2018-08-14T14:48:00Z</dcterms:modified>
</cp:coreProperties>
</file>