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ED4" w:rsidRDefault="00885ED4">
      <w:pPr>
        <w:rPr>
          <w:lang w:val="es-E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8"/>
        <w:gridCol w:w="5310"/>
        <w:gridCol w:w="7534"/>
      </w:tblGrid>
      <w:tr w:rsidR="00885ED4" w:rsidTr="00885ED4">
        <w:tc>
          <w:tcPr>
            <w:tcW w:w="378" w:type="dxa"/>
          </w:tcPr>
          <w:p w:rsidR="00885ED4" w:rsidRDefault="00885ED4">
            <w:pPr>
              <w:rPr>
                <w:lang w:val="es-ES"/>
              </w:rPr>
            </w:pPr>
          </w:p>
        </w:tc>
        <w:tc>
          <w:tcPr>
            <w:tcW w:w="5310" w:type="dxa"/>
          </w:tcPr>
          <w:p w:rsidR="00885ED4" w:rsidRDefault="00885ED4">
            <w:pPr>
              <w:rPr>
                <w:lang w:val="es-ES"/>
              </w:rPr>
            </w:pPr>
            <w:proofErr w:type="spellStart"/>
            <w:r>
              <w:rPr>
                <w:rFonts w:ascii="CaeciliaLTStd-Bold" w:hAnsi="CaeciliaLTStd-Bold" w:cs="CaeciliaLTStd-Bold"/>
                <w:b/>
                <w:bCs/>
                <w:sz w:val="36"/>
                <w:szCs w:val="36"/>
              </w:rPr>
              <w:t>Análisis</w:t>
            </w:r>
            <w:proofErr w:type="spellEnd"/>
            <w:r>
              <w:rPr>
                <w:rFonts w:ascii="CaeciliaLTStd-Bold" w:hAnsi="CaeciliaLTStd-Bold" w:cs="CaeciliaLTStd-Bold"/>
                <w:b/>
                <w:bCs/>
                <w:sz w:val="36"/>
                <w:szCs w:val="36"/>
              </w:rPr>
              <w:t xml:space="preserve"> de </w:t>
            </w:r>
            <w:proofErr w:type="spellStart"/>
            <w:r>
              <w:rPr>
                <w:rFonts w:ascii="CaeciliaLTStd-Bold" w:hAnsi="CaeciliaLTStd-Bold" w:cs="CaeciliaLTStd-Bold"/>
                <w:b/>
                <w:bCs/>
                <w:sz w:val="36"/>
                <w:szCs w:val="36"/>
              </w:rPr>
              <w:t>respuestas</w:t>
            </w:r>
            <w:proofErr w:type="spellEnd"/>
          </w:p>
        </w:tc>
        <w:tc>
          <w:tcPr>
            <w:tcW w:w="7534" w:type="dxa"/>
          </w:tcPr>
          <w:p w:rsidR="00885ED4" w:rsidRDefault="00885ED4" w:rsidP="00885ED4">
            <w:pPr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sz w:val="24"/>
                <w:szCs w:val="24"/>
                <w:lang w:val="es-ES"/>
              </w:rPr>
              <w:t>Guía detallada del módulo</w:t>
            </w:r>
          </w:p>
        </w:tc>
      </w:tr>
    </w:tbl>
    <w:p w:rsidR="00885ED4" w:rsidRDefault="00885ED4" w:rsidP="00885ED4">
      <w:pPr>
        <w:jc w:val="center"/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</w:pPr>
      <w:r w:rsidRPr="00885ED4"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>Hoja de ruta del m</w:t>
      </w:r>
      <w:r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>ó</w:t>
      </w:r>
      <w:r w:rsidRPr="00885ED4">
        <w:rPr>
          <w:rFonts w:ascii="CaeciliaLTStd-BoldItalic" w:hAnsi="CaeciliaLTStd-BoldItalic" w:cs="CaeciliaLTStd-BoldItalic"/>
          <w:b/>
          <w:bCs/>
          <w:i/>
          <w:iCs/>
          <w:color w:val="F0383B"/>
          <w:sz w:val="26"/>
          <w:szCs w:val="26"/>
          <w:lang w:val="es-ES"/>
        </w:rPr>
        <w:t xml:space="preserve">dulo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7"/>
        <w:gridCol w:w="4407"/>
        <w:gridCol w:w="4408"/>
      </w:tblGrid>
      <w:tr w:rsidR="00885ED4" w:rsidRPr="00885ED4" w:rsidTr="00885ED4">
        <w:tc>
          <w:tcPr>
            <w:tcW w:w="4407" w:type="dxa"/>
          </w:tcPr>
          <w:p w:rsidR="00885ED4" w:rsidRDefault="00885ED4" w:rsidP="00885ED4">
            <w:pPr>
              <w:autoSpaceDE w:val="0"/>
              <w:autoSpaceDN w:val="0"/>
              <w:adjustRightInd w:val="0"/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1 Viabilidad del uso de efectivo y selección de la modalidad y el mecanismo de entrega  </w:t>
            </w:r>
          </w:p>
          <w:p w:rsidR="00885ED4" w:rsidRDefault="00885ED4" w:rsidP="00885ED4">
            <w:pPr>
              <w:autoSpaceDE w:val="0"/>
              <w:autoSpaceDN w:val="0"/>
              <w:adjustRightInd w:val="0"/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  <w:r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 xml:space="preserve"> </w:t>
            </w:r>
          </w:p>
        </w:tc>
        <w:tc>
          <w:tcPr>
            <w:tcW w:w="4407" w:type="dxa"/>
          </w:tcPr>
          <w:p w:rsidR="00885ED4" w:rsidRDefault="00885ED4" w:rsidP="00885ED4">
            <w:pPr>
              <w:jc w:val="center"/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 xml:space="preserve">Etapa 2 </w:t>
            </w:r>
            <w:r w:rsidR="00CD2A99" w:rsidRPr="00CD2A99">
              <w:rPr>
                <w:rFonts w:ascii="CaeciliaLTStd-Bold" w:hAnsi="CaeciliaLTStd-Bold" w:cs="CaeciliaLTStd-Bold"/>
                <w:b/>
                <w:bCs/>
                <w:sz w:val="21"/>
                <w:szCs w:val="21"/>
                <w:lang w:val="es-ES"/>
              </w:rPr>
              <w:t>Decisiones sobre el valor de las transferencias</w:t>
            </w:r>
          </w:p>
          <w:p w:rsidR="00885ED4" w:rsidRPr="00885ED4" w:rsidRDefault="00885ED4" w:rsidP="00885ED4">
            <w:pPr>
              <w:jc w:val="center"/>
              <w:rPr>
                <w:lang w:val="es-ES"/>
              </w:rPr>
            </w:pP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  <w:tc>
          <w:tcPr>
            <w:tcW w:w="4408" w:type="dxa"/>
          </w:tcPr>
          <w:p w:rsidR="00885ED4" w:rsidRDefault="00885ED4" w:rsidP="00885ED4">
            <w:pPr>
              <w:jc w:val="center"/>
              <w:rPr>
                <w:rFonts w:ascii="CaeciliaLTStd-Bold" w:hAnsi="CaeciliaLTStd-Bold" w:cs="CaeciliaLTStd-Bold"/>
                <w:b/>
                <w:bCs/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lang w:val="es-ES"/>
              </w:rPr>
              <w:t>Etapa 3  Decisiones sobre selección de beneficiari</w:t>
            </w:r>
            <w:r>
              <w:rPr>
                <w:rFonts w:ascii="CaeciliaLTStd-Bold" w:hAnsi="CaeciliaLTStd-Bold" w:cs="CaeciliaLTStd-Bold"/>
                <w:b/>
                <w:bCs/>
                <w:lang w:val="es-ES"/>
              </w:rPr>
              <w:t>o</w:t>
            </w:r>
            <w:r w:rsidRPr="00885ED4">
              <w:rPr>
                <w:rFonts w:ascii="CaeciliaLTStd-Bold" w:hAnsi="CaeciliaLTStd-Bold" w:cs="CaeciliaLTStd-Bold"/>
                <w:b/>
                <w:bCs/>
                <w:lang w:val="es-ES"/>
              </w:rPr>
              <w:t>s</w:t>
            </w:r>
          </w:p>
          <w:p w:rsidR="00885ED4" w:rsidRPr="00885ED4" w:rsidRDefault="00885ED4" w:rsidP="00885ED4">
            <w:pPr>
              <w:jc w:val="center"/>
              <w:rPr>
                <w:lang w:val="es-ES"/>
              </w:rPr>
            </w:pPr>
            <w:r w:rsidRPr="00885ED4">
              <w:rPr>
                <w:rFonts w:ascii="CaeciliaLTStd-Bold" w:hAnsi="CaeciliaLTStd-Bold" w:cs="CaeciliaLTStd-Bold"/>
                <w:b/>
                <w:bCs/>
                <w:lang w:val="es-ES"/>
              </w:rPr>
              <w:t xml:space="preserve"> </w:t>
            </w:r>
            <w:r w:rsidRPr="00885ED4">
              <w:rPr>
                <w:rFonts w:ascii="CaeciliaLTStd-Light" w:hAnsi="CaeciliaLTStd-Light" w:cs="CaeciliaLTStd-Light"/>
                <w:color w:val="F0383B"/>
                <w:sz w:val="21"/>
                <w:szCs w:val="21"/>
                <w:lang w:val="es-ES"/>
              </w:rPr>
              <w:t>Hoja de ruta de la etapa</w:t>
            </w:r>
          </w:p>
        </w:tc>
      </w:tr>
      <w:tr w:rsidR="00885ED4" w:rsidRPr="00906973" w:rsidTr="00885ED4">
        <w:tc>
          <w:tcPr>
            <w:tcW w:w="4407" w:type="dxa"/>
          </w:tcPr>
          <w:p w:rsidR="00885ED4" w:rsidRPr="00CD2A99" w:rsidRDefault="00885ED4" w:rsidP="00885ED4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CD2A99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1.1 </w:t>
            </w:r>
            <w:r w:rsidR="00CD2A99" w:rsidRPr="00CD2A99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Exploración de las opciones de respuesta</w:t>
            </w:r>
          </w:p>
          <w:p w:rsidR="00885ED4" w:rsidRPr="00CD2A99" w:rsidRDefault="00885ED4" w:rsidP="00885ED4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CD2A99"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Opciones de intervenciones de PTE</w:t>
            </w:r>
          </w:p>
          <w:p w:rsidR="00885ED4" w:rsidRPr="00CD2A99" w:rsidRDefault="00885ED4" w:rsidP="00885ED4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CD2A99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1.2 </w:t>
            </w:r>
            <w:r w:rsidR="00CD2A99" w:rsidRPr="00CD2A99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Comprobación de la viabilidad del uso de efectivo</w:t>
            </w:r>
          </w:p>
          <w:p w:rsidR="00885ED4" w:rsidRPr="00CD2A99" w:rsidRDefault="00885ED4" w:rsidP="00885ED4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CD2A99"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Lista de verificación para la viabilidad</w:t>
            </w:r>
            <w:r w:rsid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de la entrega de efectivo</w:t>
            </w:r>
          </w:p>
          <w:p w:rsidR="00CD2A99" w:rsidRPr="00CD2A99" w:rsidRDefault="00885ED4" w:rsidP="00CD2A99">
            <w:pPr>
              <w:rPr>
                <w:b/>
                <w:sz w:val="14"/>
                <w:lang w:val="es-ES"/>
              </w:rPr>
            </w:pPr>
            <w:r w:rsidRPr="00CD2A99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1.3 </w:t>
            </w:r>
            <w:r w:rsidR="00CD2A99" w:rsidRPr="00CD2A99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Identificación de criterios de comparación de modalidades y mecanismos de entrega</w:t>
            </w:r>
          </w:p>
          <w:p w:rsidR="00885ED4" w:rsidRPr="00CD2A99" w:rsidRDefault="00885ED4" w:rsidP="00885ED4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</w:p>
          <w:p w:rsidR="00885ED4" w:rsidRDefault="00885ED4" w:rsidP="00CD2A99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</w:rPr>
            </w:pPr>
            <w:r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CD2A99"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Comparación de modalidades y mecanismos de PTE </w:t>
            </w:r>
          </w:p>
          <w:p w:rsidR="00885ED4" w:rsidRPr="00CD2A99" w:rsidRDefault="00885ED4" w:rsidP="00CD2A99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="00CD2A99"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Ventajas y desventajas de las modalidades de PTE</w:t>
            </w:r>
            <w:r w:rsid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:rsidR="00CD2A99" w:rsidRPr="00CD2A99" w:rsidRDefault="00885ED4" w:rsidP="00CD2A99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Ventajas y desventajas de los mecanismo </w:t>
            </w:r>
            <w:r w:rsidR="00CD2A99" w:rsidRPr="00CD2A99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de PTE </w:t>
            </w:r>
          </w:p>
          <w:p w:rsidR="00885ED4" w:rsidRPr="00467BB3" w:rsidRDefault="00885ED4" w:rsidP="00885ED4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1.4 </w:t>
            </w:r>
            <w:r w:rsidR="00467BB3"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Realización de un análisis de riesgos exhaustivo</w:t>
            </w:r>
          </w:p>
          <w:p w:rsidR="00885ED4" w:rsidRPr="00467BB3" w:rsidRDefault="00885ED4" w:rsidP="00885ED4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467BB3"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Hoja de ruta para el análisis de riesgos de PTE</w:t>
            </w:r>
          </w:p>
          <w:p w:rsidR="00885ED4" w:rsidRPr="00467BB3" w:rsidRDefault="00467BB3" w:rsidP="00467BB3">
            <w:pPr>
              <w:autoSpaceDE w:val="0"/>
              <w:autoSpaceDN w:val="0"/>
              <w:adjustRightInd w:val="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467BB3">
              <w:rPr>
                <w:sz w:val="28"/>
                <w:lang w:val="es-ES"/>
              </w:rPr>
              <w:sym w:font="Webdings" w:char="F0A4"/>
            </w:r>
            <w:r w:rsidR="00885ED4"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</w:t>
            </w: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la matriz de riesgos de PTE</w:t>
            </w:r>
          </w:p>
          <w:p w:rsidR="00885ED4" w:rsidRPr="00467BB3" w:rsidRDefault="00467BB3" w:rsidP="00467BB3">
            <w:pPr>
              <w:autoSpaceDE w:val="0"/>
              <w:autoSpaceDN w:val="0"/>
              <w:adjustRightInd w:val="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>
              <w:rPr>
                <w:lang w:val="es-ES"/>
              </w:rPr>
              <w:t xml:space="preserve">          </w:t>
            </w:r>
            <w:r w:rsidRPr="00467BB3">
              <w:rPr>
                <w:sz w:val="28"/>
                <w:lang w:val="es-ES"/>
              </w:rPr>
              <w:sym w:font="Webdings" w:char="F0A4"/>
            </w:r>
            <w:r w:rsidR="00885ED4"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.3 </w:t>
            </w: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de registro de riesgos de PTE</w:t>
            </w:r>
          </w:p>
          <w:p w:rsidR="00885ED4" w:rsidRPr="00674665" w:rsidRDefault="00885ED4" w:rsidP="00885ED4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1.5 </w:t>
            </w:r>
            <w:r w:rsidR="00467BB3"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Cálculo de</w:t>
            </w:r>
            <w:r w:rsidR="00674665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la</w:t>
            </w:r>
            <w:r w:rsidR="00467BB3"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 </w:t>
            </w:r>
            <w:r w:rsidR="00467BB3" w:rsidRPr="00674665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rentabilidad (coste eficacia) </w:t>
            </w:r>
          </w:p>
          <w:p w:rsidR="00885ED4" w:rsidRPr="00467BB3" w:rsidRDefault="00467BB3" w:rsidP="00467BB3">
            <w:pPr>
              <w:autoSpaceDE w:val="0"/>
              <w:autoSpaceDN w:val="0"/>
              <w:adjustRightInd w:val="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674665">
              <w:rPr>
                <w:sz w:val="28"/>
                <w:lang w:val="es-ES"/>
              </w:rPr>
              <w:t xml:space="preserve">        </w:t>
            </w:r>
            <w:r w:rsidRPr="00674665">
              <w:rPr>
                <w:sz w:val="28"/>
                <w:lang w:val="es-ES"/>
              </w:rPr>
              <w:sym w:font="Webdings" w:char="F0A4"/>
            </w:r>
            <w:r w:rsidR="00885ED4" w:rsidRPr="0067466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AC264D" w:rsidRPr="00674665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para el cálculo del coste-eficacia</w:t>
            </w:r>
            <w:r w:rsidR="00AC264D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:rsidR="00885ED4" w:rsidRPr="00467BB3" w:rsidRDefault="00885ED4" w:rsidP="00885ED4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1.6 </w:t>
            </w:r>
            <w:r w:rsidR="00467BB3"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Comparación de opciones y toma de decisiones</w:t>
            </w:r>
          </w:p>
          <w:p w:rsidR="00885ED4" w:rsidRPr="00885ED4" w:rsidRDefault="00467BB3" w:rsidP="00467BB3">
            <w:pPr>
              <w:rPr>
                <w:lang w:val="es-ES"/>
              </w:rPr>
            </w:pPr>
            <w:r>
              <w:rPr>
                <w:sz w:val="28"/>
                <w:lang w:val="es-ES"/>
              </w:rPr>
              <w:t xml:space="preserve">       </w:t>
            </w:r>
            <w:r w:rsidRPr="00467BB3">
              <w:rPr>
                <w:sz w:val="28"/>
                <w:lang w:val="es-ES"/>
              </w:rPr>
              <w:sym w:font="Webdings" w:char="F0A4"/>
            </w:r>
            <w:r w:rsidR="00885ED4"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de la matriz de decisión  </w:t>
            </w:r>
          </w:p>
        </w:tc>
        <w:tc>
          <w:tcPr>
            <w:tcW w:w="4407" w:type="dxa"/>
          </w:tcPr>
          <w:p w:rsidR="00467BB3" w:rsidRPr="00467BB3" w:rsidRDefault="00467BB3" w:rsidP="00467BB3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2.1 Establecer el valor</w:t>
            </w:r>
          </w:p>
          <w:p w:rsidR="00467BB3" w:rsidRPr="00467BB3" w:rsidRDefault="00467BB3" w:rsidP="00467BB3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Plantilla para el cálculo del valor de la transferencia </w:t>
            </w:r>
          </w:p>
          <w:p w:rsidR="00467BB3" w:rsidRDefault="00467BB3" w:rsidP="00467BB3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</w:rPr>
            </w:pP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Consideraciones para fijar el valor de las transferencias </w:t>
            </w:r>
          </w:p>
          <w:p w:rsidR="00467BB3" w:rsidRPr="00467BB3" w:rsidRDefault="00467BB3" w:rsidP="00467BB3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467BB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2.2 Ajustar el valor </w:t>
            </w:r>
          </w:p>
          <w:p w:rsidR="00467BB3" w:rsidRPr="00467BB3" w:rsidRDefault="00467BB3" w:rsidP="00467BB3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.1 Ajustar el valor de la transferencia al tamaño del hogar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</w:t>
            </w:r>
          </w:p>
          <w:p w:rsidR="00885ED4" w:rsidRPr="00467BB3" w:rsidRDefault="00467BB3" w:rsidP="00906973">
            <w:pPr>
              <w:ind w:left="720"/>
              <w:rPr>
                <w:lang w:val="es-ES"/>
              </w:rPr>
            </w:pPr>
            <w:r w:rsidRPr="00467BB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.2 Ajustar el valor de la transferencia a</w:t>
            </w:r>
            <w:r w:rsidR="0090697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los cambios de</w:t>
            </w:r>
            <w:bookmarkStart w:id="0" w:name="_GoBack"/>
            <w:bookmarkEnd w:id="0"/>
            <w:r w:rsidR="0090697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 precios </w:t>
            </w:r>
          </w:p>
        </w:tc>
        <w:tc>
          <w:tcPr>
            <w:tcW w:w="4408" w:type="dxa"/>
          </w:tcPr>
          <w:p w:rsidR="00906973" w:rsidRPr="00906973" w:rsidRDefault="00906973" w:rsidP="00906973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90697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>3.1 Identificación de las áreas más afectadas</w:t>
            </w:r>
          </w:p>
          <w:p w:rsidR="00906973" w:rsidRPr="00906973" w:rsidRDefault="00906973" w:rsidP="00906973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467BB3">
              <w:rPr>
                <w:sz w:val="28"/>
                <w:lang w:val="es-ES"/>
              </w:rPr>
              <w:sym w:font="Webdings" w:char="F0A4"/>
            </w:r>
            <w:r w:rsidRPr="0090697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 w:rsidR="007E5C30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Plantilla para la selección geográfica de beneficiarios</w:t>
            </w:r>
          </w:p>
          <w:p w:rsidR="00906973" w:rsidRPr="00906973" w:rsidRDefault="00906973" w:rsidP="00906973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90697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.2 Mapeo de vulnerabilidades en contextos urbanos </w:t>
            </w:r>
          </w:p>
          <w:p w:rsidR="00906973" w:rsidRDefault="00906973" w:rsidP="00906973">
            <w:pPr>
              <w:autoSpaceDE w:val="0"/>
              <w:autoSpaceDN w:val="0"/>
              <w:adjustRightInd w:val="0"/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</w:pPr>
            <w:r w:rsidRPr="00906973">
              <w:rPr>
                <w:rFonts w:ascii="CaeciliaLTStd-Bold" w:hAnsi="CaeciliaLTStd-Bold" w:cs="CaeciliaLTStd-Bold"/>
                <w:b/>
                <w:bCs/>
                <w:sz w:val="19"/>
                <w:szCs w:val="19"/>
                <w:lang w:val="es-ES"/>
              </w:rPr>
              <w:t xml:space="preserve">3.2 Identificación de los criterios de selección de beneficiarios y mecanismos de entrega  </w:t>
            </w:r>
          </w:p>
          <w:p w:rsidR="00906973" w:rsidRPr="00906973" w:rsidRDefault="00906973" w:rsidP="00906973">
            <w:pPr>
              <w:autoSpaceDE w:val="0"/>
              <w:autoSpaceDN w:val="0"/>
              <w:adjustRightInd w:val="0"/>
              <w:ind w:left="720"/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</w:pPr>
            <w:r w:rsidRPr="0090697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 xml:space="preserve">.1 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Criterios de selección de beneficiarios</w:t>
            </w:r>
          </w:p>
          <w:p w:rsidR="00885ED4" w:rsidRPr="00906973" w:rsidRDefault="00906973" w:rsidP="00906973">
            <w:pPr>
              <w:ind w:left="720"/>
              <w:rPr>
                <w:lang w:val="es-ES"/>
              </w:rPr>
            </w:pPr>
            <w:r w:rsidRPr="00906973"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.2 M</w:t>
            </w:r>
            <w:r>
              <w:rPr>
                <w:rFonts w:ascii="CaeciliaLTStd-Light" w:hAnsi="CaeciliaLTStd-Light" w:cs="CaeciliaLTStd-Light"/>
                <w:sz w:val="18"/>
                <w:szCs w:val="18"/>
                <w:lang w:val="es-ES"/>
              </w:rPr>
              <w:t>ecanismo de selección de beneficiarios</w:t>
            </w:r>
          </w:p>
        </w:tc>
      </w:tr>
    </w:tbl>
    <w:p w:rsidR="00885ED4" w:rsidRDefault="004B3A10" w:rsidP="004B3A10">
      <w:pPr>
        <w:ind w:left="7200" w:firstLine="720"/>
        <w:jc w:val="center"/>
        <w:rPr>
          <w:rFonts w:ascii="CaeciliaLTStd-Bold" w:hAnsi="CaeciliaLTStd-Bold" w:cs="CaeciliaLTStd-Bold"/>
          <w:b/>
          <w:bCs/>
          <w:sz w:val="20"/>
          <w:szCs w:val="20"/>
        </w:rPr>
      </w:pPr>
      <w:r>
        <w:rPr>
          <w:rFonts w:ascii="CaeciliaLTStd-Bold" w:hAnsi="CaeciliaLTStd-Bold" w:cs="CaeciliaLTStd-Bold"/>
          <w:b/>
          <w:bCs/>
          <w:noProof/>
          <w:sz w:val="20"/>
          <w:szCs w:val="20"/>
          <w:lang w:val="es-ES_tradnl" w:eastAsia="es-ES_trad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6359746</wp:posOffset>
                </wp:positionH>
                <wp:positionV relativeFrom="paragraph">
                  <wp:posOffset>211234</wp:posOffset>
                </wp:positionV>
                <wp:extent cx="1956021" cy="588396"/>
                <wp:effectExtent l="0" t="0" r="2540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6021" cy="58839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B3A10" w:rsidRPr="004B3A10" w:rsidRDefault="004B3A10" w:rsidP="004B3A10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</w:pPr>
                            <w:r w:rsidRPr="00467BB3">
                              <w:rPr>
                                <w:sz w:val="28"/>
                                <w:lang w:val="es-ES"/>
                              </w:rPr>
                              <w:sym w:font="Webdings" w:char="F0A4"/>
                            </w: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= Plantilla</w:t>
                            </w:r>
                          </w:p>
                          <w:p w:rsidR="004B3A10" w:rsidRPr="004B3A10" w:rsidRDefault="004B3A10" w:rsidP="004B3A10">
                            <w:pPr>
                              <w:rPr>
                                <w:lang w:val="es-ES"/>
                              </w:rPr>
                            </w:pPr>
                            <w:r w:rsidRPr="004B3A10"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>Herramienta que puede ser adaptada</w:t>
                            </w:r>
                            <w:r>
                              <w:rPr>
                                <w:rFonts w:ascii="CaeciliaLTStd-Light" w:hAnsi="CaeciliaLTStd-Light" w:cs="CaeciliaLTStd-Light"/>
                                <w:sz w:val="18"/>
                                <w:szCs w:val="18"/>
                                <w:lang w:val="es-ES"/>
                              </w:rPr>
                              <w:t xml:space="preserve"> para su uso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00.75pt;margin-top:16.65pt;width:154pt;height:46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" fillcolor="white [3201]" strokeweight=".5pt">
                <v:textbox>
                  <w:txbxContent>
                    <w:p w:rsidR="004B3A10" w:rsidRPr="004B3A10" w:rsidRDefault="004B3A10" w:rsidP="004B3A10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</w:pPr>
                      <w:r w:rsidRPr="00467BB3">
                        <w:rPr>
                          <w:sz w:val="28"/>
                          <w:lang w:val="es-ES"/>
                        </w:rPr>
                        <w:sym w:font="Webdings" w:char="F0A4"/>
                      </w: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= Plantilla</w:t>
                      </w:r>
                    </w:p>
                    <w:p w:rsidR="004B3A10" w:rsidRPr="004B3A10" w:rsidRDefault="004B3A10" w:rsidP="004B3A10">
                      <w:pPr>
                        <w:rPr>
                          <w:lang w:val="es-ES"/>
                        </w:rPr>
                      </w:pPr>
                      <w:r w:rsidRPr="004B3A10"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>Herramienta que puede ser adaptada</w:t>
                      </w:r>
                      <w:r>
                        <w:rPr>
                          <w:rFonts w:ascii="CaeciliaLTStd-Light" w:hAnsi="CaeciliaLTStd-Light" w:cs="CaeciliaLTStd-Light"/>
                          <w:sz w:val="18"/>
                          <w:szCs w:val="18"/>
                          <w:lang w:val="es-ES"/>
                        </w:rPr>
                        <w:t xml:space="preserve"> para su uso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eciliaLTStd-Bold" w:hAnsi="CaeciliaLTStd-Bold" w:cs="CaeciliaLTStd-Bold"/>
          <w:b/>
          <w:bCs/>
          <w:sz w:val="20"/>
          <w:szCs w:val="20"/>
        </w:rPr>
        <w:t>Icon Key:</w:t>
      </w:r>
    </w:p>
    <w:p w:rsidR="004B3A10" w:rsidRPr="00906973" w:rsidRDefault="004B3A10" w:rsidP="004B3A10">
      <w:pPr>
        <w:ind w:left="7200" w:firstLine="720"/>
        <w:jc w:val="center"/>
        <w:rPr>
          <w:lang w:val="es-ES"/>
        </w:rPr>
      </w:pPr>
    </w:p>
    <w:sectPr w:rsidR="004B3A10" w:rsidRPr="00906973" w:rsidSect="00885ED4">
      <w:head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4C86" w:rsidRDefault="00734C86" w:rsidP="00885ED4">
      <w:pPr>
        <w:spacing w:after="0" w:line="240" w:lineRule="auto"/>
      </w:pPr>
      <w:r>
        <w:separator/>
      </w:r>
    </w:p>
  </w:endnote>
  <w:endnote w:type="continuationSeparator" w:id="0">
    <w:p w:rsidR="00734C86" w:rsidRDefault="00734C86" w:rsidP="00885E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eciliaLTStd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Ligh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eciliaLTStd-BoldItalic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4C86" w:rsidRDefault="00734C86" w:rsidP="00885ED4">
      <w:pPr>
        <w:spacing w:after="0" w:line="240" w:lineRule="auto"/>
      </w:pPr>
      <w:r>
        <w:separator/>
      </w:r>
    </w:p>
  </w:footnote>
  <w:footnote w:type="continuationSeparator" w:id="0">
    <w:p w:rsidR="00734C86" w:rsidRDefault="00734C86" w:rsidP="00885E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5ED4" w:rsidRDefault="00885ED4" w:rsidP="00885ED4">
    <w:pPr>
      <w:pStyle w:val="Header"/>
      <w:jc w:val="right"/>
    </w:pPr>
    <w:r>
      <w:rPr>
        <w:noProof/>
        <w:lang w:val="es-ES_tradnl" w:eastAsia="es-ES_tradnl"/>
      </w:rPr>
      <w:drawing>
        <wp:anchor distT="0" distB="0" distL="114300" distR="114300" simplePos="0" relativeHeight="251659264" behindDoc="0" locked="0" layoutInCell="1" allowOverlap="1" wp14:anchorId="4899F912" wp14:editId="55F4FC82">
          <wp:simplePos x="0" y="0"/>
          <wp:positionH relativeFrom="column">
            <wp:posOffset>4235450</wp:posOffset>
          </wp:positionH>
          <wp:positionV relativeFrom="paragraph">
            <wp:posOffset>-108585</wp:posOffset>
          </wp:positionV>
          <wp:extent cx="619760" cy="712470"/>
          <wp:effectExtent l="0" t="0" r="889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CR ESPAÑ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7124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_tradnl" w:eastAsia="es-ES_tradnl"/>
      </w:rPr>
      <w:drawing>
        <wp:anchor distT="0" distB="0" distL="114300" distR="114300" simplePos="0" relativeHeight="251658240" behindDoc="0" locked="0" layoutInCell="1" allowOverlap="1" wp14:anchorId="2D21F733" wp14:editId="0B153B8B">
          <wp:simplePos x="0" y="0"/>
          <wp:positionH relativeFrom="column">
            <wp:posOffset>4975225</wp:posOffset>
          </wp:positionH>
          <wp:positionV relativeFrom="paragraph">
            <wp:posOffset>74930</wp:posOffset>
          </wp:positionV>
          <wp:extent cx="3744595" cy="369570"/>
          <wp:effectExtent l="0" t="0" r="8255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IFRC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4595" cy="369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D0E5C"/>
    <w:multiLevelType w:val="hybridMultilevel"/>
    <w:tmpl w:val="156AD5A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73A"/>
    <w:rsid w:val="003C7D03"/>
    <w:rsid w:val="00467BB3"/>
    <w:rsid w:val="004B3A10"/>
    <w:rsid w:val="00674665"/>
    <w:rsid w:val="00734C86"/>
    <w:rsid w:val="007B773A"/>
    <w:rsid w:val="007E5C30"/>
    <w:rsid w:val="00885ED4"/>
    <w:rsid w:val="00906973"/>
    <w:rsid w:val="00AA461C"/>
    <w:rsid w:val="00AC264D"/>
    <w:rsid w:val="00CD2A99"/>
    <w:rsid w:val="00CF50F0"/>
    <w:rsid w:val="00D2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F67857"/>
  <w15:docId w15:val="{96125A26-AEF1-4FFE-94AB-2025A0A90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5ED4"/>
  </w:style>
  <w:style w:type="paragraph" w:styleId="Footer">
    <w:name w:val="footer"/>
    <w:basedOn w:val="Normal"/>
    <w:link w:val="FooterChar"/>
    <w:uiPriority w:val="99"/>
    <w:unhideWhenUsed/>
    <w:rsid w:val="00885ED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5ED4"/>
  </w:style>
  <w:style w:type="paragraph" w:styleId="BalloonText">
    <w:name w:val="Balloon Text"/>
    <w:basedOn w:val="Normal"/>
    <w:link w:val="BalloonTextChar"/>
    <w:uiPriority w:val="99"/>
    <w:semiHidden/>
    <w:unhideWhenUsed/>
    <w:rsid w:val="00885E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5ED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885E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CD2A99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CD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287</Words>
  <Characters>1581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</dc:creator>
  <cp:lastModifiedBy>Ines DALMAU i GUTSENS</cp:lastModifiedBy>
  <cp:revision>5</cp:revision>
  <dcterms:created xsi:type="dcterms:W3CDTF">2015-12-13T22:53:00Z</dcterms:created>
  <dcterms:modified xsi:type="dcterms:W3CDTF">2016-02-11T19:14:00Z</dcterms:modified>
</cp:coreProperties>
</file>