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D4" w:rsidRDefault="00885ED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5310"/>
        <w:gridCol w:w="7534"/>
      </w:tblGrid>
      <w:tr w:rsidR="00885ED4" w:rsidTr="00885ED4">
        <w:tc>
          <w:tcPr>
            <w:tcW w:w="378" w:type="dxa"/>
          </w:tcPr>
          <w:p w:rsidR="00885ED4" w:rsidRDefault="00885ED4">
            <w:pPr>
              <w:rPr>
                <w:lang w:val="es-ES"/>
              </w:rPr>
            </w:pPr>
          </w:p>
        </w:tc>
        <w:tc>
          <w:tcPr>
            <w:tcW w:w="5310" w:type="dxa"/>
          </w:tcPr>
          <w:p w:rsidR="00885ED4" w:rsidRDefault="00885ED4">
            <w:pPr>
              <w:rPr>
                <w:lang w:val="es-ES"/>
              </w:rPr>
            </w:pPr>
            <w:proofErr w:type="spellStart"/>
            <w:r>
              <w:rPr>
                <w:rFonts w:ascii="CaeciliaLTStd-Bold" w:hAnsi="CaeciliaLTStd-Bold" w:cs="CaeciliaLTStd-Bold"/>
                <w:b/>
                <w:bCs/>
                <w:sz w:val="36"/>
                <w:szCs w:val="36"/>
              </w:rPr>
              <w:t>Análisis</w:t>
            </w:r>
            <w:proofErr w:type="spellEnd"/>
            <w:r>
              <w:rPr>
                <w:rFonts w:ascii="CaeciliaLTStd-Bold" w:hAnsi="CaeciliaLTStd-Bold" w:cs="CaeciliaLTStd-Bold"/>
                <w:b/>
                <w:bCs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CaeciliaLTStd-Bold" w:hAnsi="CaeciliaLTStd-Bold" w:cs="CaeciliaLTStd-Bold"/>
                <w:b/>
                <w:bCs/>
                <w:sz w:val="36"/>
                <w:szCs w:val="36"/>
              </w:rPr>
              <w:t>respuestas</w:t>
            </w:r>
            <w:proofErr w:type="spellEnd"/>
          </w:p>
        </w:tc>
        <w:tc>
          <w:tcPr>
            <w:tcW w:w="7534" w:type="dxa"/>
          </w:tcPr>
          <w:p w:rsidR="00885ED4" w:rsidRDefault="00885ED4" w:rsidP="00885ED4">
            <w:pPr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sz w:val="24"/>
                <w:szCs w:val="24"/>
                <w:lang w:val="es-ES"/>
              </w:rPr>
              <w:t>Guía detallada del módulo</w:t>
            </w:r>
          </w:p>
        </w:tc>
      </w:tr>
    </w:tbl>
    <w:p w:rsidR="00885ED4" w:rsidRDefault="00885ED4" w:rsidP="00885ED4">
      <w:pPr>
        <w:jc w:val="center"/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</w:pPr>
      <w:r w:rsidRPr="00885ED4"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  <w:t>Hoja de ruta del m</w:t>
      </w:r>
      <w:r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  <w:t>ó</w:t>
      </w:r>
      <w:r w:rsidRPr="00885ED4">
        <w:rPr>
          <w:rFonts w:ascii="CaeciliaLTStd-BoldItalic" w:hAnsi="CaeciliaLTStd-BoldItalic" w:cs="CaeciliaLTStd-BoldItalic"/>
          <w:b/>
          <w:bCs/>
          <w:i/>
          <w:iCs/>
          <w:color w:val="F0383B"/>
          <w:sz w:val="26"/>
          <w:szCs w:val="26"/>
          <w:lang w:val="es-ES"/>
        </w:rPr>
        <w:t xml:space="preserve">dulo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7"/>
        <w:gridCol w:w="4408"/>
      </w:tblGrid>
      <w:tr w:rsidR="00885ED4" w:rsidRPr="00885ED4" w:rsidTr="00885ED4">
        <w:tc>
          <w:tcPr>
            <w:tcW w:w="4407" w:type="dxa"/>
          </w:tcPr>
          <w:p w:rsidR="00885ED4" w:rsidRDefault="00885ED4" w:rsidP="00885ED4">
            <w:pPr>
              <w:autoSpaceDE w:val="0"/>
              <w:autoSpaceDN w:val="0"/>
              <w:adjustRightInd w:val="0"/>
              <w:jc w:val="center"/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Etapa 1 Viabilidad del uso de efectivo y selección de la modalidad y el mecanismo de entrega  </w:t>
            </w:r>
          </w:p>
          <w:p w:rsidR="00885ED4" w:rsidRDefault="00885ED4" w:rsidP="00885ED4">
            <w:pPr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  <w:r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4407" w:type="dxa"/>
          </w:tcPr>
          <w:p w:rsidR="00885ED4" w:rsidRDefault="00885ED4" w:rsidP="00885ED4">
            <w:pPr>
              <w:jc w:val="center"/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Etapa 2 </w:t>
            </w:r>
            <w:r w:rsidR="00CD2A99" w:rsidRPr="00CD2A99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>Decisiones sobre el valor de las transferencias</w:t>
            </w:r>
          </w:p>
          <w:p w:rsidR="00885ED4" w:rsidRPr="00885ED4" w:rsidRDefault="00885ED4" w:rsidP="00885ED4">
            <w:pPr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  <w:tc>
          <w:tcPr>
            <w:tcW w:w="4408" w:type="dxa"/>
          </w:tcPr>
          <w:p w:rsidR="00885ED4" w:rsidRDefault="00885ED4" w:rsidP="00885ED4">
            <w:pPr>
              <w:jc w:val="center"/>
              <w:rPr>
                <w:rFonts w:ascii="CaeciliaLTStd-Bold" w:hAnsi="CaeciliaLTStd-Bold" w:cs="CaeciliaLTStd-Bold"/>
                <w:b/>
                <w:bCs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lang w:val="es-ES"/>
              </w:rPr>
              <w:t>Etapa 3  Decisiones sobre selección de beneficiari</w:t>
            </w:r>
            <w:r>
              <w:rPr>
                <w:rFonts w:ascii="CaeciliaLTStd-Bold" w:hAnsi="CaeciliaLTStd-Bold" w:cs="CaeciliaLTStd-Bold"/>
                <w:b/>
                <w:bCs/>
                <w:lang w:val="es-ES"/>
              </w:rPr>
              <w:t>o</w:t>
            </w:r>
            <w:r w:rsidRPr="00885ED4">
              <w:rPr>
                <w:rFonts w:ascii="CaeciliaLTStd-Bold" w:hAnsi="CaeciliaLTStd-Bold" w:cs="CaeciliaLTStd-Bold"/>
                <w:b/>
                <w:bCs/>
                <w:lang w:val="es-ES"/>
              </w:rPr>
              <w:t>s</w:t>
            </w:r>
          </w:p>
          <w:p w:rsidR="00885ED4" w:rsidRPr="00885ED4" w:rsidRDefault="00885ED4" w:rsidP="00885ED4">
            <w:pPr>
              <w:jc w:val="center"/>
              <w:rPr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lang w:val="es-ES"/>
              </w:rPr>
              <w:t xml:space="preserve"> </w:t>
            </w: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</w:tr>
      <w:tr w:rsidR="00885ED4" w:rsidRPr="00906973" w:rsidTr="00885ED4">
        <w:tc>
          <w:tcPr>
            <w:tcW w:w="4407" w:type="dxa"/>
          </w:tcPr>
          <w:p w:rsidR="00885ED4" w:rsidRPr="00CD2A99" w:rsidRDefault="00885ED4" w:rsidP="00885ED4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CD2A99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1.1 </w:t>
            </w:r>
            <w:r w:rsidR="00CD2A99" w:rsidRPr="00CD2A99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Exploración de las opciones de respuesta</w:t>
            </w:r>
          </w:p>
          <w:p w:rsidR="00885ED4" w:rsidRPr="00CD2A99" w:rsidRDefault="00885ED4" w:rsidP="00885ED4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CD2A99"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Opciones de intervenciones de PTE</w:t>
            </w:r>
          </w:p>
          <w:p w:rsidR="00885ED4" w:rsidRPr="00CD2A99" w:rsidRDefault="00885ED4" w:rsidP="00885ED4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CD2A99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1.2 </w:t>
            </w:r>
            <w:r w:rsidR="00CD2A99" w:rsidRPr="00CD2A99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Comprobación de la viabilidad del uso de efectivo</w:t>
            </w:r>
          </w:p>
          <w:p w:rsidR="00885ED4" w:rsidRPr="00CD2A99" w:rsidRDefault="00885ED4" w:rsidP="00885ED4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CD2A99"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Lista de verificación para la viabilidad</w:t>
            </w:r>
            <w:r w:rsid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de la entrega de efectivo</w:t>
            </w:r>
          </w:p>
          <w:p w:rsidR="00CD2A99" w:rsidRPr="00CD2A99" w:rsidRDefault="00885ED4" w:rsidP="00CD2A99">
            <w:pPr>
              <w:rPr>
                <w:b/>
                <w:sz w:val="14"/>
                <w:lang w:val="es-ES"/>
              </w:rPr>
            </w:pPr>
            <w:r w:rsidRPr="00CD2A99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1.3 </w:t>
            </w:r>
            <w:r w:rsidR="00CD2A99" w:rsidRPr="00CD2A99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Identificación de criterios de comparación de modalidades y mecanismos de entrega</w:t>
            </w:r>
          </w:p>
          <w:p w:rsidR="00885ED4" w:rsidRPr="00CD2A99" w:rsidRDefault="00885ED4" w:rsidP="00885ED4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</w:p>
          <w:p w:rsidR="00885ED4" w:rsidRDefault="00885ED4" w:rsidP="00CD2A99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</w:rPr>
            </w:pPr>
            <w:r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CD2A99"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Comparación de modalidades y mecanismos de PTE </w:t>
            </w:r>
          </w:p>
          <w:p w:rsidR="00885ED4" w:rsidRPr="00CD2A99" w:rsidRDefault="00885ED4" w:rsidP="00CD2A99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.2 </w:t>
            </w:r>
            <w:r w:rsidR="00CD2A99"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Ventajas y desventajas de las modalidades de PTE</w:t>
            </w:r>
            <w:r w:rsid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</w:p>
          <w:p w:rsidR="00CD2A99" w:rsidRPr="00CD2A99" w:rsidRDefault="00885ED4" w:rsidP="00CD2A99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.3 </w:t>
            </w:r>
            <w:r w:rsid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Ventajas y desventajas de los mecanismo </w:t>
            </w:r>
            <w:r w:rsidR="00CD2A99" w:rsidRPr="00CD2A99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de PTE </w:t>
            </w:r>
          </w:p>
          <w:p w:rsidR="00885ED4" w:rsidRPr="00467BB3" w:rsidRDefault="00885ED4" w:rsidP="00885ED4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1.4 </w:t>
            </w:r>
            <w:r w:rsidR="00467BB3"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Realización de un análisis de riesgos exhaustivo</w:t>
            </w:r>
          </w:p>
          <w:p w:rsidR="00885ED4" w:rsidRPr="00467BB3" w:rsidRDefault="00885ED4" w:rsidP="00885ED4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467BB3"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Hoja de ruta para el análisis de riesgos de PTE</w:t>
            </w:r>
          </w:p>
          <w:p w:rsidR="00885ED4" w:rsidRPr="00467BB3" w:rsidRDefault="00467BB3" w:rsidP="00467BB3">
            <w:pPr>
              <w:autoSpaceDE w:val="0"/>
              <w:autoSpaceDN w:val="0"/>
              <w:adjustRightInd w:val="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Pr="00467BB3">
              <w:rPr>
                <w:sz w:val="28"/>
                <w:lang w:val="es-ES"/>
              </w:rPr>
              <w:sym w:font="Webdings" w:char="F0A4"/>
            </w:r>
            <w:r w:rsidR="00885ED4"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.2 </w:t>
            </w: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de la matriz de riesgos de PTE</w:t>
            </w:r>
          </w:p>
          <w:p w:rsidR="00885ED4" w:rsidRPr="00467BB3" w:rsidRDefault="00467BB3" w:rsidP="00467BB3">
            <w:pPr>
              <w:autoSpaceDE w:val="0"/>
              <w:autoSpaceDN w:val="0"/>
              <w:adjustRightInd w:val="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Pr="00467BB3">
              <w:rPr>
                <w:sz w:val="28"/>
                <w:lang w:val="es-ES"/>
              </w:rPr>
              <w:sym w:font="Webdings" w:char="F0A4"/>
            </w:r>
            <w:r w:rsidR="00885ED4"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.3 </w:t>
            </w: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de registro de riesgos de PTE</w:t>
            </w:r>
          </w:p>
          <w:p w:rsidR="00885ED4" w:rsidRPr="00674665" w:rsidRDefault="00885ED4" w:rsidP="00885ED4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1.5 </w:t>
            </w:r>
            <w:r w:rsidR="00467BB3"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Cálculo de</w:t>
            </w:r>
            <w:r w:rsidR="00674665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la</w:t>
            </w:r>
            <w:r w:rsidR="00467BB3"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</w:t>
            </w:r>
            <w:r w:rsidR="00467BB3" w:rsidRPr="00674665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rentabilidad (coste eficacia) </w:t>
            </w:r>
          </w:p>
          <w:p w:rsidR="00885ED4" w:rsidRPr="00467BB3" w:rsidRDefault="00467BB3" w:rsidP="00467BB3">
            <w:pPr>
              <w:autoSpaceDE w:val="0"/>
              <w:autoSpaceDN w:val="0"/>
              <w:adjustRightInd w:val="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674665">
              <w:rPr>
                <w:sz w:val="28"/>
                <w:lang w:val="es-ES"/>
              </w:rPr>
              <w:t xml:space="preserve">        </w:t>
            </w:r>
            <w:r w:rsidRPr="00674665">
              <w:rPr>
                <w:sz w:val="28"/>
                <w:lang w:val="es-ES"/>
              </w:rPr>
              <w:sym w:font="Webdings" w:char="F0A4"/>
            </w:r>
            <w:r w:rsidR="00885ED4" w:rsidRPr="00674665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AC264D" w:rsidRPr="00674665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para el cálculo del coste-eficacia</w:t>
            </w:r>
            <w:r w:rsidR="00AC264D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</w:p>
          <w:p w:rsidR="00885ED4" w:rsidRPr="00467BB3" w:rsidRDefault="00885ED4" w:rsidP="00885ED4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1.6 </w:t>
            </w:r>
            <w:r w:rsidR="00467BB3"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Comparación de opciones y toma de decisiones</w:t>
            </w:r>
          </w:p>
          <w:p w:rsidR="00885ED4" w:rsidRPr="00885ED4" w:rsidRDefault="00467BB3" w:rsidP="00467BB3">
            <w:pPr>
              <w:rPr>
                <w:lang w:val="es-ES"/>
              </w:rPr>
            </w:pPr>
            <w:r>
              <w:rPr>
                <w:sz w:val="28"/>
                <w:lang w:val="es-ES"/>
              </w:rPr>
              <w:t xml:space="preserve">       </w:t>
            </w:r>
            <w:r w:rsidRPr="00467BB3">
              <w:rPr>
                <w:sz w:val="28"/>
                <w:lang w:val="es-ES"/>
              </w:rPr>
              <w:sym w:font="Webdings" w:char="F0A4"/>
            </w:r>
            <w:r w:rsidR="00885ED4"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Plantilla de la matriz de decisión  </w:t>
            </w:r>
          </w:p>
        </w:tc>
        <w:tc>
          <w:tcPr>
            <w:tcW w:w="4407" w:type="dxa"/>
          </w:tcPr>
          <w:p w:rsidR="00467BB3" w:rsidRPr="00467BB3" w:rsidRDefault="00467BB3" w:rsidP="00467BB3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2.1 Establecer el valor</w:t>
            </w:r>
          </w:p>
          <w:p w:rsidR="00467BB3" w:rsidRPr="00467BB3" w:rsidRDefault="00467BB3" w:rsidP="00467BB3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Plantilla para el cálculo del valor de la transferencia </w:t>
            </w:r>
          </w:p>
          <w:p w:rsidR="00467BB3" w:rsidRDefault="00467BB3" w:rsidP="00467BB3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</w:rPr>
            </w:pP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.2 Consideraciones para fijar el valor de las transferencias </w:t>
            </w:r>
          </w:p>
          <w:p w:rsidR="00467BB3" w:rsidRPr="00467BB3" w:rsidRDefault="00467BB3" w:rsidP="00467BB3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467BB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2.2 Ajustar el valor </w:t>
            </w:r>
          </w:p>
          <w:p w:rsidR="00467BB3" w:rsidRPr="00467BB3" w:rsidRDefault="00467BB3" w:rsidP="00467BB3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.1 Ajustar el valor de la transferencia al tamaño del hogar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</w:t>
            </w:r>
          </w:p>
          <w:p w:rsidR="00885ED4" w:rsidRPr="00467BB3" w:rsidRDefault="00467BB3" w:rsidP="00906973">
            <w:pPr>
              <w:ind w:left="720"/>
              <w:rPr>
                <w:lang w:val="es-ES"/>
              </w:rPr>
            </w:pPr>
            <w:r w:rsidRPr="00467BB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.2 Ajustar el valor de la transferencia a</w:t>
            </w:r>
            <w:r w:rsidR="0090697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los cambios de</w:t>
            </w:r>
            <w:bookmarkStart w:id="0" w:name="_GoBack"/>
            <w:bookmarkEnd w:id="0"/>
            <w:r w:rsidR="0090697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 precios </w:t>
            </w:r>
          </w:p>
        </w:tc>
        <w:tc>
          <w:tcPr>
            <w:tcW w:w="4408" w:type="dxa"/>
          </w:tcPr>
          <w:p w:rsidR="00906973" w:rsidRPr="00906973" w:rsidRDefault="00906973" w:rsidP="00906973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90697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3.1 Identificación de las áreas más afectadas</w:t>
            </w:r>
          </w:p>
          <w:p w:rsidR="00906973" w:rsidRPr="00906973" w:rsidRDefault="00906973" w:rsidP="00906973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90697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 w:rsidR="007E5C30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Plantilla para la selección geográfica de beneficiarios</w:t>
            </w:r>
          </w:p>
          <w:p w:rsidR="00906973" w:rsidRPr="00906973" w:rsidRDefault="00906973" w:rsidP="00906973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90697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.2 Mapeo de vulnerabilidades en contextos urbanos </w:t>
            </w:r>
          </w:p>
          <w:p w:rsidR="00906973" w:rsidRDefault="00906973" w:rsidP="00906973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906973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3.2 Identificación de los criterios de selección de beneficiarios y mecanismos de entrega  </w:t>
            </w:r>
          </w:p>
          <w:p w:rsidR="00906973" w:rsidRPr="00906973" w:rsidRDefault="00906973" w:rsidP="00906973">
            <w:pPr>
              <w:autoSpaceDE w:val="0"/>
              <w:autoSpaceDN w:val="0"/>
              <w:adjustRightInd w:val="0"/>
              <w:ind w:left="720"/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</w:pPr>
            <w:r w:rsidRPr="0090697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 xml:space="preserve">.1 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Criterios de selección de beneficiarios</w:t>
            </w:r>
          </w:p>
          <w:p w:rsidR="00885ED4" w:rsidRPr="00906973" w:rsidRDefault="00906973" w:rsidP="00906973">
            <w:pPr>
              <w:ind w:left="720"/>
              <w:rPr>
                <w:lang w:val="es-ES"/>
              </w:rPr>
            </w:pPr>
            <w:r w:rsidRPr="00906973"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.2 M</w:t>
            </w:r>
            <w:r>
              <w:rPr>
                <w:rFonts w:ascii="CaeciliaLTStd-Light" w:hAnsi="CaeciliaLTStd-Light" w:cs="CaeciliaLTStd-Light"/>
                <w:sz w:val="18"/>
                <w:szCs w:val="18"/>
                <w:lang w:val="es-ES"/>
              </w:rPr>
              <w:t>ecanismo de selección de beneficiarios</w:t>
            </w:r>
          </w:p>
        </w:tc>
      </w:tr>
    </w:tbl>
    <w:p w:rsidR="00885ED4" w:rsidRDefault="004B3A10" w:rsidP="004B3A10">
      <w:pPr>
        <w:ind w:left="7200" w:firstLine="720"/>
        <w:jc w:val="center"/>
        <w:rPr>
          <w:rFonts w:ascii="CaeciliaLTStd-Bold" w:hAnsi="CaeciliaLTStd-Bold" w:cs="CaeciliaLTStd-Bold"/>
          <w:b/>
          <w:bCs/>
          <w:sz w:val="20"/>
          <w:szCs w:val="20"/>
        </w:rPr>
      </w:pPr>
      <w:r>
        <w:rPr>
          <w:rFonts w:ascii="CaeciliaLTStd-Bold" w:hAnsi="CaeciliaLTStd-Bold" w:cs="CaeciliaLTStd-Bold"/>
          <w:b/>
          <w:bCs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6359746</wp:posOffset>
                </wp:positionH>
                <wp:positionV relativeFrom="paragraph">
                  <wp:posOffset>211234</wp:posOffset>
                </wp:positionV>
                <wp:extent cx="1956021" cy="588396"/>
                <wp:effectExtent l="0" t="0" r="254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A10" w:rsidRPr="004B3A10" w:rsidRDefault="004B3A10" w:rsidP="004B3A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67BB3">
                              <w:rPr>
                                <w:sz w:val="28"/>
                                <w:lang w:val="es-ES"/>
                              </w:rPr>
                              <w:sym w:font="Webdings" w:char="F0A4"/>
                            </w:r>
                            <w:r w:rsidRPr="004B3A10"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>= Plantilla</w:t>
                            </w:r>
                          </w:p>
                          <w:p w:rsidR="004B3A10" w:rsidRPr="004B3A10" w:rsidRDefault="004B3A10" w:rsidP="004B3A10">
                            <w:pPr>
                              <w:rPr>
                                <w:lang w:val="es-ES"/>
                              </w:rPr>
                            </w:pPr>
                            <w:r w:rsidRPr="004B3A10"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>Herramienta que puede ser adaptada</w:t>
                            </w:r>
                            <w:r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 xml:space="preserve"> para su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0.75pt;margin-top:16.65pt;width:154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" fillcolor="white [3201]" strokeweight=".5pt">
                <v:textbox>
                  <w:txbxContent>
                    <w:p w:rsidR="004B3A10" w:rsidRPr="004B3A10" w:rsidRDefault="004B3A10" w:rsidP="004B3A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</w:pPr>
                      <w:r w:rsidRPr="00467BB3">
                        <w:rPr>
                          <w:sz w:val="28"/>
                          <w:lang w:val="es-ES"/>
                        </w:rPr>
                        <w:sym w:font="Webdings" w:char="F0A4"/>
                      </w:r>
                      <w:r w:rsidRPr="004B3A10"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>= Plantilla</w:t>
                      </w:r>
                    </w:p>
                    <w:p w:rsidR="004B3A10" w:rsidRPr="004B3A10" w:rsidRDefault="004B3A10" w:rsidP="004B3A10">
                      <w:pPr>
                        <w:rPr>
                          <w:lang w:val="es-ES"/>
                        </w:rPr>
                      </w:pPr>
                      <w:r w:rsidRPr="004B3A10"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>Herramienta que puede ser adaptada</w:t>
                      </w:r>
                      <w:r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 xml:space="preserve"> para su uso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eciliaLTStd-Bold" w:hAnsi="CaeciliaLTStd-Bold" w:cs="CaeciliaLTStd-Bold"/>
          <w:b/>
          <w:bCs/>
          <w:sz w:val="20"/>
          <w:szCs w:val="20"/>
        </w:rPr>
        <w:t>Icon Key:</w:t>
      </w:r>
    </w:p>
    <w:p w:rsidR="004B3A10" w:rsidRPr="00906973" w:rsidRDefault="004B3A10" w:rsidP="004B3A10">
      <w:pPr>
        <w:ind w:left="7200" w:firstLine="720"/>
        <w:jc w:val="center"/>
        <w:rPr>
          <w:lang w:val="es-ES"/>
        </w:rPr>
      </w:pPr>
    </w:p>
    <w:sectPr w:rsidR="004B3A10" w:rsidRPr="00906973" w:rsidSect="00885ED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86" w:rsidRDefault="00734C86" w:rsidP="00885ED4">
      <w:pPr>
        <w:spacing w:after="0" w:line="240" w:lineRule="auto"/>
      </w:pPr>
      <w:r>
        <w:separator/>
      </w:r>
    </w:p>
  </w:endnote>
  <w:endnote w:type="continuationSeparator" w:id="0">
    <w:p w:rsidR="00734C86" w:rsidRDefault="00734C86" w:rsidP="0088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86" w:rsidRDefault="00734C86" w:rsidP="00885ED4">
      <w:pPr>
        <w:spacing w:after="0" w:line="240" w:lineRule="auto"/>
      </w:pPr>
      <w:r>
        <w:separator/>
      </w:r>
    </w:p>
  </w:footnote>
  <w:footnote w:type="continuationSeparator" w:id="0">
    <w:p w:rsidR="00734C86" w:rsidRDefault="00734C86" w:rsidP="0088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D4" w:rsidRDefault="00885ED4" w:rsidP="00885ED4">
    <w:pPr>
      <w:pStyle w:val="Header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899F912" wp14:editId="55F4FC82">
          <wp:simplePos x="0" y="0"/>
          <wp:positionH relativeFrom="column">
            <wp:posOffset>4235450</wp:posOffset>
          </wp:positionH>
          <wp:positionV relativeFrom="paragraph">
            <wp:posOffset>-108585</wp:posOffset>
          </wp:positionV>
          <wp:extent cx="619760" cy="7124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CR ESPAÑ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21F733" wp14:editId="0B153B8B">
          <wp:simplePos x="0" y="0"/>
          <wp:positionH relativeFrom="column">
            <wp:posOffset>4975225</wp:posOffset>
          </wp:positionH>
          <wp:positionV relativeFrom="paragraph">
            <wp:posOffset>74930</wp:posOffset>
          </wp:positionV>
          <wp:extent cx="3744595" cy="36957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F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59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E5C"/>
    <w:multiLevelType w:val="hybridMultilevel"/>
    <w:tmpl w:val="156AD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3A"/>
    <w:rsid w:val="003C7D03"/>
    <w:rsid w:val="00467BB3"/>
    <w:rsid w:val="004B3A10"/>
    <w:rsid w:val="00674665"/>
    <w:rsid w:val="00734C86"/>
    <w:rsid w:val="007B773A"/>
    <w:rsid w:val="007E5C30"/>
    <w:rsid w:val="00885ED4"/>
    <w:rsid w:val="00906973"/>
    <w:rsid w:val="00AA461C"/>
    <w:rsid w:val="00AC264D"/>
    <w:rsid w:val="00CD2A99"/>
    <w:rsid w:val="00CF50F0"/>
    <w:rsid w:val="00D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67857"/>
  <w15:docId w15:val="{96125A26-AEF1-4FFE-94AB-2025A0A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D4"/>
  </w:style>
  <w:style w:type="paragraph" w:styleId="Footer">
    <w:name w:val="footer"/>
    <w:basedOn w:val="Normal"/>
    <w:link w:val="FooterChar"/>
    <w:uiPriority w:val="99"/>
    <w:unhideWhenUsed/>
    <w:rsid w:val="00885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D4"/>
  </w:style>
  <w:style w:type="paragraph" w:styleId="BalloonText">
    <w:name w:val="Balloon Text"/>
    <w:basedOn w:val="Normal"/>
    <w:link w:val="BalloonTextChar"/>
    <w:uiPriority w:val="99"/>
    <w:semiHidden/>
    <w:unhideWhenUsed/>
    <w:rsid w:val="0088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2A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Ines DALMAU i GUTSENS</cp:lastModifiedBy>
  <cp:revision>5</cp:revision>
  <dcterms:created xsi:type="dcterms:W3CDTF">2015-12-13T22:53:00Z</dcterms:created>
  <dcterms:modified xsi:type="dcterms:W3CDTF">2016-02-11T19:14:00Z</dcterms:modified>
</cp:coreProperties>
</file>