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13F3" w14:textId="77777777" w:rsidR="00885ED4" w:rsidRDefault="00885ED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760"/>
        <w:gridCol w:w="7084"/>
      </w:tblGrid>
      <w:tr w:rsidR="00885ED4" w:rsidRPr="00EA0354" w14:paraId="4781C436" w14:textId="77777777" w:rsidTr="004E73E5">
        <w:tc>
          <w:tcPr>
            <w:tcW w:w="378" w:type="dxa"/>
          </w:tcPr>
          <w:p w14:paraId="55714B7C" w14:textId="77777777" w:rsidR="00885ED4" w:rsidRDefault="00885ED4">
            <w:pPr>
              <w:rPr>
                <w:lang w:val="es-ES"/>
              </w:rPr>
            </w:pPr>
          </w:p>
        </w:tc>
        <w:tc>
          <w:tcPr>
            <w:tcW w:w="5760" w:type="dxa"/>
          </w:tcPr>
          <w:p w14:paraId="50BC1E11" w14:textId="34306DD5" w:rsidR="00D147A6" w:rsidRPr="007937BD" w:rsidRDefault="008637F1" w:rsidP="008637F1">
            <w:pPr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</w:pPr>
            <w:r w:rsidRPr="0002694C"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  <w:t>Diseño e implementación</w:t>
            </w:r>
          </w:p>
        </w:tc>
        <w:tc>
          <w:tcPr>
            <w:tcW w:w="7084" w:type="dxa"/>
          </w:tcPr>
          <w:p w14:paraId="5BDA44D2" w14:textId="77777777" w:rsidR="00885ED4" w:rsidRDefault="00885ED4" w:rsidP="00885ED4">
            <w:pP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Guía detallada del módulo</w:t>
            </w:r>
          </w:p>
          <w:p w14:paraId="0EED7A84" w14:textId="77777777" w:rsidR="006645FE" w:rsidRDefault="006645FE" w:rsidP="006645FE">
            <w:pPr>
              <w:jc w:val="right"/>
              <w:rPr>
                <w:lang w:val="es-ES"/>
              </w:rPr>
            </w:pPr>
            <w:r w:rsidRPr="00D36F76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Página</w:t>
            </w:r>
            <w: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 xml:space="preserve"> 1 de 2 </w:t>
            </w:r>
          </w:p>
        </w:tc>
      </w:tr>
    </w:tbl>
    <w:p w14:paraId="5851368A" w14:textId="77777777" w:rsidR="00885ED4" w:rsidRDefault="00885ED4" w:rsidP="00885ED4">
      <w:pPr>
        <w:jc w:val="center"/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</w:pPr>
      <w:r w:rsidRPr="00885ED4"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>Hoja de ruta del m</w:t>
      </w:r>
      <w:r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>ó</w:t>
      </w:r>
      <w:r w:rsidRPr="00885ED4"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 xml:space="preserve">dulo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46"/>
        <w:gridCol w:w="4408"/>
      </w:tblGrid>
      <w:tr w:rsidR="00885ED4" w:rsidRPr="00EA0354" w14:paraId="66AFDC18" w14:textId="77777777" w:rsidTr="0002694C">
        <w:tc>
          <w:tcPr>
            <w:tcW w:w="4068" w:type="dxa"/>
          </w:tcPr>
          <w:p w14:paraId="3EA62DB1" w14:textId="49257CAE" w:rsidR="00D147A6" w:rsidRDefault="00885ED4" w:rsidP="00885ED4">
            <w:pPr>
              <w:autoSpaceDE w:val="0"/>
              <w:autoSpaceDN w:val="0"/>
              <w:adjustRightInd w:val="0"/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1 </w:t>
            </w:r>
            <w:r w:rsidR="008637F1" w:rsidRPr="0002694C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Diseño </w:t>
            </w:r>
            <w:r w:rsidR="00D147A6" w:rsidRPr="0002694C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del</w:t>
            </w:r>
            <w:r w:rsidR="00D147A6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 programa</w:t>
            </w:r>
          </w:p>
          <w:p w14:paraId="406CCD1E" w14:textId="77777777" w:rsidR="00885ED4" w:rsidRDefault="00885ED4" w:rsidP="00885ED4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  <w:r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746" w:type="dxa"/>
          </w:tcPr>
          <w:p w14:paraId="2905C65A" w14:textId="77777777" w:rsidR="00D147A6" w:rsidRDefault="00885ED4" w:rsidP="00885ED4">
            <w:pPr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2 </w:t>
            </w:r>
            <w:r w:rsidR="009A323C" w:rsidRPr="007937BD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Comunicaci</w:t>
            </w:r>
            <w:r w:rsidR="000D0601" w:rsidRPr="007937BD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ón y rendición de cuentas </w:t>
            </w:r>
            <w:r w:rsidR="009A323C" w:rsidRPr="007937BD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a los beneficiarios</w:t>
            </w:r>
            <w:r w:rsidR="009A323C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14:paraId="0A72E3E4" w14:textId="77777777" w:rsidR="00885ED4" w:rsidRPr="00885ED4" w:rsidRDefault="00885ED4" w:rsidP="00885ED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  <w:tc>
          <w:tcPr>
            <w:tcW w:w="4408" w:type="dxa"/>
          </w:tcPr>
          <w:p w14:paraId="749D5D78" w14:textId="77777777" w:rsidR="009A323C" w:rsidRDefault="00885ED4" w:rsidP="00885ED4">
            <w:pPr>
              <w:jc w:val="center"/>
              <w:rPr>
                <w:rFonts w:ascii="CaeciliaLTStd-Bold" w:hAnsi="CaeciliaLTStd-Bold" w:cs="CaeciliaLTStd-Bold"/>
                <w:b/>
                <w:bCs/>
                <w:lang w:val="es-ES"/>
              </w:rPr>
            </w:pPr>
            <w:r w:rsidRPr="009A323C"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Etapa 3  </w:t>
            </w:r>
            <w:r w:rsidR="009A323C" w:rsidRPr="00AB7D81">
              <w:rPr>
                <w:rFonts w:ascii="CaeciliaLTStd-Bold" w:hAnsi="CaeciliaLTStd-Bold" w:cs="CaeciliaLTStd-Bold"/>
                <w:b/>
                <w:bCs/>
                <w:lang w:val="es-ES"/>
              </w:rPr>
              <w:t>Selección de proveedores de servicios</w:t>
            </w:r>
            <w:r w:rsidR="009A323C" w:rsidRPr="009A323C"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 </w:t>
            </w:r>
          </w:p>
          <w:p w14:paraId="2C843346" w14:textId="0AF0D207" w:rsidR="00885ED4" w:rsidRPr="00885ED4" w:rsidRDefault="00885ED4" w:rsidP="00885ED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</w:tr>
      <w:tr w:rsidR="00885ED4" w:rsidRPr="00EA0354" w14:paraId="0ECBDF8B" w14:textId="77777777" w:rsidTr="0002694C">
        <w:tc>
          <w:tcPr>
            <w:tcW w:w="4068" w:type="dxa"/>
          </w:tcPr>
          <w:p w14:paraId="039B727E" w14:textId="77777777" w:rsidR="002A19D1" w:rsidRPr="002A19D1" w:rsidRDefault="002A19D1" w:rsidP="002A19D1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2A19D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Desarrollo del </w:t>
            </w:r>
            <w:r w:rsidR="00CA1E00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p</w:t>
            </w:r>
            <w:r w:rsidRPr="002A19D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lan operativo de PTE </w:t>
            </w:r>
          </w:p>
          <w:p w14:paraId="4C7C6511" w14:textId="63249D9F" w:rsidR="009A323C" w:rsidRPr="007A60D9" w:rsidRDefault="009A323C" w:rsidP="009A323C">
            <w:pPr>
              <w:autoSpaceDE w:val="0"/>
              <w:autoSpaceDN w:val="0"/>
              <w:adjustRightInd w:val="0"/>
              <w:ind w:left="72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7A60D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182CB5" w:rsidRPr="007A60D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</w:t>
            </w:r>
            <w:r w:rsidR="007A60D9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del Plan de Acción para PTE</w:t>
            </w:r>
            <w:r w:rsidR="007937BD">
              <w:rPr>
                <w:rFonts w:ascii="CaeciliaLTStd-Light" w:hAnsi="CaeciliaLTStd-Light" w:cs="CaeciliaLTStd-Light"/>
                <w:color w:val="FF0000"/>
                <w:sz w:val="18"/>
                <w:szCs w:val="18"/>
                <w:lang w:val="es-ES"/>
              </w:rPr>
              <w:t xml:space="preserve"> </w:t>
            </w:r>
          </w:p>
          <w:p w14:paraId="5B3E2267" w14:textId="1D146843" w:rsidR="009A323C" w:rsidRPr="00182CB5" w:rsidRDefault="009A323C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548DD4" w:themeColor="text2" w:themeTint="99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182CB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182CB5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</w:t>
            </w:r>
            <w:r w:rsidR="007937BD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 marco lógico</w:t>
            </w:r>
          </w:p>
          <w:p w14:paraId="79BAB277" w14:textId="32F08272" w:rsidR="009A323C" w:rsidRPr="00182CB5" w:rsidRDefault="009A323C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182CB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182CB5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</w:t>
            </w:r>
            <w:r w:rsidR="00043DB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 p</w:t>
            </w:r>
            <w:r w:rsidR="00182CB5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resupuesto de la FICR</w:t>
            </w:r>
            <w:r w:rsidR="00182CB5" w:rsidRPr="00182CB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0A5D7266" w14:textId="4044078F" w:rsidR="009A323C" w:rsidRPr="00765A42" w:rsidRDefault="009A323C" w:rsidP="009A323C">
            <w:pPr>
              <w:autoSpaceDE w:val="0"/>
              <w:autoSpaceDN w:val="0"/>
              <w:adjustRightInd w:val="0"/>
              <w:ind w:left="72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="00765A4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</w:t>
            </w:r>
            <w:r w:rsidR="00043DB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</w:t>
            </w:r>
            <w:r w:rsidR="00765A4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043DB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 w:rsidR="00765A4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lan de trabajo de PTE</w:t>
            </w:r>
            <w:r w:rsidR="00765A42"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3DFA6D93" w14:textId="77777777" w:rsidR="009A323C" w:rsidRPr="00765A42" w:rsidRDefault="00885ED4" w:rsidP="009A323C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765A4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1.2 </w:t>
            </w:r>
            <w:r w:rsidR="00765A42" w:rsidRPr="00765A4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Coordinación interna</w:t>
            </w:r>
          </w:p>
          <w:p w14:paraId="4B4A74EC" w14:textId="73647092" w:rsidR="009A323C" w:rsidRPr="00765A42" w:rsidRDefault="009A323C" w:rsidP="009A323C">
            <w:pPr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765A42"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Coordinación interna de PTE </w:t>
            </w:r>
            <w:r w:rsidR="007937BD">
              <w:rPr>
                <w:rFonts w:ascii="CaeciliaLTStd-Light" w:hAnsi="CaeciliaLTStd-Light" w:cs="CaeciliaLTStd-Light"/>
                <w:color w:val="548DD4" w:themeColor="text2" w:themeTint="99"/>
                <w:sz w:val="18"/>
                <w:szCs w:val="18"/>
                <w:lang w:val="es-ES"/>
              </w:rPr>
              <w:t xml:space="preserve"> </w:t>
            </w:r>
          </w:p>
          <w:p w14:paraId="02745762" w14:textId="44016FB5" w:rsidR="009A323C" w:rsidRPr="00765A42" w:rsidRDefault="00885ED4" w:rsidP="009A323C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765A4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1.3 </w:t>
            </w:r>
            <w:r w:rsidR="00765A42" w:rsidRPr="00765A4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Coordinación con otros actores </w:t>
            </w:r>
            <w:r w:rsidR="007937BD">
              <w:rPr>
                <w:rFonts w:ascii="CaeciliaLTStd-Bold" w:hAnsi="CaeciliaLTStd-Bold" w:cs="CaeciliaLTStd-Bold"/>
                <w:b/>
                <w:bCs/>
                <w:color w:val="548DD4" w:themeColor="text2" w:themeTint="99"/>
                <w:sz w:val="19"/>
                <w:szCs w:val="19"/>
                <w:lang w:val="es-ES"/>
              </w:rPr>
              <w:t xml:space="preserve"> </w:t>
            </w:r>
          </w:p>
          <w:p w14:paraId="4448EF51" w14:textId="740B4579" w:rsidR="009A323C" w:rsidRPr="00765A42" w:rsidRDefault="009A323C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765A42"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Elementos clave de la coordinación de PTE </w:t>
            </w:r>
          </w:p>
          <w:p w14:paraId="3D11D06B" w14:textId="7B2F9746" w:rsidR="009A323C" w:rsidRDefault="009A323C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548DD4" w:themeColor="text2" w:themeTint="99"/>
                <w:sz w:val="18"/>
                <w:szCs w:val="18"/>
                <w:lang w:val="es-ES"/>
              </w:rPr>
            </w:pPr>
            <w:r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765A42"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Responsabilidades de </w:t>
            </w:r>
            <w:r w:rsid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los </w:t>
            </w:r>
            <w:r w:rsidR="00765A4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grupos de coordinación de</w:t>
            </w:r>
            <w:r w:rsidR="007A60D9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PTE</w:t>
            </w:r>
            <w:r w:rsid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765A42" w:rsidRPr="00765A42">
              <w:rPr>
                <w:rFonts w:ascii="CaeciliaLTStd-Light" w:hAnsi="CaeciliaLTStd-Light" w:cs="CaeciliaLTStd-Light"/>
                <w:color w:val="548DD4" w:themeColor="text2" w:themeTint="99"/>
                <w:sz w:val="18"/>
                <w:szCs w:val="18"/>
                <w:lang w:val="es-ES"/>
              </w:rPr>
              <w:t xml:space="preserve"> </w:t>
            </w:r>
          </w:p>
          <w:p w14:paraId="6F75691E" w14:textId="7DD6C209" w:rsidR="00885ED4" w:rsidRPr="000D0601" w:rsidRDefault="009A323C" w:rsidP="007937BD">
            <w:pPr>
              <w:autoSpaceDE w:val="0"/>
              <w:autoSpaceDN w:val="0"/>
              <w:adjustRightInd w:val="0"/>
              <w:ind w:left="720"/>
              <w:rPr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0D060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0D0601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la matriz 4W de PTE </w:t>
            </w:r>
            <w:r w:rsidR="007937BD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4746" w:type="dxa"/>
          </w:tcPr>
          <w:p w14:paraId="064E9259" w14:textId="27EB1C9B" w:rsidR="002A19D1" w:rsidRPr="000D0601" w:rsidRDefault="00467BB3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2.1 </w:t>
            </w:r>
            <w:r w:rsidR="000D0601"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Desarrollo de un </w:t>
            </w:r>
            <w:r w:rsidR="000D0601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plan de </w:t>
            </w:r>
            <w:r w:rsidR="00043DB2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c</w:t>
            </w:r>
            <w:r w:rsidR="000D0601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omunicación y rendición de cuentas a</w:t>
            </w:r>
            <w:r w:rsidR="00D42B96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0D0601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los beneficiarios</w:t>
            </w:r>
            <w:r w:rsidR="000D0601"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7937BD"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  <w:t xml:space="preserve"> </w:t>
            </w:r>
          </w:p>
          <w:p w14:paraId="0F5109EC" w14:textId="20DDE9D1" w:rsidR="002A19D1" w:rsidRPr="000D0601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0D060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0D0601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del plan de </w:t>
            </w:r>
            <w:r w:rsidR="00043DB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</w:t>
            </w:r>
            <w:r w:rsidR="000D0601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omunicación y rendición de cuentas a</w:t>
            </w:r>
            <w:r w:rsidR="00D42B96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0D0601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los beneficiarios</w:t>
            </w:r>
            <w:r w:rsidR="000D060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7937BD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32F64EF1" w14:textId="7E8BE968" w:rsidR="002A19D1" w:rsidRPr="000D0601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2.2 </w:t>
            </w:r>
            <w:r w:rsidR="000D0601"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Fortalecimiento de la capacidad</w:t>
            </w:r>
            <w:r w:rsid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0D0601"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del personal </w:t>
            </w:r>
            <w:r w:rsidR="007937BD"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  <w:t xml:space="preserve"> </w:t>
            </w:r>
          </w:p>
          <w:p w14:paraId="2E3F53D6" w14:textId="2FF66E47" w:rsidR="002A19D1" w:rsidRPr="003100E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3100E2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Pilares 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la </w:t>
            </w:r>
            <w:r w:rsidR="00043DB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omunicación y rendición de cuentas a</w:t>
            </w:r>
            <w:r w:rsidR="00D42B96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los beneficiarios </w:t>
            </w:r>
            <w:r w:rsidR="007937BD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4E7FFBE1" w14:textId="39485AB9" w:rsidR="002A19D1" w:rsidRPr="003100E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Diez reglas de la </w:t>
            </w:r>
            <w:r w:rsidR="00043DB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omunicación</w:t>
            </w:r>
            <w:r w:rsid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1EEEB6FD" w14:textId="08ED2564" w:rsidR="002A19D1" w:rsidRPr="003100E2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2.3 </w:t>
            </w:r>
            <w:r w:rsidR="003100E2" w:rsidRP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Selección de los canal</w:t>
            </w:r>
            <w:r w:rsid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</w:t>
            </w:r>
            <w:r w:rsidR="003100E2" w:rsidRP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s y </w:t>
            </w:r>
            <w:r w:rsid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las </w:t>
            </w:r>
            <w:r w:rsidR="003100E2" w:rsidRP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herramientas de comunicaci</w:t>
            </w:r>
            <w:r w:rsid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ón </w:t>
            </w:r>
            <w:r w:rsidR="007937BD"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  <w:t xml:space="preserve"> </w:t>
            </w:r>
          </w:p>
          <w:p w14:paraId="46EECFFE" w14:textId="0137F1B5" w:rsidR="002A19D1" w:rsidRPr="003100E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3100E2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Selección de las opciones de comunicación </w:t>
            </w:r>
          </w:p>
          <w:p w14:paraId="52AE1312" w14:textId="5A404F12" w:rsidR="002A19D1" w:rsidRPr="003100E2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2.4 </w:t>
            </w:r>
            <w:r w:rsidR="003100E2" w:rsidRPr="003100E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Desarrollo de mensajes para </w:t>
            </w:r>
            <w:r w:rsidR="003100E2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la audiencia </w:t>
            </w:r>
            <w:r w:rsidR="007A60D9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diana</w:t>
            </w:r>
            <w:r w:rsidR="003100E2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</w:p>
          <w:p w14:paraId="7B1E8489" w14:textId="2E4E8A02" w:rsidR="002A19D1" w:rsidRPr="003100E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3100E2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verificación de 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información clave </w:t>
            </w:r>
            <w:r w:rsidR="00A41FC6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sobre comunicación y redición de cuentas a los beneficiarios en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PTE </w:t>
            </w:r>
            <w:r w:rsidR="007937BD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5CCF644B" w14:textId="2B7689C3" w:rsidR="002A19D1" w:rsidRPr="003100E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3100E2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folleto de  comunicación a los beneficiarios</w:t>
            </w:r>
            <w:r w:rsid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7937BD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1B477A13" w14:textId="0E9A8AB1" w:rsidR="002A19D1" w:rsidRPr="003100E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3100E2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</w:t>
            </w:r>
            <w:r w:rsidR="00043DB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 w:rsidR="003100E2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reguntas </w:t>
            </w:r>
            <w:r w:rsidR="00A41FC6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frecuentes </w:t>
            </w:r>
            <w:r w:rsidR="00A41FC6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sobre</w:t>
            </w:r>
            <w:r w:rsidR="003100E2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PTE</w:t>
            </w:r>
            <w:r w:rsid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7937BD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2022E2CD" w14:textId="68A7197A" w:rsidR="002A19D1" w:rsidRPr="00D0716E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D0716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="003100E2" w:rsidRPr="00D0716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Preguntas frecuentes </w:t>
            </w:r>
            <w:r w:rsidR="00A41FC6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MICRMLR sobre</w:t>
            </w:r>
            <w:r w:rsidR="00D0716E"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PTE </w:t>
            </w:r>
          </w:p>
          <w:p w14:paraId="75639947" w14:textId="42092910" w:rsidR="00D0716E" w:rsidRPr="00AB7D81" w:rsidRDefault="002A19D1" w:rsidP="00D0716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D0716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2.5 </w:t>
            </w:r>
            <w:r w:rsidR="00D0716E" w:rsidRPr="00D0716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Desarrollo de </w:t>
            </w:r>
            <w:r w:rsidR="00D0716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un</w:t>
            </w:r>
            <w:r w:rsidR="00D0716E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a </w:t>
            </w:r>
            <w:r w:rsidR="005C47C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m</w:t>
            </w:r>
            <w:r w:rsidR="00D0716E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ecanismo de </w:t>
            </w:r>
            <w:r w:rsidR="005C47C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retroalimentación y respuesta a </w:t>
            </w:r>
            <w:r w:rsidR="00D0716E" w:rsidRPr="007937BD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quejas </w:t>
            </w:r>
            <w:r w:rsidR="005C47C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</w:p>
          <w:p w14:paraId="7FF685A8" w14:textId="27B9382C" w:rsidR="00D0716E" w:rsidRPr="00D0716E" w:rsidRDefault="002A19D1" w:rsidP="00D0716E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b/>
                <w:bCs/>
                <w:sz w:val="18"/>
                <w:szCs w:val="18"/>
                <w:lang w:val="es-ES"/>
              </w:rPr>
            </w:pPr>
            <w:r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D0716E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Elementos clave del mecanismo </w:t>
            </w:r>
            <w:r w:rsidR="005C47C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</w:t>
            </w:r>
            <w:r w:rsidR="00D0716E" w:rsidRPr="00AB7D81">
              <w:rPr>
                <w:rFonts w:ascii="CaeciliaLTStd-Light" w:hAnsi="CaeciliaLTStd-Light" w:cs="CaeciliaLTStd-Light"/>
                <w:bCs/>
                <w:sz w:val="18"/>
                <w:szCs w:val="18"/>
                <w:lang w:val="es-ES"/>
              </w:rPr>
              <w:t>retroalimentación</w:t>
            </w:r>
            <w:r w:rsidR="00D0716E" w:rsidRPr="00D0716E">
              <w:rPr>
                <w:rFonts w:ascii="CaeciliaLTStd-Light" w:hAnsi="CaeciliaLTStd-Light" w:cs="CaeciliaLTStd-Light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C47CE" w:rsidRPr="005C47CE">
              <w:rPr>
                <w:rFonts w:ascii="CaeciliaLTStd-Light" w:hAnsi="CaeciliaLTStd-Light" w:cs="CaeciliaLTStd-Light"/>
                <w:bCs/>
                <w:sz w:val="18"/>
                <w:szCs w:val="18"/>
                <w:lang w:val="es-ES"/>
              </w:rPr>
              <w:t>y respuesta a quejas</w:t>
            </w:r>
          </w:p>
          <w:p w14:paraId="5616D8E8" w14:textId="66BC499F" w:rsidR="002A19D1" w:rsidRPr="00AB7D81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D0716E" w:rsidRPr="005C47CE">
              <w:rPr>
                <w:rFonts w:ascii="CaeciliaLTStd-Light" w:hAnsi="CaeciliaLTStd-Light" w:cs="CaeciliaLTStd-Light"/>
                <w:sz w:val="18"/>
                <w:szCs w:val="18"/>
                <w:shd w:val="clear" w:color="auto" w:fill="FFFFFF" w:themeFill="background1"/>
                <w:lang w:val="es-ES"/>
              </w:rPr>
              <w:t>Plantilla del formulario</w:t>
            </w:r>
            <w:r w:rsidR="005C47C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D0716E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de retroalimentación</w:t>
            </w:r>
            <w:r w:rsidR="005C47C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y respuesta a quejas </w:t>
            </w:r>
          </w:p>
          <w:p w14:paraId="458C14B2" w14:textId="4A77E6B1" w:rsidR="002A19D1" w:rsidRPr="00AB7D81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D0716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D0716E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Procedimientos de retroalimentación </w:t>
            </w:r>
            <w:r w:rsidR="005C47C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y respuesta a quejas </w:t>
            </w:r>
          </w:p>
          <w:p w14:paraId="2A02D764" w14:textId="1BB08782" w:rsidR="002A19D1" w:rsidRPr="00AB7D81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2.6 </w:t>
            </w:r>
            <w:r w:rsidR="00D0716E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Revisión y aprendizaje </w:t>
            </w:r>
          </w:p>
          <w:p w14:paraId="4A0DF24A" w14:textId="5E4B5460" w:rsidR="00885ED4" w:rsidRPr="00D0716E" w:rsidRDefault="002A19D1" w:rsidP="00AB7D81">
            <w:pPr>
              <w:ind w:left="720"/>
              <w:rPr>
                <w:lang w:val="es-ES"/>
              </w:rPr>
            </w:pPr>
            <w:r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D0716E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verificación para la revisión del enfoque </w:t>
            </w:r>
            <w:r w:rsidR="00D0716E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lastRenderedPageBreak/>
              <w:t xml:space="preserve">de comunicación </w:t>
            </w:r>
          </w:p>
        </w:tc>
        <w:tc>
          <w:tcPr>
            <w:tcW w:w="4408" w:type="dxa"/>
          </w:tcPr>
          <w:p w14:paraId="1414EE5B" w14:textId="53B60047" w:rsidR="002A19D1" w:rsidRPr="00D0716E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D0716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lastRenderedPageBreak/>
              <w:t xml:space="preserve">3.1 </w:t>
            </w:r>
            <w:r w:rsidR="00D0716E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Búsqueda de </w:t>
            </w:r>
            <w:r w:rsidR="000D4A75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posibles </w:t>
            </w:r>
            <w:r w:rsidR="00A41FC6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proveedores</w:t>
            </w:r>
            <w:r w:rsidR="00D0716E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 de servicios </w:t>
            </w:r>
          </w:p>
          <w:p w14:paraId="0208DB00" w14:textId="2AD9A1C0" w:rsidR="002A19D1" w:rsidRPr="00CC023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CC0232"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</w:t>
            </w:r>
            <w:r w:rsidR="00CC023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verificación </w:t>
            </w:r>
            <w:r w:rsidR="00CC0232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requisitos </w:t>
            </w:r>
            <w:r w:rsidR="00043DB2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de</w:t>
            </w:r>
            <w:r w:rsidR="00756E4C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la</w:t>
            </w:r>
            <w:r w:rsidR="00D42B96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</w:t>
            </w:r>
            <w:r w:rsidR="00756E4C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transferencia</w:t>
            </w:r>
            <w:r w:rsidR="00D42B96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</w:t>
            </w:r>
            <w:r w:rsidR="00756E4C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a través de</w:t>
            </w:r>
            <w:r w:rsidR="00D42B96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teléfono</w:t>
            </w:r>
            <w:r w:rsidR="000C302B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</w:t>
            </w:r>
            <w:r w:rsidR="00D42B96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0C302B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m</w:t>
            </w:r>
            <w:r w:rsidR="000C302B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ó</w:t>
            </w:r>
            <w:r w:rsidR="000C302B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vil</w:t>
            </w:r>
            <w:r w:rsidR="000C302B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es</w:t>
            </w:r>
            <w:r w:rsidR="00CC023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 </w:t>
            </w:r>
          </w:p>
          <w:p w14:paraId="4F9598F5" w14:textId="77777777" w:rsidR="00AB7D81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CC023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verificación de requisitos </w:t>
            </w:r>
            <w:r w:rsidR="00043DB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</w:t>
            </w:r>
            <w:r w:rsidR="00D42B96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las </w:t>
            </w:r>
            <w:r w:rsidR="00CC023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tarjetas recargables</w:t>
            </w:r>
            <w:r w:rsidR="00CC0232"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580B1E57" w14:textId="2B522E21" w:rsidR="002A19D1" w:rsidRPr="00CC023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CC023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verificación de requisitos </w:t>
            </w:r>
            <w:r w:rsidR="00043DB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</w:t>
            </w:r>
            <w:r w:rsidR="00D42B96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las </w:t>
            </w:r>
            <w:r w:rsidR="00CC0232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transferencias electrónicas</w:t>
            </w:r>
            <w:r w:rsid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3D97D06A" w14:textId="174AAAFC" w:rsidR="002A19D1" w:rsidRPr="00CC0232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="00EA0354" w:rsidRPr="00EA035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Lista de verificación para la evaluación de las transferencias a través de empresas de envío de dinero</w:t>
            </w:r>
            <w:bookmarkStart w:id="0" w:name="_GoBack"/>
            <w:bookmarkEnd w:id="0"/>
          </w:p>
          <w:p w14:paraId="04234010" w14:textId="11F1A55A" w:rsidR="002A19D1" w:rsidRPr="00756E4C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756E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.5 </w:t>
            </w:r>
            <w:r w:rsidR="00756E4C" w:rsidRPr="00756E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verificación </w:t>
            </w:r>
            <w:r w:rsidR="00756E4C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para la evaluación</w:t>
            </w:r>
            <w:r w:rsidR="004E402F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756E4C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</w:t>
            </w:r>
            <w:r w:rsidR="00D42B96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los proveedores </w:t>
            </w:r>
            <w:r w:rsidR="00756E4C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de servicio</w:t>
            </w:r>
            <w:r w:rsidR="00D42B96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</w:t>
            </w:r>
            <w:r w:rsidR="00756E4C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70A116E0" w14:textId="77777777" w:rsidR="00AB7D81" w:rsidRDefault="002A19D1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3.2 </w:t>
            </w:r>
            <w:r w:rsidR="004E402F"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Proceso de licitación y selecci</w:t>
            </w:r>
            <w:r w:rsid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ón del proveedor de servicios</w:t>
            </w:r>
            <w:r w:rsidR="004E402F" w:rsidRPr="004E402F"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  <w:t xml:space="preserve"> </w:t>
            </w:r>
          </w:p>
          <w:p w14:paraId="7AFAE015" w14:textId="299F7A46" w:rsidR="002A19D1" w:rsidRPr="004E402F" w:rsidRDefault="002A19D1" w:rsidP="00CC557E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</w:t>
            </w:r>
            <w:r w:rsid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de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 </w:t>
            </w:r>
            <w:r w:rsidR="00043DB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a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lcance del trabajo del proveedor de servicio</w:t>
            </w:r>
            <w:r w:rsid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4E402F" w:rsidRPr="004E402F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057379D9" w14:textId="66229A95" w:rsidR="002A19D1" w:rsidRPr="004E402F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3.3 </w:t>
            </w:r>
            <w:r w:rsidR="004E402F"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Contrato y definición del modo de trabajo </w:t>
            </w:r>
          </w:p>
          <w:p w14:paraId="3A1622D2" w14:textId="58912716" w:rsidR="002A19D1" w:rsidRPr="004E402F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del contrato estándar de la FICR </w:t>
            </w:r>
          </w:p>
          <w:p w14:paraId="7E429379" w14:textId="5395527B" w:rsidR="002A19D1" w:rsidRPr="004E402F" w:rsidRDefault="002A19D1" w:rsidP="004E402F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Lista de verificación de los requisit</w:t>
            </w:r>
            <w:r w:rsid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 del contrato</w:t>
            </w:r>
            <w:r w:rsid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de transferencia electrónica </w:t>
            </w:r>
            <w:r w:rsidR="004E402F" w:rsidRPr="004E402F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 </w:t>
            </w:r>
          </w:p>
          <w:p w14:paraId="0A62F9D6" w14:textId="7D83A628" w:rsidR="002A19D1" w:rsidRPr="007A60D9" w:rsidRDefault="002A19D1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3.4 </w:t>
            </w:r>
            <w:r w:rsidR="00AB7D81"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Gestión</w:t>
            </w:r>
            <w:r w:rsidR="004E402F"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y protección de datos de los </w:t>
            </w:r>
            <w:r w:rsidR="00AB7D81"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beneficiarios</w:t>
            </w:r>
            <w:r w:rsidR="004E402F"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</w:p>
          <w:p w14:paraId="12172D69" w14:textId="24B65EB5" w:rsidR="002A19D1" w:rsidRPr="004E402F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Principios de protección de </w:t>
            </w:r>
            <w:r w:rsidR="004E402F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datos en PTE </w:t>
            </w:r>
          </w:p>
          <w:p w14:paraId="1E35BE22" w14:textId="035C1C3A" w:rsidR="00885ED4" w:rsidRPr="00906973" w:rsidRDefault="002A19D1" w:rsidP="00AB7D81">
            <w:pPr>
              <w:ind w:left="720"/>
              <w:rPr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 w:rsid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la</w:t>
            </w:r>
            <w:r w:rsidR="004E402F"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ntilla de la cláusula de protecci</w:t>
            </w:r>
            <w:r w:rsid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ón de datos </w:t>
            </w:r>
          </w:p>
        </w:tc>
      </w:tr>
    </w:tbl>
    <w:p w14:paraId="73478251" w14:textId="77777777" w:rsidR="002A19D1" w:rsidRPr="004E402F" w:rsidRDefault="002A19D1" w:rsidP="004B3A10">
      <w:pPr>
        <w:ind w:left="7200" w:firstLine="720"/>
        <w:jc w:val="center"/>
        <w:rPr>
          <w:rFonts w:ascii="CaeciliaLTStd-Bold" w:hAnsi="CaeciliaLTStd-Bold" w:cs="CaeciliaLTStd-Bold"/>
          <w:b/>
          <w:bCs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760"/>
        <w:gridCol w:w="7084"/>
      </w:tblGrid>
      <w:tr w:rsidR="002A19D1" w:rsidRPr="00EA0354" w14:paraId="62BA218B" w14:textId="77777777" w:rsidTr="00244930">
        <w:tc>
          <w:tcPr>
            <w:tcW w:w="378" w:type="dxa"/>
          </w:tcPr>
          <w:p w14:paraId="195F49DA" w14:textId="77777777" w:rsidR="002A19D1" w:rsidRDefault="002A19D1" w:rsidP="00244930">
            <w:pPr>
              <w:rPr>
                <w:lang w:val="es-ES"/>
              </w:rPr>
            </w:pPr>
          </w:p>
        </w:tc>
        <w:tc>
          <w:tcPr>
            <w:tcW w:w="5760" w:type="dxa"/>
          </w:tcPr>
          <w:p w14:paraId="71599A04" w14:textId="544CDDE5" w:rsidR="002A19D1" w:rsidRPr="005F0951" w:rsidRDefault="002A19D1" w:rsidP="00244930">
            <w:pPr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</w:pPr>
            <w:r w:rsidRPr="005F0951"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  <w:t>Puesta en marcha e implementación</w:t>
            </w:r>
          </w:p>
        </w:tc>
        <w:tc>
          <w:tcPr>
            <w:tcW w:w="7084" w:type="dxa"/>
          </w:tcPr>
          <w:p w14:paraId="15768C42" w14:textId="77777777" w:rsidR="002A19D1" w:rsidRDefault="002A19D1" w:rsidP="00244930">
            <w:pP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Guía detallada del módulo</w:t>
            </w:r>
          </w:p>
          <w:p w14:paraId="7FEF7CBD" w14:textId="77777777" w:rsidR="002A19D1" w:rsidRDefault="002A19D1" w:rsidP="00244930">
            <w:pP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</w:pPr>
          </w:p>
          <w:p w14:paraId="21916AC7" w14:textId="77777777" w:rsidR="002A19D1" w:rsidRDefault="002A19D1" w:rsidP="002A19D1">
            <w:pPr>
              <w:jc w:val="right"/>
              <w:rPr>
                <w:lang w:val="es-ES"/>
              </w:rPr>
            </w:pPr>
            <w:r w:rsidRPr="00D36F76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Página</w:t>
            </w:r>
            <w: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 xml:space="preserve"> 2 de 2 </w:t>
            </w:r>
          </w:p>
        </w:tc>
      </w:tr>
    </w:tbl>
    <w:p w14:paraId="19A5B5C1" w14:textId="77777777" w:rsidR="002A19D1" w:rsidRPr="002A19D1" w:rsidRDefault="002A19D1" w:rsidP="004B3A10">
      <w:pPr>
        <w:ind w:left="7200" w:firstLine="720"/>
        <w:jc w:val="center"/>
        <w:rPr>
          <w:rFonts w:ascii="CaeciliaLTStd-Bold" w:hAnsi="CaeciliaLTStd-Bold" w:cs="CaeciliaLTStd-Bold"/>
          <w:b/>
          <w:bCs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5331"/>
      </w:tblGrid>
      <w:tr w:rsidR="002A19D1" w:rsidRPr="00EA0354" w14:paraId="46EC89A4" w14:textId="77777777" w:rsidTr="00064E28">
        <w:tc>
          <w:tcPr>
            <w:tcW w:w="4407" w:type="dxa"/>
          </w:tcPr>
          <w:p w14:paraId="053A61F1" w14:textId="77777777" w:rsidR="002A19D1" w:rsidRDefault="002A19D1" w:rsidP="002A19D1">
            <w:pPr>
              <w:autoSpaceDE w:val="0"/>
              <w:autoSpaceDN w:val="0"/>
              <w:adjustRightInd w:val="0"/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</w:t>
            </w:r>
            <w:r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4</w:t>
            </w: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CA1E00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Registro e identificación </w:t>
            </w:r>
            <w:r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14:paraId="4E965077" w14:textId="77777777" w:rsidR="002A19D1" w:rsidRDefault="002A19D1" w:rsidP="00244930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  <w:r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331" w:type="dxa"/>
          </w:tcPr>
          <w:p w14:paraId="7799BA32" w14:textId="21E35449" w:rsidR="002A19D1" w:rsidRPr="005F0951" w:rsidRDefault="002A19D1" w:rsidP="002A19D1">
            <w:pPr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Etapa 5</w:t>
            </w: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5462B8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Distribución </w:t>
            </w:r>
            <w:r w:rsidR="005462B8" w:rsidRPr="0002694C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y </w:t>
            </w:r>
            <w:r w:rsidR="005F0951" w:rsidRPr="0002694C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conversión a efectivo</w:t>
            </w:r>
          </w:p>
          <w:p w14:paraId="2828F931" w14:textId="77777777" w:rsidR="002A19D1" w:rsidRPr="00885ED4" w:rsidRDefault="002A19D1" w:rsidP="00244930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</w:tr>
      <w:tr w:rsidR="002A19D1" w:rsidRPr="00EA0354" w14:paraId="71EA84CD" w14:textId="77777777" w:rsidTr="00064E28">
        <w:tc>
          <w:tcPr>
            <w:tcW w:w="4407" w:type="dxa"/>
          </w:tcPr>
          <w:p w14:paraId="7B69454C" w14:textId="62ADC347" w:rsidR="002A19D1" w:rsidRPr="00E01764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E0176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4.1 </w:t>
            </w:r>
            <w:r w:rsidR="00E01764" w:rsidRPr="00E0176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Planificación y preparación del registro </w:t>
            </w:r>
          </w:p>
          <w:p w14:paraId="109463F5" w14:textId="62520E2C" w:rsidR="002A19D1" w:rsidRPr="00E01764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E01764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los boletos</w:t>
            </w:r>
            <w:r w:rsidR="005919EC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E01764"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distribución  </w:t>
            </w:r>
          </w:p>
          <w:p w14:paraId="27CB5E7C" w14:textId="675B8FC4" w:rsidR="002A19D1" w:rsidRPr="00E01764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la lista de </w:t>
            </w:r>
            <w:r w:rsidR="00AB7D81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beneficiarios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3FF48287" w14:textId="33382B41" w:rsidR="002A19D1" w:rsidRPr="00E01764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E0176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4.2 </w:t>
            </w:r>
            <w:r w:rsidR="00E01764" w:rsidRPr="00E0176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Identificación y autenti</w:t>
            </w:r>
            <w:r w:rsidR="00E0176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fi</w:t>
            </w:r>
            <w:r w:rsidR="00E01764" w:rsidRPr="00E0176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cación </w:t>
            </w:r>
            <w:r w:rsidR="00AB7D81"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  <w:t xml:space="preserve"> </w:t>
            </w:r>
          </w:p>
          <w:p w14:paraId="224059D3" w14:textId="11ACA545" w:rsidR="002A19D1" w:rsidRPr="00E01764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Identificación y autenti</w:t>
            </w:r>
            <w:r w:rsid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fi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cación </w:t>
            </w:r>
            <w:r w:rsidR="00AB7D81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19C2B2E5" w14:textId="529F4F89" w:rsidR="002A19D1" w:rsidRPr="00E01764" w:rsidRDefault="002A19D1" w:rsidP="00AB7D81">
            <w:pPr>
              <w:autoSpaceDE w:val="0"/>
              <w:autoSpaceDN w:val="0"/>
              <w:adjustRightInd w:val="0"/>
              <w:ind w:left="720"/>
              <w:rPr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 w:rsid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la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ntilla de </w:t>
            </w:r>
            <w:r w:rsid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</w:t>
            </w:r>
            <w:r w:rsidR="00E01764" w:rsidRPr="00E0176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a tarjeta de beneficiario </w:t>
            </w:r>
            <w:r w:rsidR="00AB7D81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331" w:type="dxa"/>
          </w:tcPr>
          <w:p w14:paraId="5D55BA5B" w14:textId="5A7041AE" w:rsidR="002A19D1" w:rsidRPr="005462B8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5462B8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5.1 </w:t>
            </w:r>
            <w:r w:rsidR="005F095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Formación y comunicación</w:t>
            </w:r>
          </w:p>
          <w:p w14:paraId="3CDB139E" w14:textId="2377C441" w:rsidR="002A19D1" w:rsidRPr="005462B8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</w:t>
            </w:r>
            <w:r w:rsid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para la 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formación de personal </w:t>
            </w:r>
            <w:r w:rsid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de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PTE </w:t>
            </w:r>
            <w:r w:rsidR="005F0951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3B8C7714" w14:textId="4B57CB62" w:rsidR="002A19D1" w:rsidRPr="005F0951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</w:t>
            </w:r>
            <w:r w:rsidR="005462B8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antilla del cuestionario de la formación de PTE </w:t>
            </w:r>
            <w:r w:rsidR="005F0951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16C11C93" w14:textId="620B2ED6" w:rsidR="002A19D1" w:rsidRPr="005462B8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para la formación de proveedores de servicio</w:t>
            </w:r>
            <w:r w:rsid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s de PTE </w:t>
            </w:r>
            <w:r w:rsidR="005F0951"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0971F2DF" w14:textId="6210A2EE" w:rsidR="002A19D1" w:rsidRPr="005462B8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la </w:t>
            </w:r>
            <w:r w:rsidR="005462B8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carta al comerciante</w:t>
            </w:r>
          </w:p>
          <w:p w14:paraId="6A981F0A" w14:textId="4D5A50FC" w:rsidR="002A19D1" w:rsidRPr="007A60D9" w:rsidRDefault="002A19D1" w:rsidP="005F095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 w:rsidRPr="005462B8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5.2 </w:t>
            </w:r>
            <w:r w:rsidR="005462B8" w:rsidRPr="005462B8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Planificación e implementación </w:t>
            </w:r>
            <w:r w:rsidR="005462B8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 las distribuciones </w:t>
            </w:r>
            <w:r w:rsidR="005F0951"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  <w:t xml:space="preserve"> </w:t>
            </w:r>
          </w:p>
          <w:p w14:paraId="68EBA683" w14:textId="189A6294" w:rsidR="002A19D1" w:rsidRPr="005462B8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5462B8" w:rsidRP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Lista de verificación </w:t>
            </w:r>
            <w:r w:rsidR="005919E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 w:rsidR="005919EC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ara</w:t>
            </w:r>
            <w:r w:rsidR="005462B8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la evaluación de los puntos de distribución </w:t>
            </w:r>
            <w:r w:rsidR="005F0951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335FCE4D" w14:textId="75C4923E" w:rsidR="002A19D1" w:rsidRPr="005462B8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5462B8" w:rsidRPr="005F095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Organización de los puntos de distribución</w:t>
            </w:r>
            <w:r w:rsidR="005462B8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7D7A2A39" w14:textId="112B437F" w:rsidR="002A19D1" w:rsidRPr="001B6367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1B6367"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las listas de distribuci</w:t>
            </w:r>
            <w:r w:rsid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ón </w:t>
            </w:r>
          </w:p>
          <w:p w14:paraId="52B2CD22" w14:textId="43C91310" w:rsidR="002A19D1" w:rsidRPr="001B6367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="001B6367"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 w:rsid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la</w:t>
            </w:r>
            <w:r w:rsidR="001B6367"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ntilla del plan de distribución </w:t>
            </w:r>
          </w:p>
          <w:p w14:paraId="30747814" w14:textId="13ED21EF" w:rsidR="002A19D1" w:rsidRPr="001B6367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.5 </w:t>
            </w:r>
            <w:r w:rsidR="001B6367"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del inform</w:t>
            </w:r>
            <w:r w:rsid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e</w:t>
            </w:r>
            <w:r w:rsidR="001B6367" w:rsidRP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de distribuci</w:t>
            </w:r>
            <w:r w:rsidR="001B6367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ón </w:t>
            </w:r>
          </w:p>
          <w:p w14:paraId="7F2F723A" w14:textId="49DB1C03" w:rsidR="005919EC" w:rsidRPr="0002694C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FF0000"/>
                <w:sz w:val="19"/>
                <w:szCs w:val="19"/>
                <w:lang w:val="es-ES"/>
              </w:rPr>
            </w:pPr>
            <w:r w:rsidRPr="001B6367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5.3 </w:t>
            </w:r>
            <w:r w:rsidR="001B6367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Planificación de</w:t>
            </w:r>
            <w:r w:rsidR="00AB7D81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5919EC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l</w:t>
            </w:r>
            <w:r w:rsidR="00AB7D81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a</w:t>
            </w:r>
            <w:r w:rsidR="005919EC" w:rsidRPr="00AB7D8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5F0951" w:rsidRPr="0002694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conversión a efectivo</w:t>
            </w:r>
          </w:p>
          <w:p w14:paraId="18DA7E83" w14:textId="767EFE3A" w:rsidR="002A19D1" w:rsidRPr="0002694C" w:rsidRDefault="001B6367" w:rsidP="005F095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02694C">
              <w:rPr>
                <w:rFonts w:ascii="CaeciliaLTStd-Bold" w:hAnsi="CaeciliaLTStd-Bold" w:cs="CaeciliaLTStd-Bold"/>
                <w:b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  <w:r w:rsidR="002A19D1" w:rsidRPr="0002694C">
              <w:rPr>
                <w:sz w:val="28"/>
                <w:lang w:val="es-ES"/>
              </w:rPr>
              <w:sym w:font="Webdings" w:char="F0A4"/>
            </w:r>
            <w:r w:rsidR="002A19D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</w:t>
            </w:r>
            <w:r w:rsidR="00AB7D8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para valorar </w:t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la capacidad de</w:t>
            </w:r>
            <w:r w:rsidR="005919EC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5F095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conversión a </w:t>
            </w:r>
            <w:r w:rsidR="00AB7D8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efectivo</w:t>
            </w:r>
            <w:r w:rsidR="005919EC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del </w:t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agente</w:t>
            </w:r>
          </w:p>
          <w:p w14:paraId="11341C0B" w14:textId="555B8A7D" w:rsidR="002A19D1" w:rsidRPr="0002694C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02694C">
              <w:rPr>
                <w:sz w:val="28"/>
                <w:lang w:val="es-ES"/>
              </w:rPr>
              <w:sym w:font="Webdings" w:char="F0A4"/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1B6367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estimación del tiempo</w:t>
            </w:r>
            <w:r w:rsidR="00AB21F0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para </w:t>
            </w:r>
            <w:r w:rsidR="005F095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la conversión a efectivo   </w:t>
            </w:r>
          </w:p>
          <w:p w14:paraId="17248B2B" w14:textId="6ABAAB3A" w:rsidR="002A19D1" w:rsidRPr="0002694C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02694C">
              <w:rPr>
                <w:sz w:val="28"/>
                <w:lang w:val="es-ES"/>
              </w:rPr>
              <w:sym w:font="Webdings" w:char="F0A4"/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1B6367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del plan de</w:t>
            </w:r>
            <w:r w:rsidR="005F095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conversión a efectivo  </w:t>
            </w:r>
          </w:p>
          <w:p w14:paraId="6FFBBACC" w14:textId="43F66964" w:rsidR="00AB21F0" w:rsidRPr="0002694C" w:rsidRDefault="002A19D1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FF0000"/>
                <w:sz w:val="19"/>
                <w:szCs w:val="19"/>
                <w:lang w:val="es-ES"/>
              </w:rPr>
            </w:pPr>
            <w:r w:rsidRPr="0002694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5.4 </w:t>
            </w:r>
            <w:r w:rsidR="001B6367" w:rsidRPr="0002694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Implementación de</w:t>
            </w:r>
            <w:r w:rsidR="005F0951" w:rsidRPr="0002694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1B6367" w:rsidRPr="0002694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l</w:t>
            </w:r>
            <w:r w:rsidR="005F0951" w:rsidRPr="0002694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a conversión a efectivo</w:t>
            </w:r>
            <w:r w:rsidR="00AB21F0" w:rsidRPr="0002694C">
              <w:rPr>
                <w:rFonts w:ascii="CaeciliaLTStd-Bold" w:hAnsi="CaeciliaLTStd-Bold" w:cs="CaeciliaLTStd-Bold"/>
                <w:b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14:paraId="7B8D2E72" w14:textId="7CB8DDC1" w:rsidR="002A19D1" w:rsidRPr="0002694C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02694C">
              <w:rPr>
                <w:sz w:val="28"/>
                <w:lang w:val="es-ES"/>
              </w:rPr>
              <w:sym w:font="Webdings" w:char="F0A4"/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1B6367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la orden de pago </w:t>
            </w:r>
          </w:p>
          <w:p w14:paraId="723BC565" w14:textId="63C86CE8" w:rsidR="00AB21F0" w:rsidRPr="0002694C" w:rsidRDefault="002A19D1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FF0000"/>
                <w:sz w:val="18"/>
                <w:szCs w:val="18"/>
                <w:lang w:val="es-ES"/>
              </w:rPr>
            </w:pPr>
            <w:r w:rsidRPr="0002694C">
              <w:rPr>
                <w:sz w:val="28"/>
                <w:lang w:val="es-ES"/>
              </w:rPr>
              <w:sym w:font="Webdings" w:char="F0A4"/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1B6367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la hoja de </w:t>
            </w:r>
            <w:r w:rsidR="005F095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conversión a efectivo</w:t>
            </w:r>
          </w:p>
          <w:p w14:paraId="6C28BD13" w14:textId="39EFA924" w:rsidR="002A19D1" w:rsidRPr="005F0951" w:rsidRDefault="001B6367" w:rsidP="005F095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FF0000"/>
                <w:sz w:val="18"/>
                <w:szCs w:val="18"/>
                <w:lang w:val="es-ES"/>
              </w:rPr>
            </w:pPr>
            <w:r w:rsidRPr="0002694C">
              <w:rPr>
                <w:rFonts w:ascii="CaeciliaLTStd-Light" w:hAnsi="CaeciliaLTStd-Light" w:cs="CaeciliaLTStd-Light"/>
                <w:color w:val="FF0000"/>
                <w:sz w:val="18"/>
                <w:szCs w:val="18"/>
                <w:lang w:val="es-ES"/>
              </w:rPr>
              <w:t xml:space="preserve"> </w:t>
            </w:r>
            <w:r w:rsidR="002A19D1" w:rsidRPr="0002694C">
              <w:rPr>
                <w:sz w:val="28"/>
                <w:lang w:val="es-ES"/>
              </w:rPr>
              <w:sym w:font="Webdings" w:char="F0A4"/>
            </w:r>
            <w:r w:rsidR="002A19D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del informe de</w:t>
            </w:r>
            <w:r w:rsidR="005F0951" w:rsidRPr="0002694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conversión a efectivo</w:t>
            </w:r>
          </w:p>
        </w:tc>
      </w:tr>
    </w:tbl>
    <w:p w14:paraId="2C876EAE" w14:textId="77777777" w:rsidR="00064E28" w:rsidRDefault="00064E28" w:rsidP="002A19D1">
      <w:pPr>
        <w:rPr>
          <w:rFonts w:ascii="CaeciliaLTStd-Bold" w:hAnsi="CaeciliaLTStd-Bold" w:cs="CaeciliaLTStd-Bold"/>
          <w:b/>
          <w:bCs/>
          <w:sz w:val="20"/>
          <w:szCs w:val="20"/>
          <w:lang w:val="es-ES"/>
        </w:rPr>
      </w:pPr>
    </w:p>
    <w:p w14:paraId="04116716" w14:textId="77777777" w:rsidR="00885ED4" w:rsidRDefault="001B6367" w:rsidP="002A19D1">
      <w:pPr>
        <w:rPr>
          <w:rFonts w:ascii="CaeciliaLTStd-Bold" w:hAnsi="CaeciliaLTStd-Bold" w:cs="CaeciliaLTStd-Bold"/>
          <w:b/>
          <w:bCs/>
          <w:sz w:val="20"/>
          <w:szCs w:val="20"/>
        </w:rPr>
      </w:pPr>
      <w:r w:rsidRPr="0002694C">
        <w:rPr>
          <w:rFonts w:ascii="CaeciliaLTStd-Bold" w:hAnsi="CaeciliaLTStd-Bold" w:cs="CaeciliaLTStd-Bold"/>
          <w:b/>
          <w:bCs/>
          <w:sz w:val="20"/>
          <w:szCs w:val="20"/>
        </w:rPr>
        <w:lastRenderedPageBreak/>
        <w:t xml:space="preserve">Clave del </w:t>
      </w:r>
      <w:proofErr w:type="spellStart"/>
      <w:r w:rsidRPr="0002694C">
        <w:rPr>
          <w:rFonts w:ascii="CaeciliaLTStd-Bold" w:hAnsi="CaeciliaLTStd-Bold" w:cs="CaeciliaLTStd-Bold"/>
          <w:b/>
          <w:bCs/>
          <w:sz w:val="20"/>
          <w:szCs w:val="20"/>
        </w:rPr>
        <w:t>icono</w:t>
      </w:r>
      <w:proofErr w:type="spellEnd"/>
      <w:r w:rsidR="004B3A10" w:rsidRPr="0002694C">
        <w:rPr>
          <w:rFonts w:ascii="CaeciliaLTStd-Bold" w:hAnsi="CaeciliaLTStd-Bold" w:cs="CaeciliaLTStd-Bold"/>
          <w:b/>
          <w:bCs/>
          <w:sz w:val="20"/>
          <w:szCs w:val="20"/>
        </w:rPr>
        <w:t>:</w:t>
      </w:r>
    </w:p>
    <w:p w14:paraId="2AAC6F31" w14:textId="77777777" w:rsidR="004B3A10" w:rsidRPr="00906973" w:rsidRDefault="002A19D1" w:rsidP="004B3A10">
      <w:pPr>
        <w:ind w:left="7200" w:firstLine="720"/>
        <w:jc w:val="center"/>
        <w:rPr>
          <w:lang w:val="es-ES"/>
        </w:rPr>
      </w:pPr>
      <w:r>
        <w:rPr>
          <w:rFonts w:ascii="CaeciliaLTStd-Bold" w:hAnsi="CaeciliaLTStd-Bold" w:cs="CaeciliaLTStd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671E" wp14:editId="0CAACC35">
                <wp:simplePos x="0" y="0"/>
                <wp:positionH relativeFrom="column">
                  <wp:posOffset>-41275</wp:posOffset>
                </wp:positionH>
                <wp:positionV relativeFrom="paragraph">
                  <wp:posOffset>3175</wp:posOffset>
                </wp:positionV>
                <wp:extent cx="1955800" cy="588010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617F" w14:textId="77777777" w:rsidR="004B3A10" w:rsidRPr="004B3A10" w:rsidRDefault="004B3A10" w:rsidP="004B3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67BB3">
                              <w:rPr>
                                <w:sz w:val="28"/>
                                <w:lang w:val="es-ES"/>
                              </w:rPr>
                              <w:sym w:font="Webdings" w:char="F0A4"/>
                            </w: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= Plantilla</w:t>
                            </w:r>
                          </w:p>
                          <w:p w14:paraId="024BFD57" w14:textId="77777777" w:rsidR="004B3A10" w:rsidRPr="004B3A10" w:rsidRDefault="004B3A10" w:rsidP="004B3A10">
                            <w:pPr>
                              <w:rPr>
                                <w:lang w:val="es-ES"/>
                              </w:rPr>
                            </w:pP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Herramienta que puede ser adaptada</w:t>
                            </w:r>
                            <w:r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 xml:space="preserve"> para su 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5pt;margin-top:.25pt;width:154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" fillcolor="white [3201]" strokeweight=".5pt">
                <v:textbox>
                  <w:txbxContent>
                    <w:p w14:paraId="0AFF617F" w14:textId="77777777" w:rsidR="004B3A10" w:rsidRPr="004B3A10" w:rsidRDefault="004B3A10" w:rsidP="004B3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</w:pPr>
                      <w:r w:rsidRPr="00467BB3">
                        <w:rPr>
                          <w:sz w:val="28"/>
                          <w:lang w:val="es-ES"/>
                        </w:rPr>
                        <w:sym w:font="Webdings" w:char="F0A4"/>
                      </w: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= Plantilla</w:t>
                      </w:r>
                    </w:p>
                    <w:p w14:paraId="024BFD57" w14:textId="77777777" w:rsidR="004B3A10" w:rsidRPr="004B3A10" w:rsidRDefault="004B3A10" w:rsidP="004B3A10">
                      <w:pPr>
                        <w:rPr>
                          <w:lang w:val="es-ES"/>
                        </w:rPr>
                      </w:pP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Herramienta que puede ser adaptada</w:t>
                      </w:r>
                      <w:r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 xml:space="preserve"> para su uso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A10" w:rsidRPr="00906973" w:rsidSect="00885ED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95EF11" w15:done="0"/>
  <w15:commentEx w15:paraId="3D0127DB" w15:done="0"/>
  <w15:commentEx w15:paraId="7062DDBD" w15:done="0"/>
  <w15:commentEx w15:paraId="1BE18C0E" w15:done="0"/>
  <w15:commentEx w15:paraId="00E3CF78" w15:done="0"/>
  <w15:commentEx w15:paraId="3E9AD4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43414" w14:textId="77777777" w:rsidR="00564CD2" w:rsidRDefault="00564CD2" w:rsidP="00885ED4">
      <w:pPr>
        <w:spacing w:after="0" w:line="240" w:lineRule="auto"/>
      </w:pPr>
      <w:r>
        <w:separator/>
      </w:r>
    </w:p>
  </w:endnote>
  <w:endnote w:type="continuationSeparator" w:id="0">
    <w:p w14:paraId="71A79F5D" w14:textId="77777777" w:rsidR="00564CD2" w:rsidRDefault="00564CD2" w:rsidP="008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26A0" w14:textId="77777777" w:rsidR="00564CD2" w:rsidRDefault="00564CD2" w:rsidP="00885ED4">
      <w:pPr>
        <w:spacing w:after="0" w:line="240" w:lineRule="auto"/>
      </w:pPr>
      <w:r>
        <w:separator/>
      </w:r>
    </w:p>
  </w:footnote>
  <w:footnote w:type="continuationSeparator" w:id="0">
    <w:p w14:paraId="53EC0291" w14:textId="77777777" w:rsidR="00564CD2" w:rsidRDefault="00564CD2" w:rsidP="008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0FE8" w14:textId="77777777" w:rsidR="00885ED4" w:rsidRDefault="00885ED4" w:rsidP="00885ED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F6F2F" wp14:editId="38A9258E">
          <wp:simplePos x="0" y="0"/>
          <wp:positionH relativeFrom="column">
            <wp:posOffset>4235450</wp:posOffset>
          </wp:positionH>
          <wp:positionV relativeFrom="paragraph">
            <wp:posOffset>-108585</wp:posOffset>
          </wp:positionV>
          <wp:extent cx="619760" cy="71247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R ESPAÑ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129D5D" wp14:editId="012BDE64">
          <wp:simplePos x="0" y="0"/>
          <wp:positionH relativeFrom="column">
            <wp:posOffset>4975225</wp:posOffset>
          </wp:positionH>
          <wp:positionV relativeFrom="paragraph">
            <wp:posOffset>74930</wp:posOffset>
          </wp:positionV>
          <wp:extent cx="3744595" cy="36957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E5C"/>
    <w:multiLevelType w:val="hybridMultilevel"/>
    <w:tmpl w:val="156AD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A5BAD"/>
    <w:multiLevelType w:val="multilevel"/>
    <w:tmpl w:val="9CD2C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DALMAU i GUTSENS">
    <w15:presenceInfo w15:providerId="Windows Live" w15:userId="ee65b509ca9cf4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A"/>
    <w:rsid w:val="0002694C"/>
    <w:rsid w:val="00043DB2"/>
    <w:rsid w:val="00064E28"/>
    <w:rsid w:val="00091147"/>
    <w:rsid w:val="000C302B"/>
    <w:rsid w:val="000D0601"/>
    <w:rsid w:val="000D4A75"/>
    <w:rsid w:val="00167EB2"/>
    <w:rsid w:val="00182CB5"/>
    <w:rsid w:val="001B6367"/>
    <w:rsid w:val="001B719D"/>
    <w:rsid w:val="00284A5F"/>
    <w:rsid w:val="002A19D1"/>
    <w:rsid w:val="003100E2"/>
    <w:rsid w:val="0038262B"/>
    <w:rsid w:val="003C7D03"/>
    <w:rsid w:val="00467BB3"/>
    <w:rsid w:val="004B3A10"/>
    <w:rsid w:val="004E402F"/>
    <w:rsid w:val="004E73E5"/>
    <w:rsid w:val="005462B8"/>
    <w:rsid w:val="00564CD2"/>
    <w:rsid w:val="005919EC"/>
    <w:rsid w:val="005C47CE"/>
    <w:rsid w:val="005F0951"/>
    <w:rsid w:val="006645FE"/>
    <w:rsid w:val="006F4514"/>
    <w:rsid w:val="00756E4C"/>
    <w:rsid w:val="00765A42"/>
    <w:rsid w:val="007937BD"/>
    <w:rsid w:val="007A60D9"/>
    <w:rsid w:val="007B773A"/>
    <w:rsid w:val="007D55C9"/>
    <w:rsid w:val="007E5C30"/>
    <w:rsid w:val="007F6565"/>
    <w:rsid w:val="008637F1"/>
    <w:rsid w:val="00885ED4"/>
    <w:rsid w:val="00905354"/>
    <w:rsid w:val="00906973"/>
    <w:rsid w:val="00931752"/>
    <w:rsid w:val="009A323C"/>
    <w:rsid w:val="009E41A6"/>
    <w:rsid w:val="00A41FC6"/>
    <w:rsid w:val="00A5466E"/>
    <w:rsid w:val="00AA461C"/>
    <w:rsid w:val="00AB21F0"/>
    <w:rsid w:val="00AB7D81"/>
    <w:rsid w:val="00AC264D"/>
    <w:rsid w:val="00BA27BE"/>
    <w:rsid w:val="00BD5DB1"/>
    <w:rsid w:val="00CA1E00"/>
    <w:rsid w:val="00CC0232"/>
    <w:rsid w:val="00CC557E"/>
    <w:rsid w:val="00CD2A99"/>
    <w:rsid w:val="00CE5C1C"/>
    <w:rsid w:val="00CF50F0"/>
    <w:rsid w:val="00D0716E"/>
    <w:rsid w:val="00D147A6"/>
    <w:rsid w:val="00D252E2"/>
    <w:rsid w:val="00D36F76"/>
    <w:rsid w:val="00D42B96"/>
    <w:rsid w:val="00DF45E3"/>
    <w:rsid w:val="00E01764"/>
    <w:rsid w:val="00EA0354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4"/>
  </w:style>
  <w:style w:type="paragraph" w:styleId="Footer">
    <w:name w:val="footer"/>
    <w:basedOn w:val="Normal"/>
    <w:link w:val="Foot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4"/>
  </w:style>
  <w:style w:type="paragraph" w:styleId="BalloonText">
    <w:name w:val="Balloon Text"/>
    <w:basedOn w:val="Normal"/>
    <w:link w:val="BalloonTextChar"/>
    <w:uiPriority w:val="99"/>
    <w:semiHidden/>
    <w:unhideWhenUsed/>
    <w:rsid w:val="008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D2A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2A99"/>
  </w:style>
  <w:style w:type="character" w:styleId="CommentReference">
    <w:name w:val="annotation reference"/>
    <w:basedOn w:val="DefaultParagraphFont"/>
    <w:uiPriority w:val="99"/>
    <w:semiHidden/>
    <w:unhideWhenUsed/>
    <w:rsid w:val="00AB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4"/>
  </w:style>
  <w:style w:type="paragraph" w:styleId="Footer">
    <w:name w:val="footer"/>
    <w:basedOn w:val="Normal"/>
    <w:link w:val="Foot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4"/>
  </w:style>
  <w:style w:type="paragraph" w:styleId="BalloonText">
    <w:name w:val="Balloon Text"/>
    <w:basedOn w:val="Normal"/>
    <w:link w:val="BalloonTextChar"/>
    <w:uiPriority w:val="99"/>
    <w:semiHidden/>
    <w:unhideWhenUsed/>
    <w:rsid w:val="008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D2A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2A99"/>
  </w:style>
  <w:style w:type="character" w:styleId="CommentReference">
    <w:name w:val="annotation reference"/>
    <w:basedOn w:val="DefaultParagraphFont"/>
    <w:uiPriority w:val="99"/>
    <w:semiHidden/>
    <w:unhideWhenUsed/>
    <w:rsid w:val="00AB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dcterms:created xsi:type="dcterms:W3CDTF">2016-02-07T18:12:00Z</dcterms:created>
  <dcterms:modified xsi:type="dcterms:W3CDTF">2016-02-21T19:13:00Z</dcterms:modified>
</cp:coreProperties>
</file>