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830C5" w14:textId="5C6CF520" w:rsidR="00E24021" w:rsidRPr="001614FC" w:rsidRDefault="00BD1ECC" w:rsidP="001614FC">
      <w:pPr>
        <w:pStyle w:val="H1"/>
        <w:spacing w:after="480"/>
        <w:rPr>
          <w:rFonts w:cs="Arial"/>
        </w:rPr>
      </w:pPr>
      <w:r w:rsidRPr="001614FC">
        <w:rPr>
          <w:rFonts w:cs="Arial"/>
        </w:rPr>
        <w:t>Advanta</w:t>
      </w:r>
      <w:r w:rsidR="00955BA8">
        <w:rPr>
          <w:rFonts w:cs="Arial"/>
        </w:rPr>
        <w:t>ges and D</w:t>
      </w:r>
      <w:r w:rsidR="003618C1" w:rsidRPr="001614FC">
        <w:rPr>
          <w:rFonts w:cs="Arial"/>
        </w:rPr>
        <w:t>isadvantages</w:t>
      </w:r>
      <w:r w:rsidR="005520F1" w:rsidRPr="001614FC">
        <w:rPr>
          <w:rFonts w:cs="Arial"/>
        </w:rPr>
        <w:t xml:space="preserve"> of </w:t>
      </w:r>
      <w:r w:rsidR="00955BA8" w:rsidRPr="00A7727C">
        <w:rPr>
          <w:rFonts w:cs="Arial"/>
        </w:rPr>
        <w:t>response</w:t>
      </w:r>
      <w:r w:rsidR="005520F1" w:rsidRPr="00A7727C">
        <w:rPr>
          <w:rFonts w:cs="Arial"/>
        </w:rPr>
        <w:t xml:space="preserve"> </w:t>
      </w:r>
      <w:r w:rsidR="00BA6EAD" w:rsidRPr="001614FC">
        <w:rPr>
          <w:rFonts w:cs="Arial"/>
        </w:rPr>
        <w:t>m</w:t>
      </w:r>
      <w:r w:rsidRPr="001614FC">
        <w:rPr>
          <w:rFonts w:cs="Arial"/>
        </w:rPr>
        <w:t>odalities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4145"/>
        <w:gridCol w:w="4042"/>
      </w:tblGrid>
      <w:tr w:rsidR="00955BA8" w:rsidRPr="001614FC" w14:paraId="0531FB20" w14:textId="77777777" w:rsidTr="00955BA8">
        <w:tc>
          <w:tcPr>
            <w:tcW w:w="846" w:type="pct"/>
            <w:tcBorders>
              <w:bottom w:val="single" w:sz="4" w:space="0" w:color="auto"/>
            </w:tcBorders>
            <w:shd w:val="clear" w:color="auto" w:fill="DC281E"/>
          </w:tcPr>
          <w:p w14:paraId="1233A3E0" w14:textId="77777777" w:rsidR="001E61CF" w:rsidRPr="001614FC" w:rsidRDefault="001E61CF" w:rsidP="001614FC">
            <w:pPr>
              <w:spacing w:before="120" w:line="276" w:lineRule="auto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1614FC">
              <w:rPr>
                <w:rFonts w:ascii="Arial Bold" w:hAnsi="Arial Bold" w:cs="Arial"/>
                <w:b/>
                <w:color w:val="FFFFFF" w:themeColor="background1"/>
              </w:rPr>
              <w:t>Modality</w:t>
            </w:r>
          </w:p>
        </w:tc>
        <w:tc>
          <w:tcPr>
            <w:tcW w:w="2103" w:type="pct"/>
            <w:tcBorders>
              <w:bottom w:val="single" w:sz="4" w:space="0" w:color="auto"/>
            </w:tcBorders>
            <w:shd w:val="clear" w:color="auto" w:fill="DC281E"/>
          </w:tcPr>
          <w:p w14:paraId="62228598" w14:textId="77777777" w:rsidR="001E61CF" w:rsidRPr="001614FC" w:rsidRDefault="001E61CF" w:rsidP="001614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1614FC">
              <w:rPr>
                <w:rFonts w:ascii="Arial Bold" w:eastAsiaTheme="minorHAnsi" w:hAnsi="Arial Bold" w:cs="Arial"/>
                <w:b/>
                <w:bCs/>
                <w:color w:val="FFFFFF" w:themeColor="background1"/>
              </w:rPr>
              <w:t>Advantages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shd w:val="clear" w:color="auto" w:fill="DC281E"/>
          </w:tcPr>
          <w:p w14:paraId="616BF20E" w14:textId="77777777" w:rsidR="001E61CF" w:rsidRPr="001614FC" w:rsidRDefault="001E61CF" w:rsidP="001614FC">
            <w:pPr>
              <w:spacing w:before="120" w:line="276" w:lineRule="auto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1614FC">
              <w:rPr>
                <w:rFonts w:ascii="Arial Bold" w:hAnsi="Arial Bold" w:cs="Arial"/>
                <w:b/>
                <w:color w:val="FFFFFF" w:themeColor="background1"/>
              </w:rPr>
              <w:t>D</w:t>
            </w:r>
            <w:r w:rsidR="003618C1" w:rsidRPr="001614FC">
              <w:rPr>
                <w:rFonts w:ascii="Arial Bold" w:hAnsi="Arial Bold" w:cs="Arial"/>
                <w:b/>
                <w:color w:val="FFFFFF" w:themeColor="background1"/>
              </w:rPr>
              <w:t>isadvantages</w:t>
            </w:r>
          </w:p>
        </w:tc>
      </w:tr>
      <w:tr w:rsidR="00955BA8" w:rsidRPr="001614FC" w14:paraId="56E42CF6" w14:textId="77777777" w:rsidTr="00955BA8">
        <w:tc>
          <w:tcPr>
            <w:tcW w:w="846" w:type="pct"/>
            <w:shd w:val="clear" w:color="auto" w:fill="A6A6A6"/>
          </w:tcPr>
          <w:p w14:paraId="697BADA6" w14:textId="77777777" w:rsidR="00B4247C" w:rsidRPr="001614FC" w:rsidRDefault="00B4247C" w:rsidP="001614FC">
            <w:pPr>
              <w:spacing w:before="60" w:after="60" w:line="276" w:lineRule="auto"/>
              <w:rPr>
                <w:rFonts w:cs="Arial"/>
              </w:rPr>
            </w:pPr>
            <w:r w:rsidRPr="001614FC">
              <w:rPr>
                <w:rFonts w:cs="Arial"/>
                <w:b/>
              </w:rPr>
              <w:t xml:space="preserve">In-kind </w:t>
            </w:r>
          </w:p>
        </w:tc>
        <w:tc>
          <w:tcPr>
            <w:tcW w:w="2103" w:type="pct"/>
            <w:shd w:val="clear" w:color="auto" w:fill="E6E6E6"/>
          </w:tcPr>
          <w:p w14:paraId="48C1ADE5" w14:textId="1D99039F" w:rsidR="00B4247C" w:rsidRPr="001614FC" w:rsidRDefault="00B4247C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Useful when markets have been disrupted and/or required items are not available locally</w:t>
            </w:r>
          </w:p>
          <w:p w14:paraId="4938F5F2" w14:textId="122CA37C" w:rsidR="00B4247C" w:rsidRPr="001614FC" w:rsidRDefault="00B4247C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If items are available locally but at high price</w:t>
            </w:r>
            <w:r w:rsidR="004A054C" w:rsidRPr="001614FC">
              <w:rPr>
                <w:rFonts w:cs="Arial"/>
                <w:szCs w:val="20"/>
                <w:lang w:val="en-GB"/>
              </w:rPr>
              <w:t>s</w:t>
            </w:r>
            <w:r w:rsidRPr="001614FC">
              <w:rPr>
                <w:rFonts w:cs="Arial"/>
                <w:szCs w:val="20"/>
                <w:lang w:val="en-GB"/>
              </w:rPr>
              <w:t>, bringing in items in bulk may be cheaper</w:t>
            </w:r>
          </w:p>
          <w:p w14:paraId="294010E5" w14:textId="7373C81D" w:rsidR="00B4247C" w:rsidRPr="001614FC" w:rsidRDefault="00B4247C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Ensures beneficiaries receive the goods and services they are expected to access</w:t>
            </w:r>
          </w:p>
          <w:p w14:paraId="19D4DBB7" w14:textId="3BD0E8FC" w:rsidR="00B4247C" w:rsidRPr="001614FC" w:rsidRDefault="00B4247C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Facilitates the quality control of the items made available for beneficiaries</w:t>
            </w:r>
          </w:p>
        </w:tc>
        <w:tc>
          <w:tcPr>
            <w:tcW w:w="2051" w:type="pct"/>
          </w:tcPr>
          <w:p w14:paraId="15FDA9A4" w14:textId="5886ED7A" w:rsidR="00B4247C" w:rsidRPr="001614FC" w:rsidRDefault="00B4247C" w:rsidP="001614FC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No freedom of choice</w:t>
            </w:r>
          </w:p>
          <w:p w14:paraId="3F61A7DC" w14:textId="4B514AAB" w:rsidR="00B4247C" w:rsidRPr="001614FC" w:rsidRDefault="00B4247C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May have high procurement, transportation and storage costs</w:t>
            </w:r>
          </w:p>
          <w:p w14:paraId="20716E01" w14:textId="08AA6ACD" w:rsidR="00B4247C" w:rsidRPr="001614FC" w:rsidRDefault="00B4247C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May undermine local markets</w:t>
            </w:r>
          </w:p>
          <w:p w14:paraId="3A95CFFD" w14:textId="0CCFE470" w:rsidR="00B4247C" w:rsidRPr="001614FC" w:rsidRDefault="00B4247C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Potential to cause deflation of prices</w:t>
            </w:r>
          </w:p>
          <w:p w14:paraId="2058FC85" w14:textId="1E7B4560" w:rsidR="00B4247C" w:rsidRPr="001614FC" w:rsidRDefault="00B4247C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High risk of corruption in large contracts with suppliers</w:t>
            </w:r>
          </w:p>
          <w:p w14:paraId="10DC4B78" w14:textId="7A213F8D" w:rsidR="00B4247C" w:rsidRPr="001614FC" w:rsidRDefault="00B4247C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Requires greater accessibility to the area (</w:t>
            </w:r>
            <w:r w:rsidR="004A054C" w:rsidRPr="001614FC">
              <w:rPr>
                <w:rFonts w:cs="Arial"/>
                <w:szCs w:val="20"/>
                <w:lang w:val="en-GB"/>
              </w:rPr>
              <w:t>e.g.</w:t>
            </w:r>
            <w:r w:rsidRPr="001614FC">
              <w:rPr>
                <w:rFonts w:cs="Arial"/>
                <w:szCs w:val="20"/>
                <w:lang w:val="en-GB"/>
              </w:rPr>
              <w:t xml:space="preserve"> trucks)</w:t>
            </w:r>
          </w:p>
          <w:p w14:paraId="6E47E334" w14:textId="688FEF98" w:rsidR="00B4247C" w:rsidRPr="001614FC" w:rsidRDefault="00B4247C" w:rsidP="001614F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 xml:space="preserve">May create or exacerbate stigma (beneficiaries queuing or being </w:t>
            </w:r>
            <w:r w:rsidR="004A054C" w:rsidRPr="001614FC">
              <w:rPr>
                <w:rFonts w:cs="Arial"/>
                <w:szCs w:val="20"/>
                <w:lang w:val="en-GB"/>
              </w:rPr>
              <w:t>pointed out as poor)</w:t>
            </w:r>
          </w:p>
        </w:tc>
      </w:tr>
      <w:tr w:rsidR="00955BA8" w:rsidRPr="001614FC" w14:paraId="1B100570" w14:textId="77777777" w:rsidTr="00955BA8">
        <w:tc>
          <w:tcPr>
            <w:tcW w:w="846" w:type="pct"/>
            <w:shd w:val="clear" w:color="auto" w:fill="A6A6A6"/>
          </w:tcPr>
          <w:p w14:paraId="0A9DC8F0" w14:textId="77777777" w:rsidR="001E61CF" w:rsidRPr="001614FC" w:rsidRDefault="00FE023C" w:rsidP="001614FC">
            <w:pPr>
              <w:spacing w:before="60" w:after="60" w:line="276" w:lineRule="auto"/>
              <w:rPr>
                <w:rFonts w:cs="Arial"/>
                <w:b/>
              </w:rPr>
            </w:pPr>
            <w:r w:rsidRPr="001614FC">
              <w:rPr>
                <w:rFonts w:cs="Arial"/>
                <w:b/>
              </w:rPr>
              <w:t>Unconditional cash transfers (grants)</w:t>
            </w:r>
          </w:p>
        </w:tc>
        <w:tc>
          <w:tcPr>
            <w:tcW w:w="2103" w:type="pct"/>
            <w:shd w:val="clear" w:color="auto" w:fill="E6E6E6"/>
          </w:tcPr>
          <w:p w14:paraId="6232646B" w14:textId="62DEB623" w:rsidR="001E61CF" w:rsidRPr="001614FC" w:rsidRDefault="00955BA8" w:rsidP="001614F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>Quick to distribute</w:t>
            </w:r>
          </w:p>
          <w:p w14:paraId="424356C8" w14:textId="7D3429CE" w:rsidR="001E61CF" w:rsidRPr="001614FC" w:rsidRDefault="00955BA8" w:rsidP="001614F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>Minimal administrative burden</w:t>
            </w:r>
          </w:p>
          <w:p w14:paraId="2C64FE70" w14:textId="743FDEF8" w:rsidR="001E61CF" w:rsidRPr="001614FC" w:rsidRDefault="001E61CF" w:rsidP="001614F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Can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 xml:space="preserve"> be given to moving populations</w:t>
            </w:r>
          </w:p>
          <w:p w14:paraId="3981E8FA" w14:textId="77777777" w:rsidR="001E61CF" w:rsidRPr="001614FC" w:rsidRDefault="001E61CF" w:rsidP="001614F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76" w:lineRule="auto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Cash can be spent where and on what beneficiaries choose</w:t>
            </w:r>
          </w:p>
          <w:p w14:paraId="47D393F0" w14:textId="77777777" w:rsidR="001E61CF" w:rsidRPr="001614FC" w:rsidRDefault="001E61CF" w:rsidP="001614FC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2051" w:type="pct"/>
          </w:tcPr>
          <w:p w14:paraId="1ADF4537" w14:textId="77777777" w:rsidR="001E61CF" w:rsidRPr="001614FC" w:rsidRDefault="001E61CF" w:rsidP="001614F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Risks of leakage/theft during payment</w:t>
            </w:r>
            <w:r w:rsidR="00C32289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>or transfer process.</w:t>
            </w:r>
          </w:p>
          <w:p w14:paraId="026F1F75" w14:textId="700B61B8" w:rsidR="001E61CF" w:rsidRPr="001614FC" w:rsidRDefault="001E61CF" w:rsidP="001614F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Can be diffic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ult to target due to popularity</w:t>
            </w:r>
          </w:p>
          <w:p w14:paraId="7C168220" w14:textId="3C723662" w:rsidR="001E61CF" w:rsidRPr="001614FC" w:rsidRDefault="001E61CF" w:rsidP="001614F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May b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e used for anti-social purposes</w:t>
            </w:r>
          </w:p>
          <w:p w14:paraId="068AEF6E" w14:textId="049D293E" w:rsidR="001E61CF" w:rsidRPr="001614FC" w:rsidRDefault="001E61CF" w:rsidP="001614F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May not address the causes of vulnerability and may encourage a return to negative coping strategies</w:t>
            </w:r>
          </w:p>
        </w:tc>
      </w:tr>
      <w:tr w:rsidR="00955BA8" w:rsidRPr="001614FC" w14:paraId="1512EAF4" w14:textId="77777777" w:rsidTr="00955BA8">
        <w:tc>
          <w:tcPr>
            <w:tcW w:w="846" w:type="pct"/>
            <w:shd w:val="clear" w:color="auto" w:fill="A6A6A6"/>
          </w:tcPr>
          <w:p w14:paraId="50AD4F30" w14:textId="77777777" w:rsidR="001E61CF" w:rsidRPr="001614FC" w:rsidRDefault="00C32289" w:rsidP="001614FC">
            <w:pPr>
              <w:spacing w:before="60" w:after="60" w:line="276" w:lineRule="auto"/>
              <w:rPr>
                <w:rFonts w:cs="Arial"/>
                <w:b/>
              </w:rPr>
            </w:pPr>
            <w:r w:rsidRPr="001614FC">
              <w:rPr>
                <w:rFonts w:cs="Arial"/>
                <w:b/>
              </w:rPr>
              <w:t>Conditional Cash transfers</w:t>
            </w:r>
          </w:p>
        </w:tc>
        <w:tc>
          <w:tcPr>
            <w:tcW w:w="2103" w:type="pct"/>
            <w:shd w:val="clear" w:color="auto" w:fill="E6E6E6"/>
          </w:tcPr>
          <w:p w14:paraId="23C3B271" w14:textId="78B3496B" w:rsidR="00FE023C" w:rsidRPr="001614FC" w:rsidRDefault="009647F3" w:rsidP="001614F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17" w:hanging="176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C</w:t>
            </w:r>
            <w:r w:rsidR="00FE023C" w:rsidRPr="001614FC">
              <w:rPr>
                <w:rFonts w:cs="Arial"/>
                <w:color w:val="000000"/>
                <w:szCs w:val="20"/>
                <w:lang w:val="en-GB"/>
              </w:rPr>
              <w:t xml:space="preserve">an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 xml:space="preserve">be used for a range of objectives and </w:t>
            </w:r>
            <w:r w:rsidR="00FE023C" w:rsidRPr="001614FC">
              <w:rPr>
                <w:rFonts w:cs="Arial"/>
                <w:color w:val="000000"/>
                <w:szCs w:val="20"/>
                <w:lang w:val="en-GB"/>
              </w:rPr>
              <w:t>result in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="00FE023C" w:rsidRPr="001614FC">
              <w:rPr>
                <w:rFonts w:cs="Arial"/>
                <w:color w:val="000000"/>
                <w:szCs w:val="20"/>
                <w:lang w:val="en-GB"/>
              </w:rPr>
              <w:t xml:space="preserve">increased access to goods, services, labour 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>o</w:t>
            </w:r>
            <w:r w:rsidR="00FE023C" w:rsidRPr="001614FC">
              <w:rPr>
                <w:rFonts w:cs="Arial"/>
                <w:color w:val="000000"/>
                <w:szCs w:val="20"/>
                <w:lang w:val="en-GB"/>
              </w:rPr>
              <w:t>pportunities or re-building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="00FE023C" w:rsidRPr="001614FC">
              <w:rPr>
                <w:rFonts w:cs="Arial"/>
                <w:color w:val="000000"/>
                <w:szCs w:val="20"/>
                <w:lang w:val="en-GB"/>
              </w:rPr>
              <w:t xml:space="preserve">of housing or 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>i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nfrastructure</w:t>
            </w:r>
          </w:p>
          <w:p w14:paraId="25A14FE6" w14:textId="11147AAC" w:rsidR="001E61CF" w:rsidRPr="001614FC" w:rsidRDefault="00FE023C" w:rsidP="001614F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17" w:hanging="176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While it is conceivab</w:t>
            </w:r>
            <w:r w:rsidR="0003604E" w:rsidRPr="001614FC">
              <w:rPr>
                <w:rFonts w:cs="Arial"/>
                <w:color w:val="000000"/>
                <w:szCs w:val="20"/>
                <w:lang w:val="en-GB"/>
              </w:rPr>
              <w:t>le to provide productive assets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 xml:space="preserve"> in-kind, the grants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>aimed at assisting traders to purchase start-up stock should always be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>provided in cash so that the recipient can purchase goods that match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>an identified niche market and to source different providers</w:t>
            </w:r>
          </w:p>
        </w:tc>
        <w:tc>
          <w:tcPr>
            <w:tcW w:w="2051" w:type="pct"/>
          </w:tcPr>
          <w:p w14:paraId="388302E5" w14:textId="59B2C211" w:rsidR="001E61CF" w:rsidRPr="001614FC" w:rsidRDefault="00FE023C" w:rsidP="001614F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Cash transfers require</w:t>
            </w:r>
            <w:r w:rsidR="00A52785" w:rsidRPr="001614FC">
              <w:rPr>
                <w:rFonts w:cs="Arial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szCs w:val="20"/>
                <w:lang w:val="en-GB"/>
              </w:rPr>
              <w:t>adequate and accessible</w:t>
            </w:r>
            <w:r w:rsidR="00A52785" w:rsidRPr="001614FC">
              <w:rPr>
                <w:rFonts w:cs="Arial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szCs w:val="20"/>
                <w:lang w:val="en-GB"/>
              </w:rPr>
              <w:t>services, labour opportunities</w:t>
            </w:r>
            <w:r w:rsidR="00A52785" w:rsidRPr="001614FC">
              <w:rPr>
                <w:rFonts w:cs="Arial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szCs w:val="20"/>
                <w:lang w:val="en-GB"/>
              </w:rPr>
              <w:t>or specific commodities to be</w:t>
            </w:r>
            <w:r w:rsidR="00A52785" w:rsidRPr="001614FC">
              <w:rPr>
                <w:rFonts w:cs="Arial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szCs w:val="20"/>
                <w:lang w:val="en-GB"/>
              </w:rPr>
              <w:t>available and of sufficient</w:t>
            </w:r>
            <w:r w:rsidR="00A52785" w:rsidRPr="001614FC">
              <w:rPr>
                <w:rFonts w:cs="Arial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szCs w:val="20"/>
                <w:lang w:val="en-GB"/>
              </w:rPr>
              <w:t>quality</w:t>
            </w:r>
          </w:p>
        </w:tc>
      </w:tr>
      <w:tr w:rsidR="00955BA8" w:rsidRPr="001614FC" w14:paraId="46A18BD8" w14:textId="77777777" w:rsidTr="00955BA8">
        <w:tc>
          <w:tcPr>
            <w:tcW w:w="846" w:type="pct"/>
            <w:shd w:val="clear" w:color="auto" w:fill="A6A6A6"/>
          </w:tcPr>
          <w:p w14:paraId="11CC4B5D" w14:textId="77777777" w:rsidR="001E61CF" w:rsidRPr="001614FC" w:rsidRDefault="00FE023C" w:rsidP="001614FC">
            <w:pPr>
              <w:spacing w:before="60" w:after="60" w:line="276" w:lineRule="auto"/>
              <w:rPr>
                <w:rFonts w:cs="Arial"/>
                <w:b/>
              </w:rPr>
            </w:pPr>
            <w:r w:rsidRPr="001614FC">
              <w:rPr>
                <w:rFonts w:cs="Arial"/>
                <w:b/>
              </w:rPr>
              <w:t>Vouchers</w:t>
            </w:r>
          </w:p>
        </w:tc>
        <w:tc>
          <w:tcPr>
            <w:tcW w:w="2103" w:type="pct"/>
            <w:shd w:val="clear" w:color="auto" w:fill="E6E6E6"/>
          </w:tcPr>
          <w:p w14:paraId="6573F584" w14:textId="6206B574" w:rsidR="00FE023C" w:rsidRPr="001614FC" w:rsidRDefault="00FE023C" w:rsidP="001614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Encourages prod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uctivity and stimulates markets</w:t>
            </w:r>
          </w:p>
          <w:p w14:paraId="2C9EB4C7" w14:textId="6A2DBFD3" w:rsidR="00FE023C" w:rsidRPr="001614FC" w:rsidRDefault="00955BA8" w:rsidP="001614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>Allows tracking for theft</w:t>
            </w:r>
          </w:p>
          <w:p w14:paraId="5F89F861" w14:textId="3C1BBEE2" w:rsidR="00FE023C" w:rsidRPr="001614FC" w:rsidRDefault="00FE023C" w:rsidP="001614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Quality of go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ods and prices can be monitored</w:t>
            </w:r>
          </w:p>
          <w:p w14:paraId="4B0A8305" w14:textId="5636FCB1" w:rsidR="00FE023C" w:rsidRPr="001614FC" w:rsidRDefault="00A52785" w:rsidP="001614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I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tems purchased can be monitored</w:t>
            </w:r>
          </w:p>
          <w:p w14:paraId="6D51323A" w14:textId="1F75E021" w:rsidR="00FE023C" w:rsidRPr="001614FC" w:rsidRDefault="00FE023C" w:rsidP="002F0D9B">
            <w:pPr>
              <w:pStyle w:val="ListParagraph"/>
              <w:keepLines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If specific commodities are scarce, vouchers can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 xml:space="preserve">ensure that 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everyone is able to access them</w:t>
            </w:r>
          </w:p>
          <w:p w14:paraId="5F00CBFC" w14:textId="6BEF1580" w:rsidR="00FE023C" w:rsidRPr="001614FC" w:rsidRDefault="00FE023C" w:rsidP="001614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Commodity vouchers protect recipients against</w:t>
            </w:r>
            <w:r w:rsidR="00C7605D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="009647F3" w:rsidRPr="001614FC">
              <w:rPr>
                <w:rFonts w:cs="Arial"/>
                <w:color w:val="000000"/>
                <w:szCs w:val="20"/>
                <w:lang w:val="en-GB"/>
              </w:rPr>
              <w:t>i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 xml:space="preserve">nflation (which is </w:t>
            </w:r>
            <w:r w:rsidR="009647F3" w:rsidRPr="001614FC">
              <w:rPr>
                <w:rFonts w:cs="Arial"/>
                <w:color w:val="000000"/>
                <w:szCs w:val="20"/>
                <w:lang w:val="en-GB"/>
              </w:rPr>
              <w:t xml:space="preserve">then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>borne by the implementing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organization)</w:t>
            </w:r>
          </w:p>
          <w:p w14:paraId="3C9E788F" w14:textId="2B2076B4" w:rsidR="00FE023C" w:rsidRPr="001614FC" w:rsidRDefault="00FE023C" w:rsidP="001614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Allows for greater security for the implementing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>organization and recipient as no large amounts of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 xml:space="preserve">cash are 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lastRenderedPageBreak/>
              <w:t>handled</w:t>
            </w:r>
          </w:p>
          <w:p w14:paraId="2683E303" w14:textId="3F6E76A0" w:rsidR="00FE023C" w:rsidRPr="001614FC" w:rsidRDefault="00955BA8" w:rsidP="001614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>Increased accountability</w:t>
            </w:r>
          </w:p>
          <w:p w14:paraId="2CA8B47F" w14:textId="77777777" w:rsidR="00FE023C" w:rsidRPr="001614FC" w:rsidRDefault="00FE023C" w:rsidP="001614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Limited security risks if shops are allocated a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>small number of recipients.</w:t>
            </w:r>
          </w:p>
          <w:p w14:paraId="5F212DC6" w14:textId="0BC99BA4" w:rsidR="001E61CF" w:rsidRPr="001614FC" w:rsidRDefault="00FE023C" w:rsidP="001614FC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317" w:hanging="283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Can direct recipient choice</w:t>
            </w:r>
          </w:p>
        </w:tc>
        <w:tc>
          <w:tcPr>
            <w:tcW w:w="2051" w:type="pct"/>
          </w:tcPr>
          <w:p w14:paraId="16E5E344" w14:textId="2586A4F0" w:rsidR="00FE023C" w:rsidRPr="001614FC" w:rsidRDefault="00FE023C" w:rsidP="001614F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lastRenderedPageBreak/>
              <w:t>Less app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licable with moving populations</w:t>
            </w:r>
          </w:p>
          <w:p w14:paraId="0C4C757B" w14:textId="7122572C" w:rsidR="00FE023C" w:rsidRPr="001614FC" w:rsidRDefault="00955BA8" w:rsidP="001614F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>Can limit recipient choice</w:t>
            </w:r>
          </w:p>
          <w:p w14:paraId="6C43B7FD" w14:textId="71FEDE14" w:rsidR="00FE023C" w:rsidRPr="001614FC" w:rsidRDefault="00FE023C" w:rsidP="001614F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Requires more planning, preparation and administrative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back-up</w:t>
            </w:r>
          </w:p>
          <w:p w14:paraId="7CF6499C" w14:textId="1CC7DE8C" w:rsidR="00FE023C" w:rsidRPr="001614FC" w:rsidRDefault="00FE023C" w:rsidP="001614F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Traders who are not involved in the programme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may be disadvantaged</w:t>
            </w:r>
          </w:p>
          <w:p w14:paraId="0F72EAAC" w14:textId="3AB165F2" w:rsidR="001E61CF" w:rsidRPr="001614FC" w:rsidRDefault="00FE023C" w:rsidP="001614F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Discounts are difficult to ensure through voucher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>programmes (unlike food distributions, where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>significant discounts can be expected because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>of bulk purchases and VAT refunds). As such,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 xml:space="preserve">voucher programmes are often as 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>e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>xpensive as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>food distribution</w:t>
            </w:r>
          </w:p>
        </w:tc>
      </w:tr>
      <w:tr w:rsidR="00955BA8" w:rsidRPr="001614FC" w14:paraId="5E869C61" w14:textId="77777777" w:rsidTr="00955BA8">
        <w:tc>
          <w:tcPr>
            <w:tcW w:w="846" w:type="pct"/>
            <w:shd w:val="clear" w:color="auto" w:fill="A6A6A6"/>
          </w:tcPr>
          <w:p w14:paraId="3E7EC29F" w14:textId="77777777" w:rsidR="001E61CF" w:rsidRPr="001614FC" w:rsidRDefault="0034723B" w:rsidP="001614FC">
            <w:pPr>
              <w:spacing w:before="60" w:after="60" w:line="276" w:lineRule="auto"/>
              <w:rPr>
                <w:rFonts w:cs="Arial"/>
                <w:b/>
              </w:rPr>
            </w:pPr>
            <w:r w:rsidRPr="001614FC">
              <w:rPr>
                <w:rFonts w:cs="Arial"/>
                <w:b/>
              </w:rPr>
              <w:lastRenderedPageBreak/>
              <w:t>Cash for Work</w:t>
            </w:r>
          </w:p>
        </w:tc>
        <w:tc>
          <w:tcPr>
            <w:tcW w:w="2103" w:type="pct"/>
            <w:shd w:val="clear" w:color="auto" w:fill="E6E6E6"/>
          </w:tcPr>
          <w:p w14:paraId="1FFD2FD8" w14:textId="3BE65F64" w:rsidR="0034723B" w:rsidRPr="001614FC" w:rsidRDefault="0034723B" w:rsidP="001614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Can be self-targeting (the type of work can exclude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>som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e of the better-off population)</w:t>
            </w:r>
          </w:p>
          <w:p w14:paraId="4F214264" w14:textId="5465B3F3" w:rsidR="0034723B" w:rsidRPr="001614FC" w:rsidRDefault="0034723B" w:rsidP="001614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Results in the rebuilding of community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>facil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ities/clean-up of damaged areas</w:t>
            </w:r>
          </w:p>
          <w:p w14:paraId="49FCD6C3" w14:textId="77777777" w:rsidR="0034723B" w:rsidRPr="001614FC" w:rsidRDefault="0034723B" w:rsidP="001614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Potential for skills transfer (possible link to livelihoods</w:t>
            </w:r>
          </w:p>
          <w:p w14:paraId="03C7C7EB" w14:textId="574668AD" w:rsidR="0034723B" w:rsidRPr="001614FC" w:rsidRDefault="009647F3" w:rsidP="001614FC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17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p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rogrammes)</w:t>
            </w:r>
          </w:p>
          <w:p w14:paraId="224D2404" w14:textId="7A42F738" w:rsidR="0034723B" w:rsidRPr="001614FC" w:rsidRDefault="0034723B" w:rsidP="001614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Encourages return to villages/localities as there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will be a source of income</w:t>
            </w:r>
          </w:p>
          <w:p w14:paraId="046B764A" w14:textId="4F274022" w:rsidR="0034723B" w:rsidRPr="001614FC" w:rsidRDefault="0034723B" w:rsidP="001614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Community infrastructure can be rebuilt taking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 xml:space="preserve">into account 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risk-reduction strategies</w:t>
            </w:r>
          </w:p>
          <w:p w14:paraId="29A59747" w14:textId="190B3264" w:rsidR="0034723B" w:rsidRPr="001614FC" w:rsidRDefault="0034723B" w:rsidP="001614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If labour is the norm, CFW will allow for a return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to a normal way of life</w:t>
            </w:r>
          </w:p>
          <w:p w14:paraId="50A94094" w14:textId="166057FC" w:rsidR="0034723B" w:rsidRPr="001614FC" w:rsidRDefault="0034723B" w:rsidP="001614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Reduces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 xml:space="preserve"> the risk of economic migration</w:t>
            </w:r>
          </w:p>
          <w:p w14:paraId="081F5A0A" w14:textId="3A0C56DA" w:rsidR="001E61CF" w:rsidRPr="001614FC" w:rsidRDefault="0034723B" w:rsidP="001614FC">
            <w:pPr>
              <w:pStyle w:val="ListParagraph"/>
              <w:numPr>
                <w:ilvl w:val="0"/>
                <w:numId w:val="18"/>
              </w:numPr>
              <w:spacing w:before="60" w:after="60" w:line="276" w:lineRule="auto"/>
              <w:ind w:left="317" w:hanging="283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Community empowerment</w:t>
            </w:r>
          </w:p>
        </w:tc>
        <w:tc>
          <w:tcPr>
            <w:tcW w:w="2051" w:type="pct"/>
          </w:tcPr>
          <w:p w14:paraId="35CDF72B" w14:textId="11BE4665" w:rsidR="0034723B" w:rsidRPr="001614FC" w:rsidRDefault="0034723B" w:rsidP="001614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Dis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ruption of local labour markets</w:t>
            </w:r>
          </w:p>
          <w:p w14:paraId="398FF5AD" w14:textId="71C79902" w:rsidR="00A52785" w:rsidRPr="001614FC" w:rsidRDefault="0034723B" w:rsidP="001614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Possible disruption of cultural coping and recovery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>me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chanisms</w:t>
            </w:r>
          </w:p>
          <w:p w14:paraId="62D0CB82" w14:textId="36496B57" w:rsidR="00A52785" w:rsidRPr="001614FC" w:rsidRDefault="00955BA8" w:rsidP="001614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>Often short term in nature</w:t>
            </w:r>
          </w:p>
          <w:p w14:paraId="7F1C1603" w14:textId="402D2251" w:rsidR="0034723B" w:rsidRPr="001614FC" w:rsidRDefault="0034723B" w:rsidP="001614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Can take time away from seasonal livelihood activities</w:t>
            </w:r>
            <w:r w:rsidR="0093306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="00955BA8">
              <w:rPr>
                <w:rFonts w:cs="Arial"/>
                <w:color w:val="000000"/>
                <w:szCs w:val="20"/>
                <w:lang w:val="en-GB"/>
              </w:rPr>
              <w:t>e.g. planting</w:t>
            </w:r>
          </w:p>
          <w:p w14:paraId="73855E7B" w14:textId="1E8A4882" w:rsidR="001E61CF" w:rsidRPr="001614FC" w:rsidRDefault="0034723B" w:rsidP="001614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color w:val="000000"/>
                <w:szCs w:val="20"/>
                <w:lang w:val="en-GB"/>
              </w:rPr>
              <w:t>May exclude those not physically able to work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>(although there are some specific forms of work</w:t>
            </w:r>
            <w:r w:rsidR="00A52785" w:rsidRPr="001614FC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color w:val="000000"/>
                <w:szCs w:val="20"/>
                <w:lang w:val="en-GB"/>
              </w:rPr>
              <w:t>that can target physically disabled people)</w:t>
            </w:r>
          </w:p>
        </w:tc>
      </w:tr>
      <w:tr w:rsidR="00955BA8" w:rsidRPr="001614FC" w14:paraId="5C19BC90" w14:textId="77777777" w:rsidTr="00955BA8">
        <w:tc>
          <w:tcPr>
            <w:tcW w:w="846" w:type="pct"/>
            <w:shd w:val="clear" w:color="auto" w:fill="A6A6A6"/>
          </w:tcPr>
          <w:p w14:paraId="6D2A0D47" w14:textId="77777777" w:rsidR="007C15B8" w:rsidRPr="001614FC" w:rsidRDefault="00FD333E" w:rsidP="001614FC">
            <w:pPr>
              <w:spacing w:before="60" w:after="60" w:line="276" w:lineRule="auto"/>
              <w:rPr>
                <w:rFonts w:cs="Arial"/>
                <w:b/>
              </w:rPr>
            </w:pPr>
            <w:r w:rsidRPr="001614FC">
              <w:rPr>
                <w:rFonts w:cs="Arial"/>
                <w:b/>
              </w:rPr>
              <w:t>Seed voucher fairs</w:t>
            </w:r>
          </w:p>
        </w:tc>
        <w:tc>
          <w:tcPr>
            <w:tcW w:w="2103" w:type="pct"/>
            <w:shd w:val="clear" w:color="auto" w:fill="E6E6E6"/>
          </w:tcPr>
          <w:p w14:paraId="014C470C" w14:textId="35DB23DC" w:rsidR="007C15B8" w:rsidRPr="001614FC" w:rsidRDefault="007C15B8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Greater choice for farmers in terms of c</w:t>
            </w:r>
            <w:r w:rsidR="00955BA8">
              <w:rPr>
                <w:rFonts w:cs="Arial"/>
                <w:szCs w:val="20"/>
                <w:lang w:val="en-GB"/>
              </w:rPr>
              <w:t>ommodity preference and quality</w:t>
            </w:r>
          </w:p>
          <w:p w14:paraId="664E3A59" w14:textId="77777777" w:rsidR="007C15B8" w:rsidRPr="001614FC" w:rsidRDefault="007C15B8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Strengthens local procurement systems.</w:t>
            </w:r>
          </w:p>
          <w:p w14:paraId="622161DD" w14:textId="74E307B8" w:rsidR="007C15B8" w:rsidRPr="001614FC" w:rsidRDefault="007C15B8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Can enco</w:t>
            </w:r>
            <w:r w:rsidR="00955BA8">
              <w:rPr>
                <w:rFonts w:cs="Arial"/>
                <w:szCs w:val="20"/>
                <w:lang w:val="en-GB"/>
              </w:rPr>
              <w:t>urage traders to affected areas</w:t>
            </w:r>
          </w:p>
          <w:p w14:paraId="35B4586B" w14:textId="17C4DE3C" w:rsidR="007C15B8" w:rsidRPr="001614FC" w:rsidRDefault="007C15B8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Creates awareness of alterna</w:t>
            </w:r>
            <w:r w:rsidR="00955BA8">
              <w:rPr>
                <w:rFonts w:cs="Arial"/>
                <w:szCs w:val="20"/>
                <w:lang w:val="en-GB"/>
              </w:rPr>
              <w:t>tive seed sources and varieties</w:t>
            </w:r>
          </w:p>
          <w:p w14:paraId="62B0C162" w14:textId="4CF652C4" w:rsidR="007C15B8" w:rsidRPr="001614FC" w:rsidRDefault="007C15B8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Allows for links and informa</w:t>
            </w:r>
            <w:r w:rsidR="00955BA8">
              <w:rPr>
                <w:rFonts w:cs="Arial"/>
                <w:szCs w:val="20"/>
                <w:lang w:val="en-GB"/>
              </w:rPr>
              <w:t>tion sharing between farmers</w:t>
            </w:r>
          </w:p>
          <w:p w14:paraId="31F7B581" w14:textId="34DF8241" w:rsidR="007C15B8" w:rsidRPr="001614FC" w:rsidRDefault="007C15B8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Supports local crop producti</w:t>
            </w:r>
            <w:r w:rsidR="00955BA8">
              <w:rPr>
                <w:rFonts w:cs="Arial"/>
                <w:szCs w:val="20"/>
                <w:lang w:val="en-GB"/>
              </w:rPr>
              <w:t>on and agricultural initiatives</w:t>
            </w:r>
          </w:p>
          <w:p w14:paraId="06FAD4BB" w14:textId="7D94C503" w:rsidR="007C15B8" w:rsidRPr="001614FC" w:rsidRDefault="007C15B8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Short planning time frame</w:t>
            </w:r>
          </w:p>
        </w:tc>
        <w:tc>
          <w:tcPr>
            <w:tcW w:w="2051" w:type="pct"/>
          </w:tcPr>
          <w:p w14:paraId="5FBFCC9E" w14:textId="4F56F648" w:rsidR="007C15B8" w:rsidRPr="001614FC" w:rsidRDefault="007C15B8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4"/>
              <w:contextualSpacing w:val="0"/>
              <w:rPr>
                <w:rFonts w:cs="Arial"/>
                <w:szCs w:val="20"/>
                <w:lang w:val="en-GB"/>
              </w:rPr>
            </w:pPr>
            <w:r w:rsidRPr="001614FC">
              <w:rPr>
                <w:rFonts w:cs="Arial"/>
                <w:szCs w:val="20"/>
                <w:lang w:val="en-GB"/>
              </w:rPr>
              <w:t>Reluctance of traders to participate.</w:t>
            </w:r>
            <w:r w:rsidRPr="001614FC">
              <w:rPr>
                <w:rFonts w:cs="Arial"/>
                <w:color w:val="FFCF86"/>
                <w:szCs w:val="20"/>
                <w:lang w:val="en-GB"/>
              </w:rPr>
              <w:t xml:space="preserve"> </w:t>
            </w:r>
            <w:r w:rsidRPr="001614FC">
              <w:rPr>
                <w:rFonts w:cs="Arial"/>
                <w:szCs w:val="20"/>
                <w:lang w:val="en-GB"/>
              </w:rPr>
              <w:t>Insufficient traders within the vicinity of the potential recipient population</w:t>
            </w:r>
          </w:p>
        </w:tc>
      </w:tr>
    </w:tbl>
    <w:p w14:paraId="6263C11E" w14:textId="77777777" w:rsidR="001E61CF" w:rsidRPr="001614FC" w:rsidRDefault="001E61CF" w:rsidP="00933065">
      <w:pPr>
        <w:autoSpaceDE w:val="0"/>
        <w:autoSpaceDN w:val="0"/>
        <w:adjustRightInd w:val="0"/>
        <w:jc w:val="left"/>
        <w:rPr>
          <w:rFonts w:cs="Arial"/>
        </w:rPr>
      </w:pPr>
    </w:p>
    <w:p w14:paraId="27F48FD0" w14:textId="77777777" w:rsidR="001614FC" w:rsidRPr="001614FC" w:rsidRDefault="001614FC">
      <w:pPr>
        <w:autoSpaceDE w:val="0"/>
        <w:autoSpaceDN w:val="0"/>
        <w:adjustRightInd w:val="0"/>
        <w:jc w:val="left"/>
        <w:rPr>
          <w:rFonts w:cs="Arial"/>
        </w:rPr>
      </w:pPr>
    </w:p>
    <w:sectPr w:rsidR="001614FC" w:rsidRPr="001614FC" w:rsidSect="00FA5A5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E0194" w14:textId="77777777" w:rsidR="00B903D2" w:rsidRDefault="00B903D2" w:rsidP="001E61CF">
      <w:r>
        <w:separator/>
      </w:r>
    </w:p>
  </w:endnote>
  <w:endnote w:type="continuationSeparator" w:id="0">
    <w:p w14:paraId="6210C693" w14:textId="77777777" w:rsidR="00B903D2" w:rsidRDefault="00B903D2" w:rsidP="001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C1C7" w14:textId="77777777" w:rsidR="00FA5A5D" w:rsidRPr="00B45C74" w:rsidRDefault="00FA5A5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7727C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209EA8C" w14:textId="77777777" w:rsidR="00FA5A5D" w:rsidRPr="00FA5A5D" w:rsidRDefault="00FA5A5D" w:rsidP="00ED1B2B">
    <w:pPr>
      <w:pStyle w:val="Footer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3. </w:t>
    </w:r>
    <w:fldSimple w:instr=" STYLEREF  H1 \t  \* MERGEFORMAT ">
      <w:r w:rsidR="00A7727C" w:rsidRPr="00A7727C">
        <w:rPr>
          <w:bCs/>
          <w:noProof/>
        </w:rPr>
        <w:t>Advantages and Disadvantages of response modalities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B4C51" w14:textId="77777777" w:rsidR="00B903D2" w:rsidRDefault="00B903D2" w:rsidP="001E61CF">
      <w:r>
        <w:separator/>
      </w:r>
    </w:p>
  </w:footnote>
  <w:footnote w:type="continuationSeparator" w:id="0">
    <w:p w14:paraId="3377911D" w14:textId="77777777" w:rsidR="00B903D2" w:rsidRDefault="00B903D2" w:rsidP="001E61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E0FC4" w14:textId="77777777" w:rsidR="00FA5A5D" w:rsidRPr="00074036" w:rsidRDefault="00FA5A5D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8FAA5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24F2"/>
    <w:multiLevelType w:val="hybridMultilevel"/>
    <w:tmpl w:val="0628A046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5322C"/>
    <w:multiLevelType w:val="hybridMultilevel"/>
    <w:tmpl w:val="E932DD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FF5F5E"/>
    <w:multiLevelType w:val="hybridMultilevel"/>
    <w:tmpl w:val="F06CF9B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C0879"/>
    <w:multiLevelType w:val="hybridMultilevel"/>
    <w:tmpl w:val="7F64C00C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F42DA6"/>
    <w:multiLevelType w:val="hybridMultilevel"/>
    <w:tmpl w:val="910AA2F8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6826"/>
    <w:multiLevelType w:val="hybridMultilevel"/>
    <w:tmpl w:val="6FFEC100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52029"/>
    <w:multiLevelType w:val="hybridMultilevel"/>
    <w:tmpl w:val="FED2472E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F551FA"/>
    <w:multiLevelType w:val="hybridMultilevel"/>
    <w:tmpl w:val="5A3C141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A7121"/>
    <w:multiLevelType w:val="hybridMultilevel"/>
    <w:tmpl w:val="C156BC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D327A3"/>
    <w:multiLevelType w:val="hybridMultilevel"/>
    <w:tmpl w:val="81C499B4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255657"/>
    <w:multiLevelType w:val="hybridMultilevel"/>
    <w:tmpl w:val="FD50915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E14CE"/>
    <w:multiLevelType w:val="hybridMultilevel"/>
    <w:tmpl w:val="35661206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F5541"/>
    <w:multiLevelType w:val="hybridMultilevel"/>
    <w:tmpl w:val="F2D0BF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D45DA7"/>
    <w:multiLevelType w:val="hybridMultilevel"/>
    <w:tmpl w:val="53182708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EC409C"/>
    <w:multiLevelType w:val="hybridMultilevel"/>
    <w:tmpl w:val="E88253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E0584"/>
    <w:multiLevelType w:val="hybridMultilevel"/>
    <w:tmpl w:val="9606DA82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66D74"/>
    <w:multiLevelType w:val="hybridMultilevel"/>
    <w:tmpl w:val="A53CA0AC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85F9E"/>
    <w:multiLevelType w:val="hybridMultilevel"/>
    <w:tmpl w:val="FDCADE8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81DC4"/>
    <w:multiLevelType w:val="hybridMultilevel"/>
    <w:tmpl w:val="476A2D54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20"/>
  </w:num>
  <w:num w:numId="7">
    <w:abstractNumId w:val="19"/>
  </w:num>
  <w:num w:numId="8">
    <w:abstractNumId w:val="6"/>
  </w:num>
  <w:num w:numId="9">
    <w:abstractNumId w:val="21"/>
  </w:num>
  <w:num w:numId="10">
    <w:abstractNumId w:val="25"/>
  </w:num>
  <w:num w:numId="11">
    <w:abstractNumId w:val="13"/>
  </w:num>
  <w:num w:numId="12">
    <w:abstractNumId w:val="24"/>
  </w:num>
  <w:num w:numId="13">
    <w:abstractNumId w:val="2"/>
  </w:num>
  <w:num w:numId="14">
    <w:abstractNumId w:val="23"/>
  </w:num>
  <w:num w:numId="15">
    <w:abstractNumId w:val="8"/>
  </w:num>
  <w:num w:numId="16">
    <w:abstractNumId w:val="22"/>
  </w:num>
  <w:num w:numId="17">
    <w:abstractNumId w:val="15"/>
  </w:num>
  <w:num w:numId="18">
    <w:abstractNumId w:val="10"/>
  </w:num>
  <w:num w:numId="19">
    <w:abstractNumId w:val="7"/>
  </w:num>
  <w:num w:numId="20">
    <w:abstractNumId w:val="4"/>
  </w:num>
  <w:num w:numId="21">
    <w:abstractNumId w:val="1"/>
  </w:num>
  <w:num w:numId="22">
    <w:abstractNumId w:val="14"/>
  </w:num>
  <w:num w:numId="23">
    <w:abstractNumId w:val="5"/>
  </w:num>
  <w:num w:numId="24">
    <w:abstractNumId w:val="16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linkStyl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CF"/>
    <w:rsid w:val="00006BBF"/>
    <w:rsid w:val="00030CC0"/>
    <w:rsid w:val="000341E4"/>
    <w:rsid w:val="0003434B"/>
    <w:rsid w:val="0003604E"/>
    <w:rsid w:val="0005150F"/>
    <w:rsid w:val="00084F9F"/>
    <w:rsid w:val="00096A14"/>
    <w:rsid w:val="000A1EEC"/>
    <w:rsid w:val="000B42FE"/>
    <w:rsid w:val="000F5FB3"/>
    <w:rsid w:val="00134925"/>
    <w:rsid w:val="00137659"/>
    <w:rsid w:val="001418A3"/>
    <w:rsid w:val="001614FC"/>
    <w:rsid w:val="00166927"/>
    <w:rsid w:val="0017388C"/>
    <w:rsid w:val="0018189F"/>
    <w:rsid w:val="001E61CF"/>
    <w:rsid w:val="00224867"/>
    <w:rsid w:val="00242E9E"/>
    <w:rsid w:val="00243808"/>
    <w:rsid w:val="002442AA"/>
    <w:rsid w:val="002467E6"/>
    <w:rsid w:val="00257AB8"/>
    <w:rsid w:val="00266F5C"/>
    <w:rsid w:val="00267610"/>
    <w:rsid w:val="00271334"/>
    <w:rsid w:val="00276BFB"/>
    <w:rsid w:val="0029494E"/>
    <w:rsid w:val="002A3623"/>
    <w:rsid w:val="002E6E16"/>
    <w:rsid w:val="002F0D9B"/>
    <w:rsid w:val="002F38C4"/>
    <w:rsid w:val="0030260E"/>
    <w:rsid w:val="00311319"/>
    <w:rsid w:val="00312FC7"/>
    <w:rsid w:val="00315FA2"/>
    <w:rsid w:val="003302F8"/>
    <w:rsid w:val="003441CC"/>
    <w:rsid w:val="0034723B"/>
    <w:rsid w:val="00355B84"/>
    <w:rsid w:val="003618C1"/>
    <w:rsid w:val="003860BE"/>
    <w:rsid w:val="003A4C81"/>
    <w:rsid w:val="003B25BA"/>
    <w:rsid w:val="003B57A7"/>
    <w:rsid w:val="003C6BF3"/>
    <w:rsid w:val="00401D80"/>
    <w:rsid w:val="004151F9"/>
    <w:rsid w:val="00432124"/>
    <w:rsid w:val="0044743A"/>
    <w:rsid w:val="00467B15"/>
    <w:rsid w:val="004767DE"/>
    <w:rsid w:val="00477CED"/>
    <w:rsid w:val="00483585"/>
    <w:rsid w:val="00494645"/>
    <w:rsid w:val="004A054C"/>
    <w:rsid w:val="004C3EED"/>
    <w:rsid w:val="004D66C9"/>
    <w:rsid w:val="004F6C7D"/>
    <w:rsid w:val="00501173"/>
    <w:rsid w:val="005520F1"/>
    <w:rsid w:val="00566AE3"/>
    <w:rsid w:val="00583B60"/>
    <w:rsid w:val="005A409A"/>
    <w:rsid w:val="005A50E0"/>
    <w:rsid w:val="005B23E4"/>
    <w:rsid w:val="005E1A34"/>
    <w:rsid w:val="005E36A1"/>
    <w:rsid w:val="00602355"/>
    <w:rsid w:val="006153B3"/>
    <w:rsid w:val="006527FA"/>
    <w:rsid w:val="006610CC"/>
    <w:rsid w:val="00662F1B"/>
    <w:rsid w:val="00667A44"/>
    <w:rsid w:val="00670146"/>
    <w:rsid w:val="0067681E"/>
    <w:rsid w:val="006A0FAE"/>
    <w:rsid w:val="006B4442"/>
    <w:rsid w:val="006C684D"/>
    <w:rsid w:val="006D3BF7"/>
    <w:rsid w:val="006F2503"/>
    <w:rsid w:val="00706131"/>
    <w:rsid w:val="00715F07"/>
    <w:rsid w:val="00790D62"/>
    <w:rsid w:val="007A32C6"/>
    <w:rsid w:val="007B6BB7"/>
    <w:rsid w:val="007C15B8"/>
    <w:rsid w:val="007C2235"/>
    <w:rsid w:val="007D217B"/>
    <w:rsid w:val="007D35D5"/>
    <w:rsid w:val="00807338"/>
    <w:rsid w:val="00830226"/>
    <w:rsid w:val="00865444"/>
    <w:rsid w:val="00874ACF"/>
    <w:rsid w:val="008779AB"/>
    <w:rsid w:val="00893A68"/>
    <w:rsid w:val="00894B31"/>
    <w:rsid w:val="008B2C7F"/>
    <w:rsid w:val="008B31D5"/>
    <w:rsid w:val="008C3212"/>
    <w:rsid w:val="008D2114"/>
    <w:rsid w:val="008E3B0A"/>
    <w:rsid w:val="0091007F"/>
    <w:rsid w:val="00925A38"/>
    <w:rsid w:val="00931A4F"/>
    <w:rsid w:val="00933065"/>
    <w:rsid w:val="009423E1"/>
    <w:rsid w:val="00955BA8"/>
    <w:rsid w:val="00962C54"/>
    <w:rsid w:val="009647F3"/>
    <w:rsid w:val="00970E74"/>
    <w:rsid w:val="009728DC"/>
    <w:rsid w:val="00973654"/>
    <w:rsid w:val="009776D6"/>
    <w:rsid w:val="009938ED"/>
    <w:rsid w:val="009A6E23"/>
    <w:rsid w:val="009B10DB"/>
    <w:rsid w:val="009B5967"/>
    <w:rsid w:val="009C1B85"/>
    <w:rsid w:val="009C3C0F"/>
    <w:rsid w:val="009D2B4A"/>
    <w:rsid w:val="009E1BE5"/>
    <w:rsid w:val="009E631E"/>
    <w:rsid w:val="009E714B"/>
    <w:rsid w:val="00A238BA"/>
    <w:rsid w:val="00A41AAA"/>
    <w:rsid w:val="00A52785"/>
    <w:rsid w:val="00A71192"/>
    <w:rsid w:val="00A72044"/>
    <w:rsid w:val="00A7727C"/>
    <w:rsid w:val="00A85FA8"/>
    <w:rsid w:val="00AD003F"/>
    <w:rsid w:val="00AD4309"/>
    <w:rsid w:val="00AE50BC"/>
    <w:rsid w:val="00AF05D8"/>
    <w:rsid w:val="00B202C6"/>
    <w:rsid w:val="00B31799"/>
    <w:rsid w:val="00B35D2B"/>
    <w:rsid w:val="00B4247C"/>
    <w:rsid w:val="00B50ECF"/>
    <w:rsid w:val="00B51886"/>
    <w:rsid w:val="00B532ED"/>
    <w:rsid w:val="00B650D7"/>
    <w:rsid w:val="00B70758"/>
    <w:rsid w:val="00B72DCB"/>
    <w:rsid w:val="00B84EAA"/>
    <w:rsid w:val="00B903D2"/>
    <w:rsid w:val="00B960D0"/>
    <w:rsid w:val="00BA6EAD"/>
    <w:rsid w:val="00BB3C24"/>
    <w:rsid w:val="00BC02CC"/>
    <w:rsid w:val="00BC48B3"/>
    <w:rsid w:val="00BC646F"/>
    <w:rsid w:val="00BD1ECC"/>
    <w:rsid w:val="00BD4796"/>
    <w:rsid w:val="00C0208B"/>
    <w:rsid w:val="00C04C88"/>
    <w:rsid w:val="00C32289"/>
    <w:rsid w:val="00C37899"/>
    <w:rsid w:val="00C43A1E"/>
    <w:rsid w:val="00C75550"/>
    <w:rsid w:val="00C7605D"/>
    <w:rsid w:val="00C771C1"/>
    <w:rsid w:val="00C91E90"/>
    <w:rsid w:val="00C960BE"/>
    <w:rsid w:val="00CC2F61"/>
    <w:rsid w:val="00CC3185"/>
    <w:rsid w:val="00CE5307"/>
    <w:rsid w:val="00CF0B79"/>
    <w:rsid w:val="00D050D3"/>
    <w:rsid w:val="00D2617B"/>
    <w:rsid w:val="00D27CF6"/>
    <w:rsid w:val="00D5149A"/>
    <w:rsid w:val="00D5579A"/>
    <w:rsid w:val="00D8700E"/>
    <w:rsid w:val="00D9291B"/>
    <w:rsid w:val="00DA617A"/>
    <w:rsid w:val="00DE303F"/>
    <w:rsid w:val="00DF3988"/>
    <w:rsid w:val="00DF3E5A"/>
    <w:rsid w:val="00DF4B28"/>
    <w:rsid w:val="00E23289"/>
    <w:rsid w:val="00E31784"/>
    <w:rsid w:val="00E345D8"/>
    <w:rsid w:val="00E3717D"/>
    <w:rsid w:val="00E57504"/>
    <w:rsid w:val="00E72985"/>
    <w:rsid w:val="00E81C8C"/>
    <w:rsid w:val="00E870BC"/>
    <w:rsid w:val="00EA3B6B"/>
    <w:rsid w:val="00EB60F9"/>
    <w:rsid w:val="00ED08F3"/>
    <w:rsid w:val="00EE19EE"/>
    <w:rsid w:val="00EE7E9D"/>
    <w:rsid w:val="00F03560"/>
    <w:rsid w:val="00F0521C"/>
    <w:rsid w:val="00F075D4"/>
    <w:rsid w:val="00F12CB7"/>
    <w:rsid w:val="00F37F90"/>
    <w:rsid w:val="00F8660A"/>
    <w:rsid w:val="00FA5A5D"/>
    <w:rsid w:val="00FC52A7"/>
    <w:rsid w:val="00FD333E"/>
    <w:rsid w:val="00FE023C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B8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61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CC2F6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F6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F6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1E61CF"/>
    <w:pPr>
      <w:numPr>
        <w:numId w:val="1"/>
      </w:numPr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CC2F61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C2F6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F61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C2F61"/>
    <w:rPr>
      <w:vertAlign w:val="superscript"/>
    </w:rPr>
  </w:style>
  <w:style w:type="character" w:styleId="Strong">
    <w:name w:val="Strong"/>
    <w:uiPriority w:val="22"/>
    <w:qFormat/>
    <w:rsid w:val="001E61CF"/>
    <w:rPr>
      <w:b/>
    </w:rPr>
  </w:style>
  <w:style w:type="table" w:styleId="TableGrid">
    <w:name w:val="Table Grid"/>
    <w:basedOn w:val="TableNormal"/>
    <w:uiPriority w:val="59"/>
    <w:rsid w:val="00CC2F61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2F61"/>
    <w:rPr>
      <w:rFonts w:ascii="Arial" w:eastAsiaTheme="minorEastAsia" w:hAnsi="Arial" w:cs="Times New Roman"/>
      <w:b/>
      <w:sz w:val="40"/>
      <w:szCs w:val="52"/>
      <w:lang w:val="en-US"/>
    </w:rPr>
  </w:style>
  <w:style w:type="table" w:styleId="LightList-Accent1">
    <w:name w:val="Light List Accent 1"/>
    <w:basedOn w:val="TableNormal"/>
    <w:uiPriority w:val="61"/>
    <w:rsid w:val="0093306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C2F6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C2F61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2F6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2F61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2F61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C2F61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2F61"/>
    <w:rPr>
      <w:rFonts w:ascii="Arial" w:hAnsi="Arial"/>
      <w:sz w:val="20"/>
      <w:lang w:val="en-US"/>
    </w:rPr>
  </w:style>
  <w:style w:type="paragraph" w:customStyle="1" w:styleId="Default">
    <w:name w:val="Default"/>
    <w:rsid w:val="00CC2F6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2F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5D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C2F6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C2F61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F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6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CC2F61"/>
    <w:rPr>
      <w:b/>
    </w:rPr>
  </w:style>
  <w:style w:type="character" w:styleId="Hyperlink">
    <w:name w:val="Hyperlink"/>
    <w:basedOn w:val="DefaultParagraphFont"/>
    <w:uiPriority w:val="99"/>
    <w:unhideWhenUsed/>
    <w:rsid w:val="00CC2F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F6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C2F61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CC2F6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C2F6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C2F61"/>
    <w:pPr>
      <w:numPr>
        <w:numId w:val="2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C2F6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C2F6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C2F6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C2F6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C2F61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CC2F61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C2F61"/>
    <w:pPr>
      <w:numPr>
        <w:numId w:val="2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CC2F61"/>
    <w:pPr>
      <w:numPr>
        <w:ilvl w:val="1"/>
        <w:numId w:val="2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C2F61"/>
    <w:pPr>
      <w:numPr>
        <w:numId w:val="2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C2F61"/>
    <w:pPr>
      <w:numPr>
        <w:numId w:val="2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C2F6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C2F6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C2F61"/>
    <w:pPr>
      <w:keepNext/>
      <w:keepLines/>
      <w:framePr w:hSpace="141" w:wrap="around" w:vAnchor="text" w:hAnchor="margin" w:y="402"/>
      <w:numPr>
        <w:numId w:val="2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C:\Clients\Croix Rouge\ICRC_Template.dotx</Template>
  <TotalTime>1</TotalTime>
  <Pages>2</Pages>
  <Words>632</Words>
  <Characters>3606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jfrize</dc:creator>
  <cp:lastModifiedBy>Microsoft Office User</cp:lastModifiedBy>
  <cp:revision>2</cp:revision>
  <cp:lastPrinted>2015-09-28T17:07:00Z</cp:lastPrinted>
  <dcterms:created xsi:type="dcterms:W3CDTF">2016-08-09T09:34:00Z</dcterms:created>
  <dcterms:modified xsi:type="dcterms:W3CDTF">2016-08-09T09:34:00Z</dcterms:modified>
</cp:coreProperties>
</file>