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4D8529" w14:textId="77777777" w:rsidR="0081574B" w:rsidRDefault="00CA3577" w:rsidP="00F41E2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41E28">
        <w:rPr>
          <w:b/>
          <w:sz w:val="28"/>
          <w:szCs w:val="28"/>
        </w:rPr>
        <w:t xml:space="preserve">Roadmap for </w:t>
      </w:r>
      <w:r w:rsidR="00663F24" w:rsidRPr="00F41E28">
        <w:rPr>
          <w:b/>
          <w:sz w:val="28"/>
          <w:szCs w:val="28"/>
        </w:rPr>
        <w:t>Voucher</w:t>
      </w:r>
      <w:r w:rsidR="00F41E28">
        <w:rPr>
          <w:b/>
          <w:sz w:val="28"/>
          <w:szCs w:val="28"/>
        </w:rPr>
        <w:t xml:space="preserve"> Issues in the Programme Cycle</w:t>
      </w:r>
    </w:p>
    <w:p w14:paraId="68FA5BA5" w14:textId="77777777" w:rsidR="00F41E28" w:rsidRPr="00F41E28" w:rsidRDefault="00F41E28" w:rsidP="00F41E28">
      <w:pPr>
        <w:jc w:val="center"/>
        <w:rPr>
          <w:b/>
          <w:sz w:val="28"/>
          <w:szCs w:val="28"/>
        </w:rPr>
      </w:pPr>
    </w:p>
    <w:p w14:paraId="679ABC8E" w14:textId="77777777" w:rsidR="0081574B" w:rsidRPr="00261A88" w:rsidRDefault="0081574B" w:rsidP="003A35FF">
      <w:pPr>
        <w:pBdr>
          <w:bottom w:val="single" w:sz="4" w:space="1" w:color="auto"/>
        </w:pBdr>
        <w:spacing w:before="240" w:after="240"/>
        <w:jc w:val="both"/>
        <w:rPr>
          <w:b/>
          <w:sz w:val="22"/>
          <w:szCs w:val="22"/>
        </w:rPr>
      </w:pPr>
      <w:r w:rsidRPr="00261A88">
        <w:rPr>
          <w:b/>
          <w:sz w:val="22"/>
          <w:szCs w:val="22"/>
        </w:rPr>
        <w:t>INTRODUCTION</w:t>
      </w:r>
    </w:p>
    <w:p w14:paraId="364077D7" w14:textId="77777777" w:rsidR="0081574B" w:rsidRPr="00261A88" w:rsidRDefault="0081574B" w:rsidP="003A35FF">
      <w:pPr>
        <w:spacing w:after="120"/>
        <w:jc w:val="both"/>
        <w:rPr>
          <w:sz w:val="22"/>
          <w:szCs w:val="22"/>
        </w:rPr>
      </w:pPr>
      <w:r w:rsidRPr="00261A88">
        <w:rPr>
          <w:sz w:val="22"/>
          <w:szCs w:val="22"/>
        </w:rPr>
        <w:t xml:space="preserve">This </w:t>
      </w:r>
      <w:r w:rsidR="00CA3577" w:rsidRPr="00261A88">
        <w:rPr>
          <w:sz w:val="22"/>
          <w:szCs w:val="22"/>
        </w:rPr>
        <w:t xml:space="preserve">roadmap </w:t>
      </w:r>
      <w:r w:rsidRPr="00261A88">
        <w:rPr>
          <w:sz w:val="22"/>
          <w:szCs w:val="22"/>
        </w:rPr>
        <w:t xml:space="preserve">will go through </w:t>
      </w:r>
      <w:r w:rsidR="00C67085" w:rsidRPr="00261A88">
        <w:rPr>
          <w:sz w:val="22"/>
          <w:szCs w:val="22"/>
        </w:rPr>
        <w:t xml:space="preserve">some of </w:t>
      </w:r>
      <w:r w:rsidR="00663F24" w:rsidRPr="00261A88">
        <w:rPr>
          <w:sz w:val="22"/>
          <w:szCs w:val="22"/>
        </w:rPr>
        <w:t>the specificities of voucher program</w:t>
      </w:r>
      <w:r w:rsidRPr="00261A88">
        <w:rPr>
          <w:sz w:val="22"/>
          <w:szCs w:val="22"/>
        </w:rPr>
        <w:t>mes</w:t>
      </w:r>
      <w:r w:rsidR="00CA3577" w:rsidRPr="00261A88">
        <w:rPr>
          <w:sz w:val="22"/>
          <w:szCs w:val="22"/>
        </w:rPr>
        <w:t>, providing you with guidance and</w:t>
      </w:r>
      <w:r w:rsidR="00C67085" w:rsidRPr="00261A88">
        <w:rPr>
          <w:sz w:val="22"/>
          <w:szCs w:val="22"/>
        </w:rPr>
        <w:t xml:space="preserve"> </w:t>
      </w:r>
      <w:r w:rsidR="00CA3577" w:rsidRPr="00261A88">
        <w:rPr>
          <w:sz w:val="22"/>
          <w:szCs w:val="22"/>
        </w:rPr>
        <w:t xml:space="preserve">introducing you to </w:t>
      </w:r>
      <w:r w:rsidR="00C67085" w:rsidRPr="00261A88">
        <w:rPr>
          <w:sz w:val="22"/>
          <w:szCs w:val="22"/>
        </w:rPr>
        <w:t xml:space="preserve">tools </w:t>
      </w:r>
      <w:r w:rsidR="00CA3577" w:rsidRPr="00261A88">
        <w:rPr>
          <w:sz w:val="22"/>
          <w:szCs w:val="22"/>
        </w:rPr>
        <w:t>that can</w:t>
      </w:r>
      <w:r w:rsidR="00C67085" w:rsidRPr="00261A88">
        <w:rPr>
          <w:sz w:val="22"/>
          <w:szCs w:val="22"/>
        </w:rPr>
        <w:t xml:space="preserve"> </w:t>
      </w:r>
      <w:r w:rsidR="003A35FF" w:rsidRPr="00261A88">
        <w:rPr>
          <w:sz w:val="22"/>
          <w:szCs w:val="22"/>
        </w:rPr>
        <w:t>help you consider</w:t>
      </w:r>
      <w:r w:rsidR="00C67085" w:rsidRPr="00261A88">
        <w:rPr>
          <w:sz w:val="22"/>
          <w:szCs w:val="22"/>
        </w:rPr>
        <w:t xml:space="preserve"> </w:t>
      </w:r>
      <w:r w:rsidR="00663F24" w:rsidRPr="00261A88">
        <w:rPr>
          <w:sz w:val="22"/>
          <w:szCs w:val="22"/>
        </w:rPr>
        <w:t>voucher</w:t>
      </w:r>
      <w:r w:rsidR="003A35FF" w:rsidRPr="00261A88">
        <w:rPr>
          <w:sz w:val="22"/>
          <w:szCs w:val="22"/>
        </w:rPr>
        <w:t>-specific</w:t>
      </w:r>
      <w:r w:rsidR="00C67085" w:rsidRPr="00261A88">
        <w:rPr>
          <w:sz w:val="22"/>
          <w:szCs w:val="22"/>
        </w:rPr>
        <w:t xml:space="preserve"> issues in the </w:t>
      </w:r>
      <w:r w:rsidR="00663F24" w:rsidRPr="00261A88">
        <w:rPr>
          <w:sz w:val="22"/>
          <w:szCs w:val="22"/>
        </w:rPr>
        <w:t>different phases of the project cycle</w:t>
      </w:r>
      <w:r w:rsidR="00C67085" w:rsidRPr="00261A88">
        <w:rPr>
          <w:sz w:val="22"/>
          <w:szCs w:val="22"/>
        </w:rPr>
        <w:t xml:space="preserve">. </w:t>
      </w:r>
      <w:r w:rsidR="00415037" w:rsidRPr="00261A88">
        <w:rPr>
          <w:sz w:val="22"/>
          <w:szCs w:val="22"/>
        </w:rPr>
        <w:t>This</w:t>
      </w:r>
      <w:r w:rsidR="00CA3577" w:rsidRPr="00261A88">
        <w:rPr>
          <w:sz w:val="22"/>
          <w:szCs w:val="22"/>
        </w:rPr>
        <w:t xml:space="preserve"> roadmap and the tools</w:t>
      </w:r>
      <w:r w:rsidR="00415037" w:rsidRPr="00261A88">
        <w:rPr>
          <w:sz w:val="22"/>
          <w:szCs w:val="22"/>
        </w:rPr>
        <w:t xml:space="preserve"> presented </w:t>
      </w:r>
      <w:r w:rsidR="003A35FF" w:rsidRPr="00261A88">
        <w:rPr>
          <w:sz w:val="22"/>
          <w:szCs w:val="22"/>
        </w:rPr>
        <w:t xml:space="preserve">here </w:t>
      </w:r>
      <w:r w:rsidR="003A35FF" w:rsidRPr="00261A88">
        <w:rPr>
          <w:rFonts w:cs="O¯øœ!Ÿ"/>
          <w:sz w:val="22"/>
          <w:szCs w:val="22"/>
        </w:rPr>
        <w:t>should not be taken in isolation, as they</w:t>
      </w:r>
      <w:r w:rsidR="003A35FF" w:rsidRPr="00261A88">
        <w:rPr>
          <w:sz w:val="22"/>
          <w:szCs w:val="22"/>
        </w:rPr>
        <w:t xml:space="preserve"> </w:t>
      </w:r>
      <w:r w:rsidR="00CA3577" w:rsidRPr="00261A88">
        <w:rPr>
          <w:sz w:val="22"/>
          <w:szCs w:val="22"/>
        </w:rPr>
        <w:t xml:space="preserve">complement the information provided in the </w:t>
      </w:r>
      <w:r w:rsidR="009E7CD2" w:rsidRPr="00261A88">
        <w:rPr>
          <w:sz w:val="22"/>
          <w:szCs w:val="22"/>
        </w:rPr>
        <w:t xml:space="preserve">CiE </w:t>
      </w:r>
      <w:r w:rsidR="00663F24" w:rsidRPr="00261A88">
        <w:rPr>
          <w:sz w:val="22"/>
          <w:szCs w:val="22"/>
        </w:rPr>
        <w:t>Toolkit</w:t>
      </w:r>
      <w:r w:rsidR="00415037" w:rsidRPr="00261A88">
        <w:rPr>
          <w:rFonts w:cs="O¯øœ!Ÿ"/>
          <w:sz w:val="22"/>
          <w:szCs w:val="22"/>
        </w:rPr>
        <w:t>.</w:t>
      </w:r>
      <w:r w:rsidRPr="00261A88">
        <w:rPr>
          <w:rFonts w:cs="O¯øœ!Ÿ"/>
          <w:sz w:val="22"/>
          <w:szCs w:val="22"/>
        </w:rPr>
        <w:t xml:space="preserve"> If you need more detailed guidance on </w:t>
      </w:r>
      <w:r w:rsidR="00663F24" w:rsidRPr="00261A88">
        <w:rPr>
          <w:rFonts w:cs="O¯øœ!Ÿ"/>
          <w:sz w:val="22"/>
          <w:szCs w:val="22"/>
        </w:rPr>
        <w:t>voucher</w:t>
      </w:r>
      <w:r w:rsidRPr="00261A88">
        <w:rPr>
          <w:rFonts w:cs="O¯øœ!Ÿ"/>
          <w:sz w:val="22"/>
          <w:szCs w:val="22"/>
        </w:rPr>
        <w:t xml:space="preserve"> </w:t>
      </w:r>
      <w:r w:rsidR="00663F24" w:rsidRPr="00261A88">
        <w:rPr>
          <w:rFonts w:cs="O¯øœ!Ÿ"/>
          <w:sz w:val="22"/>
          <w:szCs w:val="22"/>
        </w:rPr>
        <w:t>programmes</w:t>
      </w:r>
      <w:r w:rsidRPr="00261A88">
        <w:rPr>
          <w:rFonts w:cs="O¯øœ!Ÿ"/>
          <w:sz w:val="22"/>
          <w:szCs w:val="22"/>
        </w:rPr>
        <w:t xml:space="preserve">, consult the </w:t>
      </w:r>
      <w:r w:rsidRPr="00261A88">
        <w:rPr>
          <w:rFonts w:cs="O¯øœ!Ÿ"/>
          <w:color w:val="0000FF"/>
          <w:sz w:val="22"/>
          <w:szCs w:val="22"/>
          <w:u w:val="single"/>
        </w:rPr>
        <w:t>reference documents</w:t>
      </w:r>
      <w:r w:rsidRPr="00261A88">
        <w:rPr>
          <w:rFonts w:cs="O¯øœ!Ÿ"/>
          <w:sz w:val="22"/>
          <w:szCs w:val="22"/>
        </w:rPr>
        <w:t xml:space="preserve"> suggested at the end of </w:t>
      </w:r>
      <w:r w:rsidR="00CA3577" w:rsidRPr="00261A88">
        <w:rPr>
          <w:rFonts w:cs="O¯øœ!Ÿ"/>
          <w:sz w:val="22"/>
          <w:szCs w:val="22"/>
        </w:rPr>
        <w:t>the roadmap</w:t>
      </w:r>
      <w:r w:rsidRPr="00261A88">
        <w:rPr>
          <w:rFonts w:cs="O¯øœ!Ÿ"/>
          <w:sz w:val="22"/>
          <w:szCs w:val="22"/>
        </w:rPr>
        <w:t xml:space="preserve">. </w:t>
      </w:r>
    </w:p>
    <w:p w14:paraId="62424E4B" w14:textId="77777777" w:rsidR="0081574B" w:rsidRPr="00261A88" w:rsidRDefault="0081574B" w:rsidP="003A35FF">
      <w:pPr>
        <w:pBdr>
          <w:bottom w:val="single" w:sz="4" w:space="1" w:color="auto"/>
        </w:pBdr>
        <w:spacing w:before="240" w:after="240"/>
        <w:jc w:val="both"/>
        <w:rPr>
          <w:b/>
          <w:sz w:val="22"/>
          <w:szCs w:val="22"/>
        </w:rPr>
      </w:pPr>
      <w:r w:rsidRPr="00261A88">
        <w:rPr>
          <w:b/>
          <w:sz w:val="22"/>
          <w:szCs w:val="22"/>
        </w:rPr>
        <w:t>MINIMUM STANDARDS</w:t>
      </w:r>
    </w:p>
    <w:p w14:paraId="24C26F43" w14:textId="77777777" w:rsidR="008664F8" w:rsidRPr="008664F8" w:rsidRDefault="008664F8" w:rsidP="003A35FF">
      <w:pPr>
        <w:pStyle w:val="ListParagraph"/>
        <w:numPr>
          <w:ilvl w:val="0"/>
          <w:numId w:val="6"/>
        </w:numPr>
        <w:spacing w:after="120"/>
        <w:ind w:left="714" w:hanging="357"/>
        <w:contextualSpacing w:val="0"/>
        <w:jc w:val="both"/>
        <w:rPr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B</w:t>
      </w:r>
      <w:r w:rsidRPr="007F36B4">
        <w:rPr>
          <w:rFonts w:cs="Arial"/>
          <w:sz w:val="22"/>
          <w:szCs w:val="22"/>
        </w:rPr>
        <w:t>oth beneficiaries and traders should be sensitized on the use of vouchers, so that voucher redemption, reconciliation and reimbursement can happen smoothly</w:t>
      </w:r>
      <w:r>
        <w:rPr>
          <w:rFonts w:cs="Arial"/>
          <w:sz w:val="22"/>
          <w:szCs w:val="22"/>
        </w:rPr>
        <w:t>.</w:t>
      </w:r>
    </w:p>
    <w:p w14:paraId="523312EA" w14:textId="77777777" w:rsidR="008664F8" w:rsidRDefault="008664F8" w:rsidP="003A35FF">
      <w:pPr>
        <w:pStyle w:val="ListParagraph"/>
        <w:numPr>
          <w:ilvl w:val="0"/>
          <w:numId w:val="6"/>
        </w:numPr>
        <w:spacing w:after="120"/>
        <w:ind w:left="714" w:hanging="357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Finance and Logistics should be involved in the </w:t>
      </w:r>
      <w:r w:rsidR="004A28CA">
        <w:rPr>
          <w:sz w:val="22"/>
          <w:szCs w:val="22"/>
        </w:rPr>
        <w:t>process of selecting</w:t>
      </w:r>
      <w:r>
        <w:rPr>
          <w:sz w:val="22"/>
          <w:szCs w:val="22"/>
        </w:rPr>
        <w:t xml:space="preserve"> and contracting traders.</w:t>
      </w:r>
    </w:p>
    <w:p w14:paraId="0C696FFB" w14:textId="77777777" w:rsidR="008664F8" w:rsidRDefault="008664F8" w:rsidP="003A35FF">
      <w:pPr>
        <w:pStyle w:val="ListParagraph"/>
        <w:numPr>
          <w:ilvl w:val="0"/>
          <w:numId w:val="6"/>
        </w:numPr>
        <w:spacing w:after="120"/>
        <w:ind w:left="714" w:hanging="357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Traders</w:t>
      </w:r>
      <w:r w:rsidR="004A28CA">
        <w:rPr>
          <w:sz w:val="22"/>
          <w:szCs w:val="22"/>
        </w:rPr>
        <w:t xml:space="preserve">’ selection should be </w:t>
      </w:r>
      <w:r>
        <w:rPr>
          <w:sz w:val="22"/>
          <w:szCs w:val="22"/>
        </w:rPr>
        <w:t xml:space="preserve">based on a set of relevant </w:t>
      </w:r>
      <w:r w:rsidR="004A28CA">
        <w:rPr>
          <w:sz w:val="22"/>
          <w:szCs w:val="22"/>
        </w:rPr>
        <w:t xml:space="preserve">voucher-specific </w:t>
      </w:r>
      <w:r>
        <w:rPr>
          <w:sz w:val="22"/>
          <w:szCs w:val="22"/>
        </w:rPr>
        <w:t>criteria.</w:t>
      </w:r>
    </w:p>
    <w:p w14:paraId="43F9A2E9" w14:textId="77777777" w:rsidR="008664F8" w:rsidRDefault="004A28CA" w:rsidP="003A35FF">
      <w:pPr>
        <w:pStyle w:val="ListParagraph"/>
        <w:numPr>
          <w:ilvl w:val="0"/>
          <w:numId w:val="6"/>
        </w:numPr>
        <w:spacing w:after="120"/>
        <w:ind w:left="714" w:hanging="357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="008664F8">
        <w:rPr>
          <w:sz w:val="22"/>
          <w:szCs w:val="22"/>
        </w:rPr>
        <w:t xml:space="preserve">ontracts with traders </w:t>
      </w:r>
      <w:r>
        <w:rPr>
          <w:sz w:val="22"/>
          <w:szCs w:val="22"/>
        </w:rPr>
        <w:t xml:space="preserve">should include some key voucher-specific aspects </w:t>
      </w:r>
      <w:r w:rsidR="00F41E28">
        <w:rPr>
          <w:sz w:val="22"/>
          <w:szCs w:val="22"/>
        </w:rPr>
        <w:t>(e.g.</w:t>
      </w:r>
      <w:r>
        <w:rPr>
          <w:sz w:val="22"/>
          <w:szCs w:val="22"/>
        </w:rPr>
        <w:t xml:space="preserve"> commodity specification, trader payment terms, quality inspection and acceptance</w:t>
      </w:r>
      <w:r w:rsidR="00F41E28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14:paraId="5AEB9D5C" w14:textId="77777777" w:rsidR="008664F8" w:rsidRPr="004A28CA" w:rsidRDefault="004A28CA" w:rsidP="003A35FF">
      <w:pPr>
        <w:pStyle w:val="ListParagraph"/>
        <w:numPr>
          <w:ilvl w:val="0"/>
          <w:numId w:val="6"/>
        </w:numPr>
        <w:spacing w:after="120"/>
        <w:ind w:left="714" w:hanging="357"/>
        <w:contextualSpacing w:val="0"/>
        <w:jc w:val="both"/>
        <w:rPr>
          <w:sz w:val="22"/>
          <w:szCs w:val="22"/>
        </w:rPr>
      </w:pPr>
      <w:r>
        <w:rPr>
          <w:rFonts w:eastAsia="Times New Roman" w:cs="Times New Roman"/>
          <w:sz w:val="22"/>
          <w:szCs w:val="22"/>
          <w:lang w:val="en-US"/>
        </w:rPr>
        <w:t>Voucher distribution planning</w:t>
      </w:r>
      <w:r w:rsidR="008664F8" w:rsidRPr="007F36B4">
        <w:rPr>
          <w:rFonts w:eastAsia="Times New Roman" w:cs="Times New Roman"/>
          <w:sz w:val="22"/>
          <w:szCs w:val="22"/>
          <w:lang w:val="en-US"/>
        </w:rPr>
        <w:t xml:space="preserve"> should </w:t>
      </w:r>
      <w:r>
        <w:rPr>
          <w:rFonts w:eastAsia="Times New Roman" w:cs="Times New Roman"/>
          <w:sz w:val="22"/>
          <w:szCs w:val="22"/>
          <w:lang w:val="en-US"/>
        </w:rPr>
        <w:t>involve</w:t>
      </w:r>
      <w:r w:rsidR="008664F8" w:rsidRPr="007F36B4">
        <w:rPr>
          <w:rFonts w:eastAsia="Times New Roman" w:cs="Times New Roman"/>
          <w:sz w:val="22"/>
          <w:szCs w:val="22"/>
          <w:lang w:val="en-US"/>
        </w:rPr>
        <w:t xml:space="preserve"> Management, Finance, Logistics and Programme</w:t>
      </w:r>
      <w:r>
        <w:rPr>
          <w:rFonts w:eastAsia="Times New Roman" w:cs="Times New Roman"/>
          <w:sz w:val="22"/>
          <w:szCs w:val="22"/>
          <w:lang w:val="en-US"/>
        </w:rPr>
        <w:t xml:space="preserve">, and allow for </w:t>
      </w:r>
      <w:r w:rsidR="008664F8" w:rsidRPr="007F36B4">
        <w:rPr>
          <w:rFonts w:eastAsia="Times New Roman" w:cs="Times New Roman"/>
          <w:sz w:val="22"/>
          <w:szCs w:val="22"/>
          <w:lang w:val="en-US"/>
        </w:rPr>
        <w:t xml:space="preserve">a clear picture of where and when </w:t>
      </w:r>
      <w:r w:rsidR="008664F8" w:rsidRPr="007F36B4">
        <w:rPr>
          <w:color w:val="000000"/>
          <w:sz w:val="22"/>
          <w:szCs w:val="22"/>
        </w:rPr>
        <w:t>voucher distributions will take place, how many and which type of vouchers will need to be prepared.</w:t>
      </w:r>
    </w:p>
    <w:p w14:paraId="1C00AEA9" w14:textId="77777777" w:rsidR="004A28CA" w:rsidRPr="004A28CA" w:rsidRDefault="004A28CA" w:rsidP="003A35FF">
      <w:pPr>
        <w:pStyle w:val="ListParagraph"/>
        <w:numPr>
          <w:ilvl w:val="0"/>
          <w:numId w:val="6"/>
        </w:numPr>
        <w:spacing w:after="120"/>
        <w:ind w:left="714" w:hanging="357"/>
        <w:contextualSpacing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Reconciliation and trader payment should be based on voucher redemption summary form</w:t>
      </w:r>
      <w:r w:rsidR="00F41E28">
        <w:rPr>
          <w:color w:val="000000"/>
          <w:sz w:val="22"/>
          <w:szCs w:val="22"/>
        </w:rPr>
        <w:t>s submitted by traders</w:t>
      </w:r>
      <w:r>
        <w:rPr>
          <w:color w:val="000000"/>
          <w:sz w:val="22"/>
          <w:szCs w:val="22"/>
        </w:rPr>
        <w:t>.</w:t>
      </w:r>
    </w:p>
    <w:p w14:paraId="613953DF" w14:textId="77777777" w:rsidR="004A28CA" w:rsidRPr="00F41E28" w:rsidRDefault="004A28CA" w:rsidP="003A35FF">
      <w:pPr>
        <w:pStyle w:val="ListParagraph"/>
        <w:numPr>
          <w:ilvl w:val="0"/>
          <w:numId w:val="6"/>
        </w:numPr>
        <w:spacing w:after="120"/>
        <w:ind w:left="714" w:hanging="357"/>
        <w:contextualSpacing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Voucher programme monitoring should be based upon information gathered from both beneficiaries and traders.</w:t>
      </w:r>
    </w:p>
    <w:p w14:paraId="6F5380FA" w14:textId="77777777" w:rsidR="00F41E28" w:rsidRPr="004A28CA" w:rsidRDefault="00F41E28" w:rsidP="003A35FF">
      <w:pPr>
        <w:pStyle w:val="ListParagraph"/>
        <w:numPr>
          <w:ilvl w:val="0"/>
          <w:numId w:val="6"/>
        </w:numPr>
        <w:spacing w:after="120"/>
        <w:ind w:left="714" w:hanging="357"/>
        <w:contextualSpacing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Monitoring should be conducted at the end of (exit monitoring) and a few weeks after the redemption process (PDM).</w:t>
      </w:r>
    </w:p>
    <w:p w14:paraId="7187F765" w14:textId="77777777" w:rsidR="0081574B" w:rsidRPr="00261A88" w:rsidRDefault="0081574B" w:rsidP="003A35FF">
      <w:pPr>
        <w:pBdr>
          <w:bottom w:val="single" w:sz="4" w:space="1" w:color="auto"/>
        </w:pBdr>
        <w:spacing w:before="240" w:after="240"/>
        <w:jc w:val="both"/>
        <w:rPr>
          <w:b/>
          <w:bCs/>
          <w:caps/>
          <w:sz w:val="22"/>
          <w:szCs w:val="22"/>
        </w:rPr>
      </w:pPr>
      <w:r w:rsidRPr="00261A88">
        <w:rPr>
          <w:b/>
          <w:bCs/>
          <w:caps/>
          <w:sz w:val="22"/>
          <w:szCs w:val="22"/>
        </w:rPr>
        <w:t>Sub-steps and tools</w:t>
      </w:r>
    </w:p>
    <w:p w14:paraId="082AD235" w14:textId="77777777" w:rsidR="001D62AD" w:rsidRPr="007F36B4" w:rsidRDefault="001D62AD" w:rsidP="007F36B4">
      <w:pPr>
        <w:spacing w:after="120"/>
        <w:jc w:val="both"/>
        <w:rPr>
          <w:rFonts w:eastAsia="Times New Roman" w:cs="Times New Roman"/>
          <w:b/>
          <w:color w:val="000000"/>
          <w:sz w:val="22"/>
          <w:szCs w:val="22"/>
          <w:lang w:val="en-US"/>
        </w:rPr>
      </w:pPr>
      <w:r w:rsidRPr="007F36B4">
        <w:rPr>
          <w:rFonts w:eastAsia="Times New Roman" w:cs="Times New Roman"/>
          <w:b/>
          <w:color w:val="000000"/>
          <w:sz w:val="22"/>
          <w:szCs w:val="22"/>
          <w:lang w:val="en-US"/>
        </w:rPr>
        <w:t>Assessment</w:t>
      </w:r>
    </w:p>
    <w:p w14:paraId="6DCF001C" w14:textId="026B66A3" w:rsidR="001D62AD" w:rsidRPr="007F36B4" w:rsidRDefault="00663F24" w:rsidP="007F36B4">
      <w:pPr>
        <w:spacing w:after="120"/>
        <w:jc w:val="both"/>
        <w:rPr>
          <w:b/>
          <w:i/>
          <w:color w:val="7F7F7F" w:themeColor="text1" w:themeTint="80"/>
          <w:sz w:val="22"/>
          <w:szCs w:val="22"/>
        </w:rPr>
      </w:pPr>
      <w:r w:rsidRPr="007F36B4">
        <w:rPr>
          <w:rFonts w:eastAsia="Times New Roman" w:cs="Times New Roman"/>
          <w:b/>
          <w:i/>
          <w:color w:val="7F7F7F" w:themeColor="text1" w:themeTint="80"/>
          <w:sz w:val="22"/>
          <w:szCs w:val="22"/>
          <w:lang w:val="en-US"/>
        </w:rPr>
        <w:t>Assessing traders’ capacity</w:t>
      </w:r>
      <w:r w:rsidR="003E1692">
        <w:rPr>
          <w:rFonts w:eastAsia="Times New Roman" w:cs="Times New Roman"/>
          <w:b/>
          <w:i/>
          <w:color w:val="7F7F7F" w:themeColor="text1" w:themeTint="80"/>
          <w:sz w:val="22"/>
          <w:szCs w:val="22"/>
          <w:lang w:val="en-US"/>
        </w:rPr>
        <w:t xml:space="preserve"> and voucher-specific risks</w:t>
      </w:r>
      <w:r w:rsidR="001D62AD" w:rsidRPr="007F36B4">
        <w:rPr>
          <w:b/>
          <w:i/>
          <w:color w:val="7F7F7F" w:themeColor="text1" w:themeTint="80"/>
          <w:sz w:val="22"/>
          <w:szCs w:val="22"/>
        </w:rPr>
        <w:t xml:space="preserve">. </w:t>
      </w:r>
      <w:r w:rsidR="001D62AD" w:rsidRPr="007F36B4">
        <w:rPr>
          <w:sz w:val="22"/>
          <w:szCs w:val="22"/>
        </w:rPr>
        <w:t>During assessments, you will conduct focus group discussions and/or interviews with market representatives, key informants and traders</w:t>
      </w:r>
      <w:r w:rsidR="00B62312" w:rsidRPr="007F36B4">
        <w:rPr>
          <w:sz w:val="22"/>
          <w:szCs w:val="22"/>
        </w:rPr>
        <w:t xml:space="preserve"> in order to map the </w:t>
      </w:r>
      <w:r w:rsidR="001D62AD" w:rsidRPr="007F36B4">
        <w:rPr>
          <w:sz w:val="22"/>
          <w:szCs w:val="22"/>
        </w:rPr>
        <w:t xml:space="preserve">traders’ experience, capacity and willingness to partner with </w:t>
      </w:r>
      <w:r w:rsidR="003A35FF" w:rsidRPr="007F36B4">
        <w:rPr>
          <w:sz w:val="22"/>
          <w:szCs w:val="22"/>
        </w:rPr>
        <w:t>your agency</w:t>
      </w:r>
      <w:r w:rsidR="001D62AD" w:rsidRPr="007F36B4">
        <w:rPr>
          <w:sz w:val="22"/>
          <w:szCs w:val="22"/>
        </w:rPr>
        <w:t xml:space="preserve"> in the implementation of a voucher programme. </w:t>
      </w:r>
    </w:p>
    <w:p w14:paraId="39442F9A" w14:textId="6C03AC2B" w:rsidR="0081574B" w:rsidRPr="007F36B4" w:rsidRDefault="001D62AD" w:rsidP="007F36B4">
      <w:pPr>
        <w:spacing w:after="120"/>
        <w:jc w:val="both"/>
        <w:rPr>
          <w:rFonts w:cs="Verdana"/>
          <w:sz w:val="22"/>
          <w:szCs w:val="22"/>
        </w:rPr>
      </w:pPr>
      <w:r w:rsidRPr="007F36B4">
        <w:rPr>
          <w:rFonts w:eastAsia="Times New Roman" w:cs="Times New Roman"/>
          <w:sz w:val="22"/>
          <w:szCs w:val="22"/>
          <w:lang w:val="en-US"/>
        </w:rPr>
        <w:t xml:space="preserve">In the </w:t>
      </w:r>
      <w:r w:rsidRPr="007F36B4">
        <w:rPr>
          <w:rFonts w:eastAsia="Times New Roman" w:cs="Times New Roman"/>
          <w:color w:val="0000FF"/>
          <w:sz w:val="22"/>
          <w:szCs w:val="22"/>
          <w:u w:val="single"/>
          <w:lang w:val="en-US"/>
        </w:rPr>
        <w:t xml:space="preserve">Assessment </w:t>
      </w:r>
      <w:r w:rsidR="009E7CD2" w:rsidRPr="007F36B4">
        <w:rPr>
          <w:rFonts w:eastAsia="Times New Roman" w:cs="Times New Roman"/>
          <w:color w:val="0000FF"/>
          <w:sz w:val="22"/>
          <w:szCs w:val="22"/>
          <w:u w:val="single"/>
          <w:lang w:val="en-US"/>
        </w:rPr>
        <w:t>toolbox</w:t>
      </w:r>
      <w:r w:rsidRPr="007F36B4">
        <w:rPr>
          <w:sz w:val="22"/>
          <w:szCs w:val="22"/>
        </w:rPr>
        <w:t xml:space="preserve"> you will find a list of questions that can be re-elaborated and incorporated into focus group discussions and indiv</w:t>
      </w:r>
      <w:r w:rsidR="003A35FF" w:rsidRPr="007F36B4">
        <w:rPr>
          <w:sz w:val="22"/>
          <w:szCs w:val="22"/>
        </w:rPr>
        <w:t>idual interview questionnaires.</w:t>
      </w:r>
      <w:r w:rsidR="00506AAC">
        <w:rPr>
          <w:sz w:val="22"/>
          <w:szCs w:val="22"/>
        </w:rPr>
        <w:t xml:space="preserve"> Also, you will find a tool describing the most common voucher-specific risks and suggesting some mitigation measures. </w:t>
      </w:r>
    </w:p>
    <w:p w14:paraId="07E3037C" w14:textId="77777777" w:rsidR="001D62AD" w:rsidRPr="007F36B4" w:rsidRDefault="001D62AD" w:rsidP="007F36B4">
      <w:pPr>
        <w:spacing w:before="240" w:after="120"/>
        <w:jc w:val="both"/>
        <w:rPr>
          <w:rFonts w:eastAsia="Times New Roman" w:cs="Times New Roman"/>
          <w:b/>
          <w:sz w:val="22"/>
          <w:szCs w:val="22"/>
          <w:lang w:val="en-US"/>
        </w:rPr>
      </w:pPr>
      <w:r w:rsidRPr="007F36B4">
        <w:rPr>
          <w:rFonts w:eastAsia="Times New Roman" w:cs="Times New Roman"/>
          <w:b/>
          <w:sz w:val="22"/>
          <w:szCs w:val="22"/>
          <w:lang w:val="en-US"/>
        </w:rPr>
        <w:t>Set-up</w:t>
      </w:r>
      <w:r w:rsidR="00071AE3">
        <w:rPr>
          <w:rFonts w:eastAsia="Times New Roman" w:cs="Times New Roman"/>
          <w:b/>
          <w:sz w:val="22"/>
          <w:szCs w:val="22"/>
          <w:lang w:val="en-US"/>
        </w:rPr>
        <w:t xml:space="preserve"> and Implementation</w:t>
      </w:r>
    </w:p>
    <w:p w14:paraId="2B096C0A" w14:textId="77777777" w:rsidR="001D62AD" w:rsidRPr="007F36B4" w:rsidRDefault="00663F24" w:rsidP="007F36B4">
      <w:pPr>
        <w:spacing w:before="120"/>
        <w:jc w:val="both"/>
        <w:rPr>
          <w:rFonts w:cs="Arial"/>
          <w:sz w:val="22"/>
          <w:szCs w:val="22"/>
        </w:rPr>
      </w:pPr>
      <w:r w:rsidRPr="007F36B4">
        <w:rPr>
          <w:rFonts w:eastAsia="Times New Roman" w:cs="Times New Roman"/>
          <w:b/>
          <w:i/>
          <w:color w:val="7F7F7F" w:themeColor="text1" w:themeTint="80"/>
          <w:sz w:val="22"/>
          <w:szCs w:val="22"/>
          <w:lang w:val="en-US"/>
        </w:rPr>
        <w:t xml:space="preserve">Sensitizing </w:t>
      </w:r>
      <w:r w:rsidR="001D62AD" w:rsidRPr="007F36B4">
        <w:rPr>
          <w:rFonts w:eastAsia="Times New Roman" w:cs="Times New Roman"/>
          <w:b/>
          <w:i/>
          <w:color w:val="7F7F7F" w:themeColor="text1" w:themeTint="80"/>
          <w:sz w:val="22"/>
          <w:szCs w:val="22"/>
          <w:lang w:val="en-US"/>
        </w:rPr>
        <w:t xml:space="preserve">beneficiaries and </w:t>
      </w:r>
      <w:r w:rsidRPr="007F36B4">
        <w:rPr>
          <w:rFonts w:eastAsia="Times New Roman" w:cs="Times New Roman"/>
          <w:b/>
          <w:i/>
          <w:color w:val="7F7F7F" w:themeColor="text1" w:themeTint="80"/>
          <w:sz w:val="22"/>
          <w:szCs w:val="22"/>
          <w:lang w:val="en-US"/>
        </w:rPr>
        <w:t>traders</w:t>
      </w:r>
      <w:r w:rsidR="001D62AD" w:rsidRPr="007F36B4">
        <w:rPr>
          <w:rFonts w:eastAsia="Times New Roman" w:cs="Times New Roman"/>
          <w:i/>
          <w:color w:val="7F7F7F" w:themeColor="text1" w:themeTint="80"/>
          <w:sz w:val="22"/>
          <w:szCs w:val="22"/>
          <w:lang w:val="en-US"/>
        </w:rPr>
        <w:t>.</w:t>
      </w:r>
      <w:r w:rsidR="001D62AD" w:rsidRPr="007F36B4">
        <w:rPr>
          <w:rFonts w:eastAsia="Times New Roman" w:cs="Times New Roman"/>
          <w:sz w:val="22"/>
          <w:szCs w:val="22"/>
          <w:lang w:val="en-US"/>
        </w:rPr>
        <w:t xml:space="preserve"> </w:t>
      </w:r>
      <w:r w:rsidR="001D62AD" w:rsidRPr="007F36B4">
        <w:rPr>
          <w:rFonts w:eastAsia="Times New Roman" w:cs="Times New Roman"/>
          <w:sz w:val="22"/>
          <w:szCs w:val="22"/>
        </w:rPr>
        <w:t>During the set-up of the programme, b</w:t>
      </w:r>
      <w:r w:rsidR="001D62AD" w:rsidRPr="007F36B4">
        <w:rPr>
          <w:rFonts w:cs="Arial"/>
          <w:sz w:val="22"/>
          <w:szCs w:val="22"/>
        </w:rPr>
        <w:t xml:space="preserve">oth beneficiaries and traders should be sensitized on the use of vouchers, so that voucher redemption, reconciliation and reimbursement can happen smoothly. </w:t>
      </w:r>
      <w:r w:rsidR="001D62AD" w:rsidRPr="007F36B4">
        <w:rPr>
          <w:rFonts w:eastAsia="Times New Roman" w:cs="Times New Roman"/>
          <w:sz w:val="22"/>
          <w:szCs w:val="22"/>
          <w:lang w:val="en-US"/>
        </w:rPr>
        <w:t xml:space="preserve">In the </w:t>
      </w:r>
      <w:r w:rsidR="009E7CD2" w:rsidRPr="007F36B4">
        <w:rPr>
          <w:rFonts w:eastAsia="Times New Roman" w:cs="Times New Roman"/>
          <w:color w:val="0000FF"/>
          <w:sz w:val="22"/>
          <w:szCs w:val="22"/>
          <w:u w:val="single"/>
          <w:lang w:val="en-US"/>
        </w:rPr>
        <w:t>Set-up toolbox</w:t>
      </w:r>
      <w:r w:rsidR="001D62AD" w:rsidRPr="007F36B4">
        <w:rPr>
          <w:sz w:val="22"/>
          <w:szCs w:val="22"/>
        </w:rPr>
        <w:t xml:space="preserve"> </w:t>
      </w:r>
      <w:r w:rsidR="001D62AD" w:rsidRPr="007F36B4">
        <w:rPr>
          <w:rFonts w:cs="Arial"/>
          <w:sz w:val="22"/>
          <w:szCs w:val="22"/>
        </w:rPr>
        <w:lastRenderedPageBreak/>
        <w:t xml:space="preserve">you will find a list of key information to be conveyed to both groups. </w:t>
      </w:r>
      <w:r w:rsidR="00F70534" w:rsidRPr="007F36B4">
        <w:rPr>
          <w:rFonts w:cs="Arial"/>
          <w:sz w:val="22"/>
          <w:szCs w:val="22"/>
        </w:rPr>
        <w:t xml:space="preserve">Additional guidance and tools on </w:t>
      </w:r>
      <w:r w:rsidR="001D62AD" w:rsidRPr="007F36B4">
        <w:rPr>
          <w:rFonts w:cs="Arial"/>
          <w:sz w:val="22"/>
          <w:szCs w:val="22"/>
        </w:rPr>
        <w:t xml:space="preserve">beneficiary communication and accountability </w:t>
      </w:r>
      <w:r w:rsidR="00F70534" w:rsidRPr="007F36B4">
        <w:rPr>
          <w:rFonts w:cs="Arial"/>
          <w:sz w:val="22"/>
          <w:szCs w:val="22"/>
        </w:rPr>
        <w:t>are</w:t>
      </w:r>
      <w:r w:rsidR="001D62AD" w:rsidRPr="007F36B4">
        <w:rPr>
          <w:rFonts w:cs="Arial"/>
          <w:sz w:val="22"/>
          <w:szCs w:val="22"/>
        </w:rPr>
        <w:t xml:space="preserve"> available in </w:t>
      </w:r>
      <w:r w:rsidR="009E7CD2" w:rsidRPr="007F36B4">
        <w:rPr>
          <w:rFonts w:cs="Arial"/>
          <w:sz w:val="22"/>
          <w:szCs w:val="22"/>
        </w:rPr>
        <w:t>the CiE Toolkit M</w:t>
      </w:r>
      <w:r w:rsidR="003A35FF" w:rsidRPr="007F36B4">
        <w:rPr>
          <w:rFonts w:cs="Arial"/>
          <w:sz w:val="22"/>
          <w:szCs w:val="22"/>
        </w:rPr>
        <w:t>odule 4.</w:t>
      </w:r>
    </w:p>
    <w:p w14:paraId="238273C2" w14:textId="77777777" w:rsidR="00490415" w:rsidRPr="007F36B4" w:rsidRDefault="00663F24" w:rsidP="007F36B4">
      <w:pPr>
        <w:spacing w:before="240" w:after="120"/>
        <w:jc w:val="both"/>
        <w:rPr>
          <w:rFonts w:eastAsia="Times New Roman" w:cs="Times New Roman"/>
          <w:b/>
          <w:i/>
          <w:color w:val="7F7F7F" w:themeColor="text1" w:themeTint="80"/>
          <w:sz w:val="22"/>
          <w:szCs w:val="22"/>
          <w:lang w:val="en-US"/>
        </w:rPr>
      </w:pPr>
      <w:r w:rsidRPr="007F36B4">
        <w:rPr>
          <w:rFonts w:eastAsia="Times New Roman" w:cs="Times New Roman"/>
          <w:b/>
          <w:i/>
          <w:color w:val="7F7F7F" w:themeColor="text1" w:themeTint="80"/>
          <w:sz w:val="22"/>
          <w:szCs w:val="22"/>
          <w:lang w:val="en-US"/>
        </w:rPr>
        <w:t>Selecting and contracting traders</w:t>
      </w:r>
      <w:r w:rsidR="009E7CD2" w:rsidRPr="007F36B4">
        <w:rPr>
          <w:rFonts w:eastAsia="Times New Roman" w:cs="Times New Roman"/>
          <w:b/>
          <w:i/>
          <w:color w:val="7F7F7F" w:themeColor="text1" w:themeTint="80"/>
          <w:sz w:val="22"/>
          <w:szCs w:val="22"/>
          <w:lang w:val="en-US"/>
        </w:rPr>
        <w:t xml:space="preserve">. </w:t>
      </w:r>
      <w:r w:rsidR="00AB7249" w:rsidRPr="007F36B4">
        <w:rPr>
          <w:rFonts w:cs="Arial"/>
          <w:sz w:val="22"/>
          <w:szCs w:val="22"/>
        </w:rPr>
        <w:t xml:space="preserve">The process </w:t>
      </w:r>
      <w:r w:rsidR="00AB7249" w:rsidRPr="007F36B4">
        <w:rPr>
          <w:sz w:val="22"/>
          <w:szCs w:val="22"/>
        </w:rPr>
        <w:t xml:space="preserve">of selecting and contracting traders for a voucher programme </w:t>
      </w:r>
      <w:r w:rsidR="004A28CA">
        <w:rPr>
          <w:sz w:val="22"/>
          <w:szCs w:val="22"/>
        </w:rPr>
        <w:t xml:space="preserve">should involve Finance and Logistics, and </w:t>
      </w:r>
      <w:r w:rsidR="00AB7249" w:rsidRPr="007F36B4">
        <w:rPr>
          <w:sz w:val="22"/>
          <w:szCs w:val="22"/>
        </w:rPr>
        <w:t xml:space="preserve">start with </w:t>
      </w:r>
      <w:r w:rsidR="00B62312" w:rsidRPr="007F36B4">
        <w:rPr>
          <w:rFonts w:cs="Arial"/>
          <w:sz w:val="22"/>
          <w:szCs w:val="22"/>
        </w:rPr>
        <w:t xml:space="preserve">the establishment of a set of criteria that traders have to meet in order to be considered by the voucher programme. </w:t>
      </w:r>
      <w:r w:rsidR="00273A2D" w:rsidRPr="007F36B4">
        <w:rPr>
          <w:rFonts w:cs="Arial"/>
          <w:sz w:val="22"/>
          <w:szCs w:val="22"/>
        </w:rPr>
        <w:t>Based on these criteria, interviews with individual traders or a formal tendering process will be conducted.  At the end of this process, s</w:t>
      </w:r>
      <w:r w:rsidR="00B62312" w:rsidRPr="007F36B4">
        <w:rPr>
          <w:rFonts w:cs="Arial"/>
          <w:sz w:val="22"/>
          <w:szCs w:val="22"/>
        </w:rPr>
        <w:t xml:space="preserve">elected traders will be </w:t>
      </w:r>
      <w:r w:rsidR="00AB7249" w:rsidRPr="007F36B4">
        <w:rPr>
          <w:rFonts w:cs="Arial"/>
          <w:sz w:val="22"/>
          <w:szCs w:val="22"/>
        </w:rPr>
        <w:t>contract</w:t>
      </w:r>
      <w:r w:rsidR="00B62312" w:rsidRPr="007F36B4">
        <w:rPr>
          <w:rFonts w:cs="Arial"/>
          <w:sz w:val="22"/>
          <w:szCs w:val="22"/>
        </w:rPr>
        <w:t>ed</w:t>
      </w:r>
      <w:r w:rsidR="00C72247" w:rsidRPr="007F36B4">
        <w:rPr>
          <w:rFonts w:cs="Arial"/>
          <w:sz w:val="22"/>
          <w:szCs w:val="22"/>
        </w:rPr>
        <w:t>.</w:t>
      </w:r>
      <w:r w:rsidR="00261A88" w:rsidRPr="007F36B4">
        <w:rPr>
          <w:rFonts w:eastAsia="Times New Roman" w:cs="Times New Roman"/>
          <w:b/>
          <w:i/>
          <w:color w:val="7F7F7F" w:themeColor="text1" w:themeTint="80"/>
          <w:sz w:val="22"/>
          <w:szCs w:val="22"/>
          <w:lang w:val="en-US"/>
        </w:rPr>
        <w:t xml:space="preserve"> </w:t>
      </w:r>
      <w:r w:rsidR="00C72247" w:rsidRPr="007F36B4">
        <w:rPr>
          <w:rFonts w:cs="Arial"/>
          <w:sz w:val="22"/>
          <w:szCs w:val="22"/>
        </w:rPr>
        <w:t xml:space="preserve">In the </w:t>
      </w:r>
      <w:r w:rsidR="00C72247" w:rsidRPr="007F36B4">
        <w:rPr>
          <w:rFonts w:eastAsia="Times New Roman" w:cs="Times New Roman"/>
          <w:color w:val="0000FF"/>
          <w:sz w:val="22"/>
          <w:szCs w:val="22"/>
          <w:u w:val="single"/>
          <w:lang w:val="en-US"/>
        </w:rPr>
        <w:t>Set-up toolbox</w:t>
      </w:r>
      <w:r w:rsidR="00C72247" w:rsidRPr="007F36B4">
        <w:rPr>
          <w:rFonts w:eastAsia="Times New Roman" w:cs="Times New Roman"/>
          <w:sz w:val="22"/>
          <w:szCs w:val="22"/>
          <w:lang w:val="en-US"/>
        </w:rPr>
        <w:t xml:space="preserve"> you</w:t>
      </w:r>
      <w:r w:rsidR="00C72247" w:rsidRPr="007F36B4">
        <w:rPr>
          <w:rFonts w:cs="Arial"/>
          <w:sz w:val="22"/>
          <w:szCs w:val="22"/>
        </w:rPr>
        <w:t xml:space="preserve"> will find a list of criteria </w:t>
      </w:r>
      <w:r w:rsidR="00446C4E" w:rsidRPr="007F36B4">
        <w:rPr>
          <w:rFonts w:cs="Arial"/>
          <w:sz w:val="22"/>
          <w:szCs w:val="22"/>
        </w:rPr>
        <w:t xml:space="preserve">commonly </w:t>
      </w:r>
      <w:r w:rsidR="00C72247" w:rsidRPr="007F36B4">
        <w:rPr>
          <w:rFonts w:cs="Arial"/>
          <w:sz w:val="22"/>
          <w:szCs w:val="22"/>
        </w:rPr>
        <w:t xml:space="preserve">used </w:t>
      </w:r>
      <w:r w:rsidR="00446C4E" w:rsidRPr="007F36B4">
        <w:rPr>
          <w:rFonts w:cs="Arial"/>
          <w:sz w:val="22"/>
          <w:szCs w:val="22"/>
        </w:rPr>
        <w:t>by agencies to select</w:t>
      </w:r>
      <w:r w:rsidR="00C72247" w:rsidRPr="007F36B4">
        <w:rPr>
          <w:rFonts w:cs="Arial"/>
          <w:sz w:val="22"/>
          <w:szCs w:val="22"/>
        </w:rPr>
        <w:t xml:space="preserve"> vendors for a voucher programme</w:t>
      </w:r>
      <w:r w:rsidR="00446C4E" w:rsidRPr="007F36B4">
        <w:rPr>
          <w:rFonts w:cs="Arial"/>
          <w:sz w:val="22"/>
          <w:szCs w:val="22"/>
        </w:rPr>
        <w:t>,</w:t>
      </w:r>
      <w:r w:rsidR="00D46741">
        <w:rPr>
          <w:rFonts w:cs="Arial"/>
          <w:sz w:val="22"/>
          <w:szCs w:val="22"/>
        </w:rPr>
        <w:t xml:space="preserve"> a set of questions developed based on these criteria,</w:t>
      </w:r>
      <w:r w:rsidR="00446C4E" w:rsidRPr="007F36B4">
        <w:rPr>
          <w:rFonts w:cs="Arial"/>
          <w:sz w:val="22"/>
          <w:szCs w:val="22"/>
        </w:rPr>
        <w:t xml:space="preserve"> and</w:t>
      </w:r>
      <w:r w:rsidR="00C72247" w:rsidRPr="007F36B4">
        <w:rPr>
          <w:rFonts w:cs="Arial"/>
          <w:sz w:val="22"/>
          <w:szCs w:val="22"/>
        </w:rPr>
        <w:t xml:space="preserve"> a checklist of </w:t>
      </w:r>
      <w:r w:rsidR="00C72247" w:rsidRPr="007F36B4">
        <w:rPr>
          <w:rFonts w:eastAsia="Times New Roman" w:cs="Arial"/>
          <w:bCs/>
          <w:sz w:val="22"/>
          <w:szCs w:val="22"/>
        </w:rPr>
        <w:t xml:space="preserve">requirements for a trader to </w:t>
      </w:r>
      <w:r w:rsidR="00446C4E" w:rsidRPr="007F36B4">
        <w:rPr>
          <w:rFonts w:eastAsia="Times New Roman" w:cs="Arial"/>
          <w:bCs/>
          <w:sz w:val="22"/>
          <w:szCs w:val="22"/>
        </w:rPr>
        <w:t>participate in a value card (</w:t>
      </w:r>
      <w:r w:rsidR="00C72247" w:rsidRPr="007F36B4">
        <w:rPr>
          <w:rFonts w:eastAsia="Times New Roman" w:cs="Arial"/>
          <w:bCs/>
          <w:sz w:val="22"/>
          <w:szCs w:val="22"/>
        </w:rPr>
        <w:t xml:space="preserve">e-voucher) programme. </w:t>
      </w:r>
      <w:r w:rsidR="00446C4E" w:rsidRPr="007F36B4">
        <w:rPr>
          <w:rFonts w:eastAsia="Times New Roman" w:cs="Arial"/>
          <w:bCs/>
          <w:sz w:val="22"/>
          <w:szCs w:val="22"/>
        </w:rPr>
        <w:t>Y</w:t>
      </w:r>
      <w:r w:rsidR="00C72247" w:rsidRPr="007F36B4">
        <w:rPr>
          <w:rFonts w:eastAsia="Times New Roman" w:cs="Arial"/>
          <w:bCs/>
          <w:sz w:val="22"/>
          <w:szCs w:val="22"/>
        </w:rPr>
        <w:t xml:space="preserve">ou will </w:t>
      </w:r>
      <w:r w:rsidR="00446C4E" w:rsidRPr="007F36B4">
        <w:rPr>
          <w:rFonts w:eastAsia="Times New Roman" w:cs="Arial"/>
          <w:bCs/>
          <w:sz w:val="22"/>
          <w:szCs w:val="22"/>
        </w:rPr>
        <w:t xml:space="preserve">also </w:t>
      </w:r>
      <w:r w:rsidR="00C72247" w:rsidRPr="007F36B4">
        <w:rPr>
          <w:rFonts w:eastAsia="Times New Roman" w:cs="Arial"/>
          <w:bCs/>
          <w:sz w:val="22"/>
          <w:szCs w:val="22"/>
        </w:rPr>
        <w:t xml:space="preserve">find a template with </w:t>
      </w:r>
      <w:r w:rsidR="00C72247" w:rsidRPr="007F36B4">
        <w:rPr>
          <w:sz w:val="22"/>
          <w:szCs w:val="22"/>
        </w:rPr>
        <w:t xml:space="preserve">the key contents to be included in a contract for </w:t>
      </w:r>
      <w:r w:rsidR="00446C4E" w:rsidRPr="007F36B4">
        <w:rPr>
          <w:sz w:val="22"/>
          <w:szCs w:val="22"/>
        </w:rPr>
        <w:t xml:space="preserve">voucher </w:t>
      </w:r>
      <w:r w:rsidR="00C72247" w:rsidRPr="007F36B4">
        <w:rPr>
          <w:sz w:val="22"/>
          <w:szCs w:val="22"/>
        </w:rPr>
        <w:t xml:space="preserve">redemption </w:t>
      </w:r>
      <w:r w:rsidR="00446C4E" w:rsidRPr="007F36B4">
        <w:rPr>
          <w:sz w:val="22"/>
          <w:szCs w:val="22"/>
        </w:rPr>
        <w:t>services</w:t>
      </w:r>
      <w:r w:rsidR="00C72247" w:rsidRPr="007F36B4">
        <w:rPr>
          <w:sz w:val="22"/>
          <w:szCs w:val="22"/>
        </w:rPr>
        <w:t xml:space="preserve">. </w:t>
      </w:r>
    </w:p>
    <w:p w14:paraId="5E9F8ED3" w14:textId="77777777" w:rsidR="00755D16" w:rsidRPr="007F36B4" w:rsidRDefault="00663F24" w:rsidP="007F36B4">
      <w:pPr>
        <w:spacing w:before="240" w:after="120"/>
        <w:jc w:val="both"/>
        <w:rPr>
          <w:color w:val="000000"/>
          <w:sz w:val="22"/>
          <w:szCs w:val="22"/>
        </w:rPr>
      </w:pPr>
      <w:r w:rsidRPr="007F36B4">
        <w:rPr>
          <w:rFonts w:eastAsia="Times New Roman" w:cs="Times New Roman"/>
          <w:b/>
          <w:i/>
          <w:color w:val="7F7F7F" w:themeColor="text1" w:themeTint="80"/>
          <w:sz w:val="22"/>
          <w:szCs w:val="22"/>
          <w:lang w:val="en-US"/>
        </w:rPr>
        <w:t>Vouc</w:t>
      </w:r>
      <w:r w:rsidR="00C72247" w:rsidRPr="007F36B4">
        <w:rPr>
          <w:rFonts w:eastAsia="Times New Roman" w:cs="Times New Roman"/>
          <w:b/>
          <w:i/>
          <w:color w:val="7F7F7F" w:themeColor="text1" w:themeTint="80"/>
          <w:sz w:val="22"/>
          <w:szCs w:val="22"/>
          <w:lang w:val="en-US"/>
        </w:rPr>
        <w:t>her distribution.</w:t>
      </w:r>
      <w:r w:rsidR="00C72247" w:rsidRPr="007F36B4">
        <w:rPr>
          <w:rFonts w:eastAsia="Times New Roman" w:cs="Times New Roman"/>
          <w:b/>
          <w:sz w:val="22"/>
          <w:szCs w:val="22"/>
          <w:lang w:val="en-US"/>
        </w:rPr>
        <w:t xml:space="preserve"> </w:t>
      </w:r>
      <w:r w:rsidR="00755D16" w:rsidRPr="007F36B4">
        <w:rPr>
          <w:rFonts w:eastAsia="Times New Roman" w:cs="Times New Roman"/>
          <w:sz w:val="22"/>
          <w:szCs w:val="22"/>
          <w:lang w:val="en-US"/>
        </w:rPr>
        <w:t>Voucher distributions should be carefully planned</w:t>
      </w:r>
      <w:r w:rsidR="00446C4E" w:rsidRPr="007F36B4">
        <w:rPr>
          <w:rFonts w:eastAsia="Times New Roman" w:cs="Times New Roman"/>
          <w:sz w:val="22"/>
          <w:szCs w:val="22"/>
          <w:lang w:val="en-US"/>
        </w:rPr>
        <w:t>, in a process</w:t>
      </w:r>
      <w:r w:rsidR="00755D16" w:rsidRPr="007F36B4">
        <w:rPr>
          <w:rFonts w:eastAsia="Times New Roman" w:cs="Times New Roman"/>
          <w:sz w:val="22"/>
          <w:szCs w:val="22"/>
          <w:lang w:val="en-US"/>
        </w:rPr>
        <w:t xml:space="preserve"> </w:t>
      </w:r>
      <w:r w:rsidR="00446C4E" w:rsidRPr="007F36B4">
        <w:rPr>
          <w:rFonts w:eastAsia="Times New Roman" w:cs="Times New Roman"/>
          <w:sz w:val="22"/>
          <w:szCs w:val="22"/>
          <w:lang w:val="en-US"/>
        </w:rPr>
        <w:t>involving</w:t>
      </w:r>
      <w:r w:rsidR="00755D16" w:rsidRPr="007F36B4">
        <w:rPr>
          <w:rFonts w:eastAsia="Times New Roman" w:cs="Times New Roman"/>
          <w:sz w:val="22"/>
          <w:szCs w:val="22"/>
          <w:lang w:val="en-US"/>
        </w:rPr>
        <w:t xml:space="preserve"> Management, Finance, Logistics and Programme units.</w:t>
      </w:r>
      <w:r w:rsidR="00446C4E" w:rsidRPr="007F36B4">
        <w:rPr>
          <w:rFonts w:eastAsia="Times New Roman" w:cs="Times New Roman"/>
          <w:sz w:val="22"/>
          <w:szCs w:val="22"/>
          <w:lang w:val="en-US"/>
        </w:rPr>
        <w:t xml:space="preserve"> The aim of this planning process is that a</w:t>
      </w:r>
      <w:r w:rsidR="00755D16" w:rsidRPr="007F36B4">
        <w:rPr>
          <w:rFonts w:eastAsia="Times New Roman" w:cs="Times New Roman"/>
          <w:sz w:val="22"/>
          <w:szCs w:val="22"/>
          <w:lang w:val="en-US"/>
        </w:rPr>
        <w:t xml:space="preserve">ll units involved have a clear picture of where and when </w:t>
      </w:r>
      <w:r w:rsidR="00755D16" w:rsidRPr="007F36B4">
        <w:rPr>
          <w:color w:val="000000"/>
          <w:sz w:val="22"/>
          <w:szCs w:val="22"/>
        </w:rPr>
        <w:t xml:space="preserve">voucher distributions will take place, how many and which type of vouchers will need to be prepared. </w:t>
      </w:r>
      <w:r w:rsidR="003A2F01" w:rsidRPr="007F36B4">
        <w:rPr>
          <w:color w:val="000000"/>
          <w:sz w:val="22"/>
          <w:szCs w:val="22"/>
        </w:rPr>
        <w:t xml:space="preserve">In the </w:t>
      </w:r>
      <w:r w:rsidR="006B1A33" w:rsidRPr="007F36B4">
        <w:rPr>
          <w:rFonts w:eastAsia="Times New Roman" w:cs="Times New Roman"/>
          <w:color w:val="0000FF"/>
          <w:sz w:val="22"/>
          <w:szCs w:val="22"/>
          <w:u w:val="single"/>
          <w:lang w:val="en-US"/>
        </w:rPr>
        <w:t>Set-up</w:t>
      </w:r>
      <w:r w:rsidR="003A2F01" w:rsidRPr="007F36B4">
        <w:rPr>
          <w:rFonts w:eastAsia="Times New Roman" w:cs="Times New Roman"/>
          <w:color w:val="0000FF"/>
          <w:sz w:val="22"/>
          <w:szCs w:val="22"/>
          <w:u w:val="single"/>
          <w:lang w:val="en-US"/>
        </w:rPr>
        <w:t xml:space="preserve"> toolbox</w:t>
      </w:r>
      <w:r w:rsidR="003A2F01" w:rsidRPr="007F36B4">
        <w:rPr>
          <w:color w:val="000000"/>
          <w:sz w:val="22"/>
          <w:szCs w:val="22"/>
        </w:rPr>
        <w:t>, you will find voucher distribution forms including a voucher distribution plan, a voucher distribution list and a voucher distribution summary. The</w:t>
      </w:r>
      <w:r w:rsidR="00755D16" w:rsidRPr="007F36B4">
        <w:rPr>
          <w:color w:val="000000"/>
          <w:sz w:val="22"/>
          <w:szCs w:val="22"/>
        </w:rPr>
        <w:t xml:space="preserve"> </w:t>
      </w:r>
      <w:r w:rsidR="003A2F01" w:rsidRPr="007F36B4">
        <w:rPr>
          <w:color w:val="000000"/>
          <w:sz w:val="22"/>
          <w:szCs w:val="22"/>
        </w:rPr>
        <w:t xml:space="preserve">voucher distribution list </w:t>
      </w:r>
      <w:r w:rsidR="00755D16" w:rsidRPr="007F36B4">
        <w:rPr>
          <w:color w:val="000000"/>
          <w:sz w:val="22"/>
          <w:szCs w:val="22"/>
        </w:rPr>
        <w:t>will be used to crosscheck beneficiary</w:t>
      </w:r>
      <w:r w:rsidR="00446C4E" w:rsidRPr="007F36B4">
        <w:rPr>
          <w:color w:val="000000"/>
          <w:sz w:val="22"/>
          <w:szCs w:val="22"/>
        </w:rPr>
        <w:t xml:space="preserve"> data, fill out </w:t>
      </w:r>
      <w:r w:rsidR="00755D16" w:rsidRPr="007F36B4">
        <w:rPr>
          <w:color w:val="000000"/>
          <w:sz w:val="22"/>
          <w:szCs w:val="22"/>
        </w:rPr>
        <w:t xml:space="preserve">voucher-related information </w:t>
      </w:r>
      <w:r w:rsidR="00446C4E" w:rsidRPr="007F36B4">
        <w:rPr>
          <w:color w:val="000000"/>
          <w:sz w:val="22"/>
          <w:szCs w:val="22"/>
        </w:rPr>
        <w:t>and have</w:t>
      </w:r>
      <w:r w:rsidR="00755D16" w:rsidRPr="007F36B4">
        <w:rPr>
          <w:color w:val="000000"/>
          <w:sz w:val="22"/>
          <w:szCs w:val="22"/>
        </w:rPr>
        <w:t xml:space="preserve"> recipients sign or thumbprint </w:t>
      </w:r>
      <w:r w:rsidR="00446C4E" w:rsidRPr="007F36B4">
        <w:rPr>
          <w:color w:val="000000"/>
          <w:sz w:val="22"/>
          <w:szCs w:val="22"/>
        </w:rPr>
        <w:t>confirming the reception of</w:t>
      </w:r>
      <w:r w:rsidR="00755D16" w:rsidRPr="007F36B4">
        <w:rPr>
          <w:color w:val="000000"/>
          <w:sz w:val="22"/>
          <w:szCs w:val="22"/>
        </w:rPr>
        <w:t xml:space="preserve"> the vouchers.</w:t>
      </w:r>
      <w:r w:rsidR="00446C4E" w:rsidRPr="007F36B4">
        <w:rPr>
          <w:color w:val="000000"/>
          <w:sz w:val="22"/>
          <w:szCs w:val="22"/>
        </w:rPr>
        <w:t xml:space="preserve"> </w:t>
      </w:r>
      <w:r w:rsidR="003A2F01" w:rsidRPr="007F36B4">
        <w:rPr>
          <w:color w:val="000000"/>
          <w:sz w:val="22"/>
          <w:szCs w:val="22"/>
        </w:rPr>
        <w:t>At the end of the distribution, the voucher distribution summary will be completed and submitted to the office together with the voucher distribution list and a list of vouchers to be returned.</w:t>
      </w:r>
    </w:p>
    <w:p w14:paraId="2A371B15" w14:textId="77777777" w:rsidR="00755D16" w:rsidRPr="007F36B4" w:rsidRDefault="00E53E8F" w:rsidP="007F36B4">
      <w:pPr>
        <w:spacing w:before="240" w:after="120"/>
        <w:jc w:val="both"/>
        <w:rPr>
          <w:color w:val="000000"/>
          <w:sz w:val="22"/>
          <w:szCs w:val="22"/>
        </w:rPr>
      </w:pPr>
      <w:r w:rsidRPr="007F36B4">
        <w:rPr>
          <w:rFonts w:eastAsia="Times New Roman" w:cs="Times New Roman"/>
          <w:b/>
          <w:i/>
          <w:color w:val="7F7F7F" w:themeColor="text1" w:themeTint="80"/>
          <w:sz w:val="22"/>
          <w:szCs w:val="22"/>
          <w:lang w:val="en-US"/>
        </w:rPr>
        <w:t>Voucher redemption.</w:t>
      </w:r>
      <w:r w:rsidR="006B1A33" w:rsidRPr="007F36B4">
        <w:rPr>
          <w:rFonts w:eastAsia="Times New Roman" w:cs="Times New Roman"/>
          <w:b/>
          <w:i/>
          <w:color w:val="7F7F7F" w:themeColor="text1" w:themeTint="80"/>
          <w:sz w:val="22"/>
          <w:szCs w:val="22"/>
          <w:lang w:val="en-US"/>
        </w:rPr>
        <w:t xml:space="preserve"> </w:t>
      </w:r>
      <w:r w:rsidR="003A2F01" w:rsidRPr="007F36B4">
        <w:rPr>
          <w:color w:val="000000"/>
          <w:sz w:val="22"/>
          <w:szCs w:val="22"/>
        </w:rPr>
        <w:t xml:space="preserve">In order to keep detailed record of all redeemed vouchers, traders are asked to fill </w:t>
      </w:r>
      <w:r w:rsidR="00DB2D76" w:rsidRPr="007F36B4">
        <w:rPr>
          <w:color w:val="000000"/>
          <w:sz w:val="22"/>
          <w:szCs w:val="22"/>
        </w:rPr>
        <w:t xml:space="preserve">out </w:t>
      </w:r>
      <w:r w:rsidR="006B1A33" w:rsidRPr="007F36B4">
        <w:rPr>
          <w:color w:val="000000"/>
          <w:sz w:val="22"/>
          <w:szCs w:val="22"/>
        </w:rPr>
        <w:t>a redemption form</w:t>
      </w:r>
      <w:r w:rsidR="003A2F01" w:rsidRPr="007F36B4">
        <w:rPr>
          <w:color w:val="000000"/>
          <w:sz w:val="22"/>
          <w:szCs w:val="22"/>
        </w:rPr>
        <w:t xml:space="preserve"> </w:t>
      </w:r>
      <w:r w:rsidR="006B1A33" w:rsidRPr="007F36B4">
        <w:rPr>
          <w:color w:val="000000"/>
          <w:sz w:val="22"/>
          <w:szCs w:val="22"/>
        </w:rPr>
        <w:t>a</w:t>
      </w:r>
      <w:r w:rsidR="00755D16" w:rsidRPr="007F36B4">
        <w:rPr>
          <w:color w:val="000000"/>
          <w:sz w:val="22"/>
          <w:szCs w:val="22"/>
        </w:rPr>
        <w:t>fter each voucher transaction</w:t>
      </w:r>
      <w:r w:rsidR="006B1A33" w:rsidRPr="007F36B4">
        <w:rPr>
          <w:color w:val="000000"/>
          <w:sz w:val="22"/>
          <w:szCs w:val="22"/>
        </w:rPr>
        <w:t xml:space="preserve">, and a summary at the end of a given redemption period. In the </w:t>
      </w:r>
      <w:r w:rsidR="006B1A33" w:rsidRPr="007F36B4">
        <w:rPr>
          <w:rFonts w:eastAsia="Times New Roman" w:cs="Times New Roman"/>
          <w:color w:val="0000FF"/>
          <w:sz w:val="22"/>
          <w:szCs w:val="22"/>
          <w:u w:val="single"/>
          <w:lang w:val="en-US"/>
        </w:rPr>
        <w:t>Set-up toolbox</w:t>
      </w:r>
      <w:r w:rsidR="006B1A33" w:rsidRPr="007F36B4">
        <w:rPr>
          <w:color w:val="000000"/>
          <w:sz w:val="22"/>
          <w:szCs w:val="22"/>
        </w:rPr>
        <w:t>, you will find voucher redemption forms</w:t>
      </w:r>
      <w:r w:rsidR="00261A88" w:rsidRPr="007F36B4">
        <w:rPr>
          <w:color w:val="000000"/>
          <w:sz w:val="22"/>
          <w:szCs w:val="22"/>
        </w:rPr>
        <w:t>,</w:t>
      </w:r>
      <w:r w:rsidR="006B1A33" w:rsidRPr="007F36B4">
        <w:rPr>
          <w:color w:val="000000"/>
          <w:sz w:val="22"/>
          <w:szCs w:val="22"/>
        </w:rPr>
        <w:t xml:space="preserve"> including a redemption form and a summary form. The</w:t>
      </w:r>
      <w:r w:rsidR="00755D16" w:rsidRPr="007F36B4">
        <w:rPr>
          <w:color w:val="000000"/>
          <w:sz w:val="22"/>
          <w:szCs w:val="22"/>
        </w:rPr>
        <w:t xml:space="preserve"> </w:t>
      </w:r>
      <w:r w:rsidR="006B1A33" w:rsidRPr="007F36B4">
        <w:rPr>
          <w:color w:val="000000"/>
          <w:sz w:val="22"/>
          <w:szCs w:val="22"/>
        </w:rPr>
        <w:t>completed voucher redemption summary form</w:t>
      </w:r>
      <w:r w:rsidR="00755D16" w:rsidRPr="007F36B4">
        <w:rPr>
          <w:color w:val="000000"/>
          <w:sz w:val="22"/>
          <w:szCs w:val="22"/>
        </w:rPr>
        <w:t xml:space="preserve"> will be sent to the agency together with all the </w:t>
      </w:r>
      <w:r w:rsidR="006B1A33" w:rsidRPr="007F36B4">
        <w:rPr>
          <w:color w:val="000000"/>
          <w:sz w:val="22"/>
          <w:szCs w:val="22"/>
        </w:rPr>
        <w:t xml:space="preserve">redeemed </w:t>
      </w:r>
      <w:r w:rsidR="00755D16" w:rsidRPr="007F36B4">
        <w:rPr>
          <w:color w:val="000000"/>
          <w:sz w:val="22"/>
          <w:szCs w:val="22"/>
        </w:rPr>
        <w:t xml:space="preserve">vouchers, for final reconciliation. </w:t>
      </w:r>
    </w:p>
    <w:p w14:paraId="1F16B3B9" w14:textId="77777777" w:rsidR="0081574B" w:rsidRPr="007F36B4" w:rsidRDefault="005F2F79" w:rsidP="007F36B4">
      <w:pPr>
        <w:spacing w:before="240" w:after="120"/>
        <w:jc w:val="both"/>
        <w:rPr>
          <w:rFonts w:eastAsia="Times New Roman" w:cs="Times New Roman"/>
          <w:b/>
          <w:sz w:val="22"/>
          <w:szCs w:val="22"/>
          <w:lang w:val="en-US"/>
        </w:rPr>
      </w:pPr>
      <w:r w:rsidRPr="007F36B4">
        <w:rPr>
          <w:rFonts w:eastAsia="Times New Roman" w:cs="Times New Roman"/>
          <w:b/>
          <w:sz w:val="22"/>
          <w:szCs w:val="22"/>
          <w:lang w:val="en-US"/>
        </w:rPr>
        <w:t>Monitoring</w:t>
      </w:r>
    </w:p>
    <w:p w14:paraId="44F9716F" w14:textId="77777777" w:rsidR="004634A2" w:rsidRPr="004A28CA" w:rsidRDefault="005F2F79" w:rsidP="007F36B4">
      <w:pPr>
        <w:spacing w:before="120"/>
        <w:jc w:val="both"/>
        <w:rPr>
          <w:rFonts w:cs="Lucida Grande"/>
          <w:color w:val="0000FF"/>
          <w:sz w:val="22"/>
          <w:szCs w:val="22"/>
          <w:u w:val="single"/>
        </w:rPr>
      </w:pPr>
      <w:r w:rsidRPr="004A28CA">
        <w:rPr>
          <w:rFonts w:cs="Arial"/>
          <w:b/>
          <w:i/>
          <w:color w:val="7F7F7F" w:themeColor="text1" w:themeTint="80"/>
          <w:sz w:val="22"/>
          <w:szCs w:val="22"/>
        </w:rPr>
        <w:t xml:space="preserve">Monitoring the voucher programme. </w:t>
      </w:r>
      <w:r w:rsidR="00A61BDD" w:rsidRPr="004A28CA">
        <w:rPr>
          <w:rFonts w:cs="Arial"/>
          <w:sz w:val="22"/>
          <w:szCs w:val="22"/>
        </w:rPr>
        <w:t xml:space="preserve">One of the particularities of a voucher programme is the need to monitor the traders selected and contracted to redeem vouchers. </w:t>
      </w:r>
      <w:r w:rsidR="007F36B4" w:rsidRPr="004A28CA">
        <w:rPr>
          <w:rFonts w:cs="Arial"/>
          <w:sz w:val="22"/>
          <w:szCs w:val="22"/>
        </w:rPr>
        <w:t>B</w:t>
      </w:r>
      <w:r w:rsidR="00A61BDD" w:rsidRPr="004A28CA">
        <w:rPr>
          <w:rFonts w:cs="Arial"/>
          <w:sz w:val="22"/>
          <w:szCs w:val="22"/>
        </w:rPr>
        <w:t xml:space="preserve">eneficiaries will </w:t>
      </w:r>
      <w:r w:rsidR="007F36B4" w:rsidRPr="004A28CA">
        <w:rPr>
          <w:rFonts w:cs="Arial"/>
          <w:sz w:val="22"/>
          <w:szCs w:val="22"/>
        </w:rPr>
        <w:t>be</w:t>
      </w:r>
      <w:r w:rsidR="00A61BDD" w:rsidRPr="004A28CA">
        <w:rPr>
          <w:rFonts w:cs="Arial"/>
          <w:sz w:val="22"/>
          <w:szCs w:val="22"/>
        </w:rPr>
        <w:t xml:space="preserve"> asked about the voucher distribution and redemption process, as well as about</w:t>
      </w:r>
      <w:r w:rsidR="007F36B4" w:rsidRPr="004A28CA">
        <w:rPr>
          <w:rFonts w:cs="Arial"/>
          <w:sz w:val="22"/>
          <w:szCs w:val="22"/>
        </w:rPr>
        <w:t xml:space="preserve"> how they</w:t>
      </w:r>
      <w:r w:rsidR="00A61BDD" w:rsidRPr="004A28CA">
        <w:rPr>
          <w:rFonts w:cs="Arial"/>
          <w:sz w:val="22"/>
          <w:szCs w:val="22"/>
        </w:rPr>
        <w:t xml:space="preserve"> </w:t>
      </w:r>
      <w:r w:rsidR="007F36B4" w:rsidRPr="004A28CA">
        <w:rPr>
          <w:rFonts w:cs="Arial"/>
          <w:color w:val="000000"/>
          <w:sz w:val="22"/>
          <w:szCs w:val="22"/>
        </w:rPr>
        <w:t>used the vouchers, and how the items exchanged has impacted their situation</w:t>
      </w:r>
      <w:r w:rsidR="007F36B4" w:rsidRPr="004A28CA">
        <w:rPr>
          <w:rFonts w:cs="Arial"/>
          <w:sz w:val="22"/>
          <w:szCs w:val="22"/>
        </w:rPr>
        <w:t>. T</w:t>
      </w:r>
      <w:r w:rsidR="00A61BDD" w:rsidRPr="004A28CA">
        <w:rPr>
          <w:rFonts w:cs="Arial"/>
          <w:sz w:val="22"/>
          <w:szCs w:val="22"/>
        </w:rPr>
        <w:t>raders</w:t>
      </w:r>
      <w:r w:rsidR="007F36B4" w:rsidRPr="004A28CA">
        <w:rPr>
          <w:rFonts w:cs="Arial"/>
          <w:sz w:val="22"/>
          <w:szCs w:val="22"/>
        </w:rPr>
        <w:t xml:space="preserve">, on the other hand, will be asked about the </w:t>
      </w:r>
      <w:r w:rsidR="007F36B4" w:rsidRPr="004A28CA">
        <w:rPr>
          <w:rFonts w:cs="Arial"/>
          <w:color w:val="000000"/>
          <w:sz w:val="22"/>
          <w:szCs w:val="22"/>
        </w:rPr>
        <w:t>voucher redemption and payment processes; the price, quantity and quality of commodities sold; and the impact of the project on their businesses. In the</w:t>
      </w:r>
      <w:r w:rsidR="00A61BDD" w:rsidRPr="004A28CA">
        <w:rPr>
          <w:rFonts w:cs="Arial"/>
          <w:sz w:val="22"/>
          <w:szCs w:val="22"/>
        </w:rPr>
        <w:t xml:space="preserve"> </w:t>
      </w:r>
      <w:r w:rsidR="00A61BDD" w:rsidRPr="004A28CA">
        <w:rPr>
          <w:rFonts w:eastAsia="Times New Roman" w:cs="Times New Roman"/>
          <w:color w:val="0000FF"/>
          <w:sz w:val="22"/>
          <w:szCs w:val="22"/>
          <w:u w:val="single"/>
          <w:lang w:val="en-US"/>
        </w:rPr>
        <w:t>Monitoring toolbox</w:t>
      </w:r>
      <w:r w:rsidR="00A61BDD" w:rsidRPr="004A28CA">
        <w:rPr>
          <w:rFonts w:cs="Arial"/>
          <w:sz w:val="22"/>
          <w:szCs w:val="22"/>
        </w:rPr>
        <w:t xml:space="preserve">, you will find </w:t>
      </w:r>
      <w:r w:rsidR="007F36B4" w:rsidRPr="004A28CA">
        <w:rPr>
          <w:rFonts w:cs="Arial"/>
          <w:sz w:val="22"/>
          <w:szCs w:val="22"/>
        </w:rPr>
        <w:t xml:space="preserve">a voucher fair exit questionnaire for beneficiaries and one for traders. </w:t>
      </w:r>
      <w:r w:rsidR="00A61BDD" w:rsidRPr="004A28CA">
        <w:rPr>
          <w:rFonts w:cs="Arial"/>
          <w:color w:val="000000"/>
          <w:sz w:val="22"/>
          <w:szCs w:val="22"/>
        </w:rPr>
        <w:t>These tools</w:t>
      </w:r>
      <w:r w:rsidR="007F36B4" w:rsidRPr="004A28CA">
        <w:rPr>
          <w:rFonts w:cs="Arial"/>
          <w:color w:val="000000"/>
          <w:sz w:val="22"/>
          <w:szCs w:val="22"/>
        </w:rPr>
        <w:t xml:space="preserve"> are voucher-specific</w:t>
      </w:r>
      <w:r w:rsidR="004634A2" w:rsidRPr="004A28CA">
        <w:rPr>
          <w:rFonts w:cs="Arial"/>
          <w:color w:val="000000"/>
          <w:sz w:val="22"/>
          <w:szCs w:val="22"/>
        </w:rPr>
        <w:t xml:space="preserve"> can be either used as </w:t>
      </w:r>
      <w:r w:rsidR="007F36B4" w:rsidRPr="004A28CA">
        <w:rPr>
          <w:rFonts w:cs="Arial"/>
          <w:color w:val="000000"/>
          <w:sz w:val="22"/>
          <w:szCs w:val="22"/>
        </w:rPr>
        <w:t>they are</w:t>
      </w:r>
      <w:r w:rsidR="004634A2" w:rsidRPr="004A28CA">
        <w:rPr>
          <w:rFonts w:cs="Arial"/>
          <w:color w:val="000000"/>
          <w:sz w:val="22"/>
          <w:szCs w:val="22"/>
        </w:rPr>
        <w:t xml:space="preserve"> or completed with more general questions from the PDM questionnaires available in </w:t>
      </w:r>
      <w:r w:rsidR="00A61BDD" w:rsidRPr="004A28CA">
        <w:rPr>
          <w:rFonts w:cs="Arial"/>
          <w:color w:val="000000"/>
          <w:sz w:val="22"/>
          <w:szCs w:val="22"/>
        </w:rPr>
        <w:t xml:space="preserve">CiE Toolkit </w:t>
      </w:r>
      <w:r w:rsidR="004634A2" w:rsidRPr="004A28CA">
        <w:rPr>
          <w:rFonts w:cs="Arial"/>
          <w:color w:val="000000"/>
          <w:sz w:val="22"/>
          <w:szCs w:val="22"/>
        </w:rPr>
        <w:t>module 5.</w:t>
      </w:r>
    </w:p>
    <w:p w14:paraId="30819621" w14:textId="77777777" w:rsidR="004634A2" w:rsidRPr="00261A88" w:rsidRDefault="004634A2" w:rsidP="003A35FF">
      <w:pPr>
        <w:spacing w:after="120"/>
        <w:jc w:val="both"/>
        <w:rPr>
          <w:rFonts w:cs="Lucida Grande"/>
          <w:color w:val="0000FF"/>
          <w:sz w:val="22"/>
          <w:szCs w:val="22"/>
          <w:u w:val="single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516"/>
      </w:tblGrid>
      <w:tr w:rsidR="00B22196" w:rsidRPr="007F36B4" w14:paraId="63C0CE28" w14:textId="77777777" w:rsidTr="00F41E28">
        <w:tc>
          <w:tcPr>
            <w:tcW w:w="8516" w:type="dxa"/>
            <w:shd w:val="clear" w:color="auto" w:fill="D9D9D9" w:themeFill="background1" w:themeFillShade="D9"/>
          </w:tcPr>
          <w:p w14:paraId="76692B8E" w14:textId="77777777" w:rsidR="00B22196" w:rsidRPr="007F36B4" w:rsidRDefault="00B22196" w:rsidP="00F41E28">
            <w:pPr>
              <w:spacing w:after="100"/>
            </w:pPr>
            <w:r w:rsidRPr="007F36B4">
              <w:rPr>
                <w:b/>
                <w:bCs/>
                <w:caps/>
              </w:rPr>
              <w:t>REFERENCE DOCUMENTS</w:t>
            </w:r>
          </w:p>
          <w:p w14:paraId="3BB8CFF0" w14:textId="77777777" w:rsidR="00B22196" w:rsidRPr="007F36B4" w:rsidRDefault="004A17A0" w:rsidP="00F41E28">
            <w:pPr>
              <w:spacing w:after="100"/>
            </w:pPr>
            <w:r w:rsidRPr="007F36B4">
              <w:t>ICRC (2014) ECOSEC Executive Brief on Fairs. Democratic Republic of Congo</w:t>
            </w:r>
          </w:p>
          <w:p w14:paraId="3C0DECA6" w14:textId="77777777" w:rsidR="005830DF" w:rsidRPr="007F36B4" w:rsidRDefault="005830DF" w:rsidP="00F41E28">
            <w:pPr>
              <w:pStyle w:val="Default"/>
              <w:spacing w:after="100"/>
              <w:rPr>
                <w:rStyle w:val="A0"/>
                <w:rFonts w:asciiTheme="majorHAnsi" w:hAnsiTheme="majorHAnsi" w:cs="Akzidenz Grotesk BE Cn"/>
                <w:sz w:val="20"/>
                <w:szCs w:val="20"/>
              </w:rPr>
            </w:pPr>
            <w:r w:rsidRPr="007F36B4">
              <w:rPr>
                <w:rFonts w:asciiTheme="majorHAnsi" w:hAnsiTheme="majorHAnsi"/>
                <w:sz w:val="20"/>
                <w:szCs w:val="20"/>
              </w:rPr>
              <w:t xml:space="preserve">Mercy Corps (2016) </w:t>
            </w:r>
            <w:r w:rsidRPr="007F36B4">
              <w:rPr>
                <w:rStyle w:val="A0"/>
                <w:rFonts w:asciiTheme="majorHAnsi" w:hAnsiTheme="majorHAnsi"/>
                <w:bCs/>
                <w:sz w:val="20"/>
                <w:szCs w:val="20"/>
              </w:rPr>
              <w:t xml:space="preserve">Voucher and Fair Implementation </w:t>
            </w:r>
            <w:r w:rsidRPr="007F36B4">
              <w:rPr>
                <w:rStyle w:val="A0"/>
                <w:rFonts w:asciiTheme="majorHAnsi" w:hAnsiTheme="majorHAnsi" w:cs="Akzidenz Grotesk BE Cn"/>
                <w:sz w:val="20"/>
                <w:szCs w:val="20"/>
              </w:rPr>
              <w:t xml:space="preserve">Guide. </w:t>
            </w:r>
            <w:hyperlink r:id="rId7" w:history="1">
              <w:r w:rsidRPr="007F36B4">
                <w:rPr>
                  <w:rStyle w:val="Hyperlink"/>
                  <w:rFonts w:asciiTheme="majorHAnsi" w:hAnsiTheme="majorHAnsi" w:cs="Akzidenz Grotesk BE Cn"/>
                  <w:sz w:val="20"/>
                  <w:szCs w:val="20"/>
                </w:rPr>
                <w:t>https://www.mercycorps.org/sites/default/files/VoucherFairGuide.pdf</w:t>
              </w:r>
            </w:hyperlink>
            <w:r w:rsidRPr="007F36B4">
              <w:rPr>
                <w:rStyle w:val="A0"/>
                <w:rFonts w:asciiTheme="majorHAnsi" w:hAnsiTheme="majorHAnsi" w:cs="Akzidenz Grotesk BE Cn"/>
                <w:sz w:val="20"/>
                <w:szCs w:val="20"/>
              </w:rPr>
              <w:t xml:space="preserve"> </w:t>
            </w:r>
          </w:p>
          <w:p w14:paraId="7D3C7A90" w14:textId="77777777" w:rsidR="005830DF" w:rsidRPr="007F36B4" w:rsidRDefault="005830DF" w:rsidP="00F41E28">
            <w:pPr>
              <w:pStyle w:val="Default"/>
              <w:spacing w:after="100"/>
              <w:rPr>
                <w:rFonts w:asciiTheme="majorHAnsi" w:hAnsiTheme="majorHAnsi"/>
                <w:sz w:val="20"/>
                <w:szCs w:val="20"/>
              </w:rPr>
            </w:pPr>
            <w:r w:rsidRPr="007F36B4">
              <w:rPr>
                <w:rFonts w:asciiTheme="majorHAnsi" w:hAnsiTheme="majorHAnsi"/>
                <w:sz w:val="20"/>
                <w:szCs w:val="20"/>
              </w:rPr>
              <w:lastRenderedPageBreak/>
              <w:t>FAO (2013) Guidelines for Input Trade Fairs and Voucher Schemes</w:t>
            </w:r>
          </w:p>
          <w:p w14:paraId="1436D37C" w14:textId="77777777" w:rsidR="005830DF" w:rsidRPr="007F36B4" w:rsidRDefault="005830DF" w:rsidP="00F41E28">
            <w:pPr>
              <w:pStyle w:val="Heading1"/>
              <w:spacing w:before="0" w:beforeAutospacing="0" w:afterAutospacing="0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7F36B4">
              <w:rPr>
                <w:rFonts w:asciiTheme="majorHAnsi" w:hAnsiTheme="majorHAnsi"/>
                <w:b w:val="0"/>
                <w:sz w:val="20"/>
                <w:szCs w:val="20"/>
              </w:rPr>
              <w:t xml:space="preserve">CRS (2002) </w:t>
            </w:r>
            <w:r w:rsidRPr="007F36B4">
              <w:rPr>
                <w:rFonts w:asciiTheme="majorHAnsi" w:eastAsia="Times New Roman" w:hAnsiTheme="majorHAnsi" w:cs="Arial"/>
                <w:b w:val="0"/>
                <w:color w:val="000000"/>
                <w:sz w:val="20"/>
                <w:szCs w:val="20"/>
              </w:rPr>
              <w:t xml:space="preserve">Seed Vouchers and Fairs. </w:t>
            </w:r>
            <w:r w:rsidRPr="007F36B4">
              <w:rPr>
                <w:rFonts w:asciiTheme="majorHAnsi" w:eastAsia="Times New Roman" w:hAnsiTheme="majorHAnsi" w:cs="Times New Roman"/>
                <w:b w:val="0"/>
                <w:i/>
                <w:iCs/>
                <w:color w:val="000000"/>
                <w:sz w:val="20"/>
                <w:szCs w:val="20"/>
              </w:rPr>
              <w:t xml:space="preserve">A Manual for Seed-Based Agricultural Recovery in Africa. </w:t>
            </w:r>
            <w:hyperlink r:id="rId8" w:history="1">
              <w:r w:rsidRPr="007F36B4">
                <w:rPr>
                  <w:rStyle w:val="Hyperlink"/>
                  <w:rFonts w:asciiTheme="majorHAnsi" w:hAnsiTheme="majorHAnsi"/>
                  <w:b w:val="0"/>
                  <w:sz w:val="20"/>
                  <w:szCs w:val="20"/>
                </w:rPr>
                <w:t>www.crs.org/sites/default/files/tools-research/seed-vouchers-and-fairs.pdf</w:t>
              </w:r>
            </w:hyperlink>
          </w:p>
          <w:p w14:paraId="165C088D" w14:textId="77777777" w:rsidR="005830DF" w:rsidRPr="00F41E28" w:rsidRDefault="004634A2" w:rsidP="00F41E28">
            <w:pPr>
              <w:spacing w:after="100"/>
              <w:rPr>
                <w:rFonts w:eastAsia="Times New Roman" w:cs="Times New Roman"/>
                <w:lang w:val="en-US"/>
              </w:rPr>
            </w:pPr>
            <w:r w:rsidRPr="007F36B4">
              <w:rPr>
                <w:rFonts w:eastAsia="Times New Roman" w:cs="Times New Roman"/>
                <w:lang w:val="en-US"/>
              </w:rPr>
              <w:t>CaLP (2012</w:t>
            </w:r>
            <w:r w:rsidR="005830DF" w:rsidRPr="007F36B4">
              <w:rPr>
                <w:rFonts w:eastAsia="Times New Roman" w:cs="Times New Roman"/>
                <w:lang w:val="en-US"/>
              </w:rPr>
              <w:t xml:space="preserve">) Voucher fairs a quick delivery guide for cash transfer programming in emergencies. </w:t>
            </w:r>
            <w:hyperlink r:id="rId9" w:history="1">
              <w:r w:rsidR="005830DF" w:rsidRPr="007F36B4">
                <w:rPr>
                  <w:rStyle w:val="Hyperlink"/>
                  <w:rFonts w:eastAsia="Times New Roman" w:cs="Times New Roman"/>
                  <w:lang w:val="en-US"/>
                </w:rPr>
                <w:t>http://www.cashlearning.org/downloads/resources/tools/CaLP_VoucherFairs_booklet.pdf</w:t>
              </w:r>
            </w:hyperlink>
            <w:r w:rsidR="005830DF" w:rsidRPr="007F36B4">
              <w:rPr>
                <w:rFonts w:eastAsia="Times New Roman" w:cs="Times New Roman"/>
                <w:lang w:val="en-US"/>
              </w:rPr>
              <w:t xml:space="preserve"> </w:t>
            </w:r>
          </w:p>
        </w:tc>
      </w:tr>
    </w:tbl>
    <w:p w14:paraId="76B1B290" w14:textId="77777777" w:rsidR="00B22196" w:rsidRPr="00261A88" w:rsidRDefault="00B22196" w:rsidP="003A35FF">
      <w:pPr>
        <w:jc w:val="both"/>
        <w:rPr>
          <w:sz w:val="22"/>
          <w:szCs w:val="22"/>
          <w:lang w:val="en-US"/>
        </w:rPr>
      </w:pPr>
    </w:p>
    <w:sectPr w:rsidR="00B22196" w:rsidRPr="00261A88" w:rsidSect="0081574B">
      <w:headerReference w:type="default" r:id="rId10"/>
      <w:footerReference w:type="even" r:id="rId11"/>
      <w:footerReference w:type="default" r:id="rId12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E1C644" w14:textId="77777777" w:rsidR="000B0643" w:rsidRDefault="000B0643" w:rsidP="00B22196">
      <w:r>
        <w:separator/>
      </w:r>
    </w:p>
  </w:endnote>
  <w:endnote w:type="continuationSeparator" w:id="0">
    <w:p w14:paraId="4A056803" w14:textId="77777777" w:rsidR="000B0643" w:rsidRDefault="000B0643" w:rsidP="00B22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kzidenz Grotesk BE">
    <w:altName w:val="Akzidenz Grotesk B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kzidenz Grotesk BE 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O¯øœ!Ÿ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kzidenz Grotesk BE Cn">
    <w:altName w:val="Calibri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7186DF" w14:textId="77777777" w:rsidR="004A28CA" w:rsidRDefault="004A28CA" w:rsidP="00B2219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500EA6" w14:textId="77777777" w:rsidR="004A28CA" w:rsidRDefault="004A28CA" w:rsidP="00B2219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9C6138" w14:textId="77777777" w:rsidR="004A28CA" w:rsidRDefault="004A28CA" w:rsidP="00B2219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72151">
      <w:rPr>
        <w:rStyle w:val="PageNumber"/>
        <w:noProof/>
      </w:rPr>
      <w:t>1</w:t>
    </w:r>
    <w:r>
      <w:rPr>
        <w:rStyle w:val="PageNumber"/>
      </w:rPr>
      <w:fldChar w:fldCharType="end"/>
    </w:r>
  </w:p>
  <w:p w14:paraId="154A58DE" w14:textId="77777777" w:rsidR="004A28CA" w:rsidRDefault="004A28CA" w:rsidP="00B2219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8461AC" w14:textId="77777777" w:rsidR="000B0643" w:rsidRDefault="000B0643" w:rsidP="00B22196">
      <w:r>
        <w:separator/>
      </w:r>
    </w:p>
  </w:footnote>
  <w:footnote w:type="continuationSeparator" w:id="0">
    <w:p w14:paraId="508A7021" w14:textId="77777777" w:rsidR="000B0643" w:rsidRDefault="000B0643" w:rsidP="00B221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F1F587" w14:textId="77777777" w:rsidR="004A28CA" w:rsidRDefault="004A28CA" w:rsidP="00B22196">
    <w:pPr>
      <w:pStyle w:val="Header"/>
      <w:jc w:val="center"/>
    </w:pPr>
    <w:r>
      <w:t xml:space="preserve">International </w:t>
    </w:r>
    <w:r w:rsidRPr="00C26AF0">
      <w:t xml:space="preserve">Red Cross </w:t>
    </w:r>
    <w:r>
      <w:t xml:space="preserve">and Red Crescent </w:t>
    </w:r>
    <w:r w:rsidRPr="00C26AF0">
      <w:t xml:space="preserve">Movement </w:t>
    </w:r>
    <w:r w:rsidRPr="00C26AF0">
      <w:tab/>
      <w:t>Cash in Emergencies Toolkit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02652"/>
    <w:multiLevelType w:val="hybridMultilevel"/>
    <w:tmpl w:val="9CF4AF48"/>
    <w:lvl w:ilvl="0" w:tplc="FFCE2EE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94AEE"/>
    <w:multiLevelType w:val="hybridMultilevel"/>
    <w:tmpl w:val="C40C88E0"/>
    <w:lvl w:ilvl="0" w:tplc="3000D49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74236F"/>
    <w:multiLevelType w:val="hybridMultilevel"/>
    <w:tmpl w:val="096A67C8"/>
    <w:lvl w:ilvl="0" w:tplc="B7E69AF6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37020C"/>
    <w:multiLevelType w:val="hybridMultilevel"/>
    <w:tmpl w:val="81D41ECE"/>
    <w:lvl w:ilvl="0" w:tplc="5A4C774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8163F1"/>
    <w:multiLevelType w:val="hybridMultilevel"/>
    <w:tmpl w:val="CCA8089C"/>
    <w:lvl w:ilvl="0" w:tplc="3000D49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114D40"/>
    <w:multiLevelType w:val="hybridMultilevel"/>
    <w:tmpl w:val="9DCAC830"/>
    <w:lvl w:ilvl="0" w:tplc="FFCE2EE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8233B2"/>
    <w:multiLevelType w:val="hybridMultilevel"/>
    <w:tmpl w:val="F47CE1DE"/>
    <w:lvl w:ilvl="0" w:tplc="5A4C774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679"/>
    <w:rsid w:val="00071AE3"/>
    <w:rsid w:val="00090DB5"/>
    <w:rsid w:val="000B0643"/>
    <w:rsid w:val="000C7DF3"/>
    <w:rsid w:val="000F0D0B"/>
    <w:rsid w:val="00170E26"/>
    <w:rsid w:val="001D62AD"/>
    <w:rsid w:val="0023417F"/>
    <w:rsid w:val="00261A88"/>
    <w:rsid w:val="00273A2D"/>
    <w:rsid w:val="00287D55"/>
    <w:rsid w:val="002D7689"/>
    <w:rsid w:val="003A2F01"/>
    <w:rsid w:val="003A35FF"/>
    <w:rsid w:val="003C7965"/>
    <w:rsid w:val="003E1692"/>
    <w:rsid w:val="00415037"/>
    <w:rsid w:val="004376AB"/>
    <w:rsid w:val="00446C4E"/>
    <w:rsid w:val="004634A2"/>
    <w:rsid w:val="00490415"/>
    <w:rsid w:val="004A17A0"/>
    <w:rsid w:val="004A28CA"/>
    <w:rsid w:val="004A5C46"/>
    <w:rsid w:val="00506AAC"/>
    <w:rsid w:val="00515FF4"/>
    <w:rsid w:val="00537A4C"/>
    <w:rsid w:val="005671EF"/>
    <w:rsid w:val="005830DF"/>
    <w:rsid w:val="005B45AB"/>
    <w:rsid w:val="005C3D91"/>
    <w:rsid w:val="005E111A"/>
    <w:rsid w:val="005F2F79"/>
    <w:rsid w:val="0065186F"/>
    <w:rsid w:val="00663F24"/>
    <w:rsid w:val="006B1A33"/>
    <w:rsid w:val="007374AC"/>
    <w:rsid w:val="00755D16"/>
    <w:rsid w:val="007B4FF7"/>
    <w:rsid w:val="007F36B4"/>
    <w:rsid w:val="0081574B"/>
    <w:rsid w:val="008419B8"/>
    <w:rsid w:val="00865679"/>
    <w:rsid w:val="008664F8"/>
    <w:rsid w:val="008E3DCE"/>
    <w:rsid w:val="008E42E0"/>
    <w:rsid w:val="008E6004"/>
    <w:rsid w:val="008F3015"/>
    <w:rsid w:val="009636D9"/>
    <w:rsid w:val="009E7CD2"/>
    <w:rsid w:val="00A3040F"/>
    <w:rsid w:val="00A61BDD"/>
    <w:rsid w:val="00AB4350"/>
    <w:rsid w:val="00AB7249"/>
    <w:rsid w:val="00AC2953"/>
    <w:rsid w:val="00AD397F"/>
    <w:rsid w:val="00B22196"/>
    <w:rsid w:val="00B555FE"/>
    <w:rsid w:val="00B62312"/>
    <w:rsid w:val="00BB2395"/>
    <w:rsid w:val="00C06324"/>
    <w:rsid w:val="00C67085"/>
    <w:rsid w:val="00C72247"/>
    <w:rsid w:val="00CA3577"/>
    <w:rsid w:val="00CE4BCB"/>
    <w:rsid w:val="00D40310"/>
    <w:rsid w:val="00D46741"/>
    <w:rsid w:val="00D8778C"/>
    <w:rsid w:val="00DB2D76"/>
    <w:rsid w:val="00E53E8F"/>
    <w:rsid w:val="00EA4CCD"/>
    <w:rsid w:val="00F41E28"/>
    <w:rsid w:val="00F70534"/>
    <w:rsid w:val="00F7215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517A13"/>
  <w15:docId w15:val="{C787D30E-2434-4CE3-BE60-B70BB2B0E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EastAsia" w:hAnsiTheme="majorHAnsi" w:cs="ArialMT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link w:val="Heading1Char"/>
    <w:uiPriority w:val="9"/>
    <w:qFormat/>
    <w:rsid w:val="00BB2395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830DF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8">
    <w:name w:val="Pa8"/>
    <w:basedOn w:val="Normal"/>
    <w:next w:val="Normal"/>
    <w:uiPriority w:val="99"/>
    <w:rsid w:val="00EE0D42"/>
    <w:pPr>
      <w:widowControl w:val="0"/>
      <w:autoSpaceDE w:val="0"/>
      <w:autoSpaceDN w:val="0"/>
      <w:adjustRightInd w:val="0"/>
      <w:spacing w:line="211" w:lineRule="atLeast"/>
    </w:pPr>
    <w:rPr>
      <w:rFonts w:ascii="Akzidenz Grotesk BE" w:hAnsi="Akzidenz Grotesk BE" w:cs="Times New Roman"/>
      <w:sz w:val="24"/>
      <w:szCs w:val="24"/>
      <w:lang w:val="en-US"/>
    </w:rPr>
  </w:style>
  <w:style w:type="paragraph" w:customStyle="1" w:styleId="Pa24">
    <w:name w:val="Pa24"/>
    <w:basedOn w:val="Normal"/>
    <w:next w:val="Normal"/>
    <w:uiPriority w:val="99"/>
    <w:rsid w:val="00EE0D42"/>
    <w:pPr>
      <w:widowControl w:val="0"/>
      <w:autoSpaceDE w:val="0"/>
      <w:autoSpaceDN w:val="0"/>
      <w:adjustRightInd w:val="0"/>
      <w:spacing w:line="211" w:lineRule="atLeast"/>
    </w:pPr>
    <w:rPr>
      <w:rFonts w:ascii="Akzidenz Grotesk BE" w:hAnsi="Akzidenz Grotesk BE" w:cs="Times New Roman"/>
      <w:sz w:val="24"/>
      <w:szCs w:val="24"/>
      <w:lang w:val="en-US"/>
    </w:rPr>
  </w:style>
  <w:style w:type="paragraph" w:customStyle="1" w:styleId="Pa25">
    <w:name w:val="Pa25"/>
    <w:basedOn w:val="Normal"/>
    <w:next w:val="Normal"/>
    <w:uiPriority w:val="99"/>
    <w:rsid w:val="00EE0D42"/>
    <w:pPr>
      <w:widowControl w:val="0"/>
      <w:autoSpaceDE w:val="0"/>
      <w:autoSpaceDN w:val="0"/>
      <w:adjustRightInd w:val="0"/>
      <w:spacing w:line="211" w:lineRule="atLeast"/>
    </w:pPr>
    <w:rPr>
      <w:rFonts w:ascii="Akzidenz Grotesk BE" w:hAnsi="Akzidenz Grotesk BE" w:cs="Times New Roman"/>
      <w:sz w:val="24"/>
      <w:szCs w:val="24"/>
      <w:lang w:val="en-US"/>
    </w:rPr>
  </w:style>
  <w:style w:type="character" w:customStyle="1" w:styleId="A11">
    <w:name w:val="A11"/>
    <w:uiPriority w:val="99"/>
    <w:rsid w:val="00EE0D42"/>
    <w:rPr>
      <w:rFonts w:cs="Akzidenz Grotesk BE"/>
      <w:color w:val="000000"/>
      <w:sz w:val="21"/>
      <w:szCs w:val="21"/>
      <w:u w:val="single"/>
    </w:rPr>
  </w:style>
  <w:style w:type="paragraph" w:customStyle="1" w:styleId="Pa23">
    <w:name w:val="Pa23"/>
    <w:basedOn w:val="Normal"/>
    <w:next w:val="Normal"/>
    <w:uiPriority w:val="99"/>
    <w:rsid w:val="00EE0D42"/>
    <w:pPr>
      <w:widowControl w:val="0"/>
      <w:autoSpaceDE w:val="0"/>
      <w:autoSpaceDN w:val="0"/>
      <w:adjustRightInd w:val="0"/>
      <w:spacing w:line="211" w:lineRule="atLeast"/>
    </w:pPr>
    <w:rPr>
      <w:rFonts w:ascii="Akzidenz Grotesk BE Bold" w:hAnsi="Akzidenz Grotesk BE Bold" w:cs="Times New Roman"/>
      <w:sz w:val="24"/>
      <w:szCs w:val="24"/>
      <w:lang w:val="en-US"/>
    </w:rPr>
  </w:style>
  <w:style w:type="paragraph" w:customStyle="1" w:styleId="Textetable">
    <w:name w:val="Textetable"/>
    <w:basedOn w:val="Normal"/>
    <w:rsid w:val="0011189D"/>
    <w:pPr>
      <w:spacing w:before="80" w:after="80"/>
    </w:pPr>
    <w:rPr>
      <w:rFonts w:ascii="Arial" w:eastAsia="Times New Roman" w:hAnsi="Arial" w:cs="Times New Roman"/>
      <w:szCs w:val="24"/>
      <w:lang w:eastAsia="fr-FR"/>
    </w:rPr>
  </w:style>
  <w:style w:type="table" w:styleId="TableGrid">
    <w:name w:val="Table Grid"/>
    <w:basedOn w:val="TableNormal"/>
    <w:uiPriority w:val="59"/>
    <w:rsid w:val="00F44F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2325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5F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FF4"/>
    <w:rPr>
      <w:rFonts w:ascii="Lucida Grande" w:hAnsi="Lucida Grande" w:cs="Lucida Grande"/>
      <w:sz w:val="18"/>
      <w:szCs w:val="18"/>
      <w:lang w:val="en-GB"/>
    </w:rPr>
  </w:style>
  <w:style w:type="paragraph" w:styleId="Revision">
    <w:name w:val="Revision"/>
    <w:hidden/>
    <w:uiPriority w:val="99"/>
    <w:semiHidden/>
    <w:rsid w:val="00CE4BCB"/>
    <w:rPr>
      <w:lang w:val="en-GB"/>
    </w:rPr>
  </w:style>
  <w:style w:type="character" w:styleId="Hyperlink">
    <w:name w:val="Hyperlink"/>
    <w:basedOn w:val="DefaultParagraphFont"/>
    <w:uiPriority w:val="99"/>
    <w:unhideWhenUsed/>
    <w:rsid w:val="007374A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B2395"/>
    <w:rPr>
      <w:rFonts w:ascii="Times" w:hAnsi="Times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B22196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B221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2196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B22196"/>
  </w:style>
  <w:style w:type="paragraph" w:styleId="Header">
    <w:name w:val="header"/>
    <w:basedOn w:val="Normal"/>
    <w:link w:val="HeaderChar"/>
    <w:uiPriority w:val="99"/>
    <w:unhideWhenUsed/>
    <w:rsid w:val="00B221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2196"/>
    <w:rPr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419B8"/>
    <w:rPr>
      <w:lang w:val="en-GB"/>
    </w:rPr>
  </w:style>
  <w:style w:type="paragraph" w:customStyle="1" w:styleId="Default">
    <w:name w:val="Default"/>
    <w:rsid w:val="005830DF"/>
    <w:pPr>
      <w:widowControl w:val="0"/>
      <w:autoSpaceDE w:val="0"/>
      <w:autoSpaceDN w:val="0"/>
      <w:adjustRightInd w:val="0"/>
    </w:pPr>
    <w:rPr>
      <w:rFonts w:ascii="Akzidenz Grotesk BE Bold" w:hAnsi="Akzidenz Grotesk BE Bold" w:cs="Akzidenz Grotesk BE Bol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5830DF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5830DF"/>
    <w:rPr>
      <w:rFonts w:cs="Akzidenz Grotesk BE Bold"/>
      <w:color w:val="000000"/>
      <w:sz w:val="58"/>
      <w:szCs w:val="5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830DF"/>
    <w:rPr>
      <w:rFonts w:eastAsiaTheme="majorEastAsia" w:cstheme="majorBidi"/>
      <w:b/>
      <w:bCs/>
      <w:color w:val="4F81BD" w:themeColor="accent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7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4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77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4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s.org/sites/default/files/tools-research/seed-vouchers-and-fairs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ercycorps.org/sites/default/files/VoucherFairGuide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ashlearning.org/downloads/resources/tools/CaLP_VoucherFairs_booklet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1007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6735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Pantaleo Creti</dc:creator>
  <cp:keywords/>
  <dc:description/>
  <cp:lastModifiedBy>Peter Mujtaba</cp:lastModifiedBy>
  <cp:revision>2</cp:revision>
  <dcterms:created xsi:type="dcterms:W3CDTF">2018-08-14T14:39:00Z</dcterms:created>
  <dcterms:modified xsi:type="dcterms:W3CDTF">2018-08-14T14:39:00Z</dcterms:modified>
</cp:coreProperties>
</file>