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IFRC’s RedRose Global Framework Agreement (GFA) Overview</w:t>
      </w:r>
    </w:p>
    <w:p w:rsidR="00000000" w:rsidDel="00000000" w:rsidP="00000000" w:rsidRDefault="00000000" w:rsidRPr="00000000" w14:paraId="00000002">
      <w:pPr>
        <w:jc w:val="both"/>
        <w:rPr/>
      </w:pPr>
      <w:r w:rsidDel="00000000" w:rsidR="00000000" w:rsidRPr="00000000">
        <w:rPr>
          <w:rFonts w:ascii="Arial" w:cs="Arial" w:eastAsia="Arial" w:hAnsi="Arial"/>
          <w:color w:val="000000"/>
          <w:sz w:val="20"/>
          <w:szCs w:val="20"/>
          <w:rtl w:val="0"/>
        </w:rPr>
        <w:t xml:space="preserve">The Global Framework Agreement (GFA) between IFRC and RedRose was signed on May 2018 after a competitive procurement process by the IFRC and a systematic evaluation of different data management solutions conducted by the CPWG. A series of due diligence was commissioned by the IFRC Audit and Legal departments to ensure confidence in the solution for the IFRC to recommend it to our Movement members. </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GFA allows Movement components to join the agreement and benefit from the global discount rates and negotiated terms and conditions. This saves time and effort for NS to do their own full tendering process and negotiating separately with the vendor. </w:t>
      </w:r>
    </w:p>
    <w:p w:rsidR="00000000" w:rsidDel="00000000" w:rsidP="00000000" w:rsidRDefault="00000000" w:rsidRPr="00000000" w14:paraId="00000004">
      <w:pPr>
        <w:jc w:val="both"/>
        <w:rPr/>
      </w:pPr>
      <w:r w:rsidDel="00000000" w:rsidR="00000000" w:rsidRPr="00000000">
        <w:rPr>
          <w:rtl w:val="0"/>
        </w:rPr>
        <w:t xml:space="preserve">There are also global tier discounts, meaning if we as a Movement collectively spend based on the agreed thresholds, we all benefit from additional discounts.  We are also constantly looking for ways to negotiate prices given the volume of the Movement’s use of the platform.  Any new discounts will be passed down to all members under the agreement.</w:t>
      </w:r>
    </w:p>
    <w:p w:rsidR="00000000" w:rsidDel="00000000" w:rsidP="00000000" w:rsidRDefault="00000000" w:rsidRPr="00000000" w14:paraId="00000005">
      <w:pPr>
        <w:jc w:val="both"/>
        <w:rPr/>
      </w:pPr>
      <w:r w:rsidDel="00000000" w:rsidR="00000000" w:rsidRPr="00000000">
        <w:rPr>
          <w:rtl w:val="0"/>
        </w:rPr>
        <w:t xml:space="preserve">There is non-exclusivity in the use of the platform and it’s pay per use.  If NS would like to use other solutions, there are no restrictions.  If the NS does not use it to distribute, there is no cost to them.  There is also no cost to join the GFA.  After joining the agreement, all financial dealings will be between the NS and RedRose. </w:t>
      </w:r>
    </w:p>
    <w:p w:rsidR="00000000" w:rsidDel="00000000" w:rsidP="00000000" w:rsidRDefault="00000000" w:rsidRPr="00000000" w14:paraId="00000006">
      <w:pPr>
        <w:jc w:val="both"/>
        <w:rPr/>
      </w:pPr>
      <w:r w:rsidDel="00000000" w:rsidR="00000000" w:rsidRPr="00000000">
        <w:rPr>
          <w:rtl w:val="0"/>
        </w:rPr>
        <w:t xml:space="preserve">Movement components can join the agreement by signing the Supplementary Agreement in the annex of the GFA.  In the Supplementary Agreement, the NS can add additional terms and conditions specific to their needs, and must be signed by the NS, the IFRC, and RedRose representatives.</w:t>
      </w:r>
    </w:p>
    <w:p w:rsidR="00000000" w:rsidDel="00000000" w:rsidP="00000000" w:rsidRDefault="00000000" w:rsidRPr="00000000" w14:paraId="00000007">
      <w:pPr>
        <w:jc w:val="both"/>
        <w:rPr/>
      </w:pPr>
      <w:r w:rsidDel="00000000" w:rsidR="00000000" w:rsidRPr="00000000">
        <w:rPr>
          <w:rtl w:val="0"/>
        </w:rPr>
        <w:t xml:space="preserve">The pricing for RedRose is a pay per use model; meaning that the system can be put in place but payment to RedRose is only made when an actual distribution is done with beneficiaries. The main cost is for the service fee, which is different for cash and in-kind.  For cash, it’s a % of the total cash disbursed (actual disbursement, not what was planned).  For in-kind, it’s the volume of transactions based on a tiered costing model (also actual disbursement not planned amounts).  The service fee includes the full use of the platform and all functions (including feature upgrades), initial setup (including ODK forms and dashboards), hosting, backup, remote 7-day support and maintenance.</w:t>
      </w:r>
    </w:p>
    <w:p w:rsidR="00000000" w:rsidDel="00000000" w:rsidP="00000000" w:rsidRDefault="00000000" w:rsidRPr="00000000" w14:paraId="00000008">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For more details, please contact the IFRC cash focal point in your region or the Geneva cash team. </w:t>
      </w:r>
    </w:p>
    <w:p w:rsidR="00000000" w:rsidDel="00000000" w:rsidP="00000000" w:rsidRDefault="00000000" w:rsidRPr="00000000" w14:paraId="0000000A">
      <w:pPr>
        <w:jc w:val="both"/>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F9z1qE3F81+qZL43qgfXQ1dw==">AMUW2mXPItFkSeO1MWZfCxUY+7PkCjBpC5QoB16A24TVwQ+0GJiD/EEDibprXAlQDyONlDTpFj8vCrkAYG26nvt4PQDmYDUZH6xA3UVmMNxXjPAn5Mc6R1/G3whw1YrJ5LvQR3itc9JS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2019-08-23T12:53:00Z</dcterms:created>
  <dc:creator>Joseph OLIVEROS</dc:creator>
</cp:coreProperties>
</file>