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BB" w:rsidRPr="00B841D8" w:rsidRDefault="00BA5DBB" w:rsidP="00B841D8">
      <w:pPr>
        <w:pStyle w:val="H1"/>
        <w:bidi/>
        <w:jc w:val="center"/>
        <w:rPr>
          <w:rFonts w:cs="Arial"/>
          <w:b w:val="0"/>
          <w:bCs/>
          <w:sz w:val="28"/>
          <w:szCs w:val="28"/>
          <w:rtl/>
        </w:rPr>
      </w:pPr>
      <w:r w:rsidRPr="00B841D8">
        <w:rPr>
          <w:rFonts w:cs="Arial"/>
          <w:b w:val="0"/>
          <w:bCs/>
          <w:sz w:val="28"/>
          <w:szCs w:val="28"/>
          <w:rtl/>
        </w:rPr>
        <w:t>خارطة الطريق لإدراج برامج النقد مقابل العمل في تحليل الاستجابة</w:t>
      </w:r>
    </w:p>
    <w:p w:rsidR="0081574B" w:rsidRPr="00B841D8" w:rsidRDefault="00BA5DBB" w:rsidP="00BA5DBB">
      <w:pPr>
        <w:pStyle w:val="Heading2"/>
        <w:bidi/>
        <w:rPr>
          <w:rFonts w:cs="Arial"/>
          <w:b w:val="0"/>
          <w:bCs/>
          <w:sz w:val="28"/>
          <w:szCs w:val="28"/>
          <w:rtl/>
        </w:rPr>
      </w:pPr>
      <w:r w:rsidRPr="00B841D8">
        <w:rPr>
          <w:rFonts w:cs="Arial"/>
          <w:b w:val="0"/>
          <w:bCs/>
          <w:sz w:val="28"/>
          <w:szCs w:val="28"/>
          <w:rtl/>
        </w:rPr>
        <w:t>المقدمة</w:t>
      </w:r>
    </w:p>
    <w:p w:rsidR="00BA5DBB" w:rsidRPr="00B841D8" w:rsidRDefault="00EF6A35" w:rsidP="00EF6A35">
      <w:pPr>
        <w:bidi/>
        <w:rPr>
          <w:rFonts w:cs="Arial"/>
          <w:sz w:val="28"/>
          <w:szCs w:val="28"/>
          <w:rtl/>
        </w:rPr>
      </w:pPr>
      <w:r w:rsidRPr="00B841D8">
        <w:rPr>
          <w:rFonts w:cs="Arial"/>
          <w:sz w:val="28"/>
          <w:szCs w:val="28"/>
          <w:rtl/>
        </w:rPr>
        <w:t>تركز</w:t>
      </w:r>
      <w:r w:rsidR="00BA5DBB" w:rsidRPr="00B841D8">
        <w:rPr>
          <w:rFonts w:cs="Arial"/>
          <w:sz w:val="28"/>
          <w:szCs w:val="28"/>
          <w:rtl/>
        </w:rPr>
        <w:t xml:space="preserve"> خارطة الطريق </w:t>
      </w:r>
      <w:r w:rsidRPr="00B841D8">
        <w:rPr>
          <w:rFonts w:cs="Arial"/>
          <w:sz w:val="28"/>
          <w:szCs w:val="28"/>
          <w:rtl/>
        </w:rPr>
        <w:t>على بعض</w:t>
      </w:r>
      <w:r w:rsidR="00BA5DBB" w:rsidRPr="00B841D8">
        <w:rPr>
          <w:rFonts w:cs="Arial"/>
          <w:sz w:val="28"/>
          <w:szCs w:val="28"/>
          <w:rtl/>
        </w:rPr>
        <w:t xml:space="preserve"> </w:t>
      </w:r>
      <w:r w:rsidRPr="00B841D8">
        <w:rPr>
          <w:rFonts w:cs="Arial"/>
          <w:sz w:val="28"/>
          <w:szCs w:val="28"/>
          <w:rtl/>
        </w:rPr>
        <w:t>خصائص برامج النقد مقابل العمل، وتقدم الارشادات والأدوات التي قد تساعد على إدماج هذه البرامج في عملية تحليل الاستجابة. وللحصول على ارشادات مفصلة حول برامج النقد مقابل العمل، يمكن مراجعة الوثائق المرجعية الواردة في نهاية الوثيقة.</w:t>
      </w:r>
    </w:p>
    <w:p w:rsidR="00DC1349" w:rsidRPr="00B841D8" w:rsidRDefault="00DC1349" w:rsidP="00DC1349">
      <w:pPr>
        <w:bidi/>
        <w:rPr>
          <w:rFonts w:cs="Arial"/>
          <w:sz w:val="28"/>
          <w:szCs w:val="28"/>
          <w:rtl/>
        </w:rPr>
      </w:pPr>
      <w:r w:rsidRPr="00B841D8">
        <w:rPr>
          <w:rFonts w:cs="Arial"/>
          <w:sz w:val="28"/>
          <w:szCs w:val="28"/>
          <w:rtl/>
        </w:rPr>
        <w:t>ولا بد دائماً من الامتثال للمعايير الدنيا المدرجة تحت هذه الخطوة باعتبار أن هذه المعايير كفيلة بضمان جودة الاستجابة.</w:t>
      </w:r>
    </w:p>
    <w:p w:rsidR="00EF6A35" w:rsidRPr="00B841D8" w:rsidRDefault="00DC1349" w:rsidP="00DC1349">
      <w:pPr>
        <w:bidi/>
        <w:rPr>
          <w:rFonts w:cs="Arial"/>
          <w:sz w:val="28"/>
          <w:szCs w:val="28"/>
        </w:rPr>
      </w:pPr>
      <w:r w:rsidRPr="00B841D8">
        <w:rPr>
          <w:rFonts w:cs="Arial"/>
          <w:sz w:val="28"/>
          <w:szCs w:val="28"/>
          <w:rtl/>
        </w:rPr>
        <w:t>وللحصول على المزيد من المبادئ التوجيهية حول برامج النقد مقابل العمل، يمكن مراجعة الوثائق المرجعية المقترحة في نهاية خارطة الطريق</w:t>
      </w:r>
      <w:r w:rsidRPr="00B841D8">
        <w:rPr>
          <w:rFonts w:cs="Arial"/>
          <w:sz w:val="28"/>
          <w:szCs w:val="28"/>
        </w:rPr>
        <w:t>.</w:t>
      </w:r>
    </w:p>
    <w:p w:rsidR="0081574B" w:rsidRPr="00B841D8" w:rsidRDefault="00DC1349" w:rsidP="00BA5DBB">
      <w:pPr>
        <w:pStyle w:val="Heading2"/>
        <w:bidi/>
        <w:rPr>
          <w:rFonts w:cs="Arial"/>
          <w:sz w:val="28"/>
          <w:szCs w:val="28"/>
        </w:rPr>
      </w:pPr>
      <w:r w:rsidRPr="00B841D8">
        <w:rPr>
          <w:rFonts w:cs="Arial"/>
          <w:sz w:val="28"/>
          <w:szCs w:val="28"/>
          <w:rtl/>
        </w:rPr>
        <w:t>المعايير الدنيا</w:t>
      </w:r>
    </w:p>
    <w:p w:rsidR="00DC1349" w:rsidRPr="00B841D8" w:rsidRDefault="00652BE9" w:rsidP="00652BE9">
      <w:pPr>
        <w:pStyle w:val="Bullet1"/>
        <w:bidi/>
        <w:rPr>
          <w:rFonts w:cs="Arial"/>
          <w:sz w:val="28"/>
          <w:szCs w:val="28"/>
        </w:rPr>
      </w:pPr>
      <w:r w:rsidRPr="00B841D8">
        <w:rPr>
          <w:rFonts w:cs="Arial"/>
          <w:sz w:val="28"/>
          <w:szCs w:val="28"/>
          <w:rtl/>
        </w:rPr>
        <w:t xml:space="preserve">يمكن النظر في تطبيق برامج النقد مقابل العمل عندما يتطلب الوضع </w:t>
      </w:r>
      <w:r w:rsidR="00FE50F9" w:rsidRPr="00B841D8">
        <w:rPr>
          <w:rFonts w:cs="Arial"/>
          <w:sz w:val="28"/>
          <w:szCs w:val="28"/>
          <w:rtl/>
        </w:rPr>
        <w:t>الاضطلاع  بأعمال معينة تكون مقبولة وقابلة للتنفيذ من قبل السكان المحليين.</w:t>
      </w:r>
    </w:p>
    <w:p w:rsidR="00FE50F9" w:rsidRPr="00B841D8" w:rsidRDefault="00FE50F9" w:rsidP="00FE50F9">
      <w:pPr>
        <w:pStyle w:val="Bullet1"/>
        <w:bidi/>
        <w:rPr>
          <w:rFonts w:cs="Arial"/>
          <w:sz w:val="28"/>
          <w:szCs w:val="28"/>
        </w:rPr>
      </w:pPr>
      <w:r w:rsidRPr="00B841D8">
        <w:rPr>
          <w:rFonts w:cs="Arial"/>
          <w:sz w:val="28"/>
          <w:szCs w:val="28"/>
          <w:rtl/>
        </w:rPr>
        <w:t>يكون للوكالة القدرة على تأمين المعدات والأدوات اللازمة، والإشراف اللازم، وتقديم دفعات بوتيرة متكررة.</w:t>
      </w:r>
    </w:p>
    <w:p w:rsidR="00FE50F9" w:rsidRPr="00B841D8" w:rsidRDefault="00FE50F9" w:rsidP="00FE50F9">
      <w:pPr>
        <w:pStyle w:val="Bullet1"/>
        <w:bidi/>
        <w:rPr>
          <w:rFonts w:cs="Arial"/>
          <w:sz w:val="28"/>
          <w:szCs w:val="28"/>
        </w:rPr>
      </w:pPr>
      <w:r w:rsidRPr="00B841D8">
        <w:rPr>
          <w:rFonts w:cs="Arial"/>
          <w:sz w:val="28"/>
          <w:szCs w:val="28"/>
          <w:rtl/>
        </w:rPr>
        <w:t>لا تتداخل برامج النقد مقابل العمل مع سبل العيش التقليدية أو الأنشطة الموسمية.</w:t>
      </w:r>
    </w:p>
    <w:p w:rsidR="00FE50F9" w:rsidRPr="00B841D8" w:rsidRDefault="0078174F" w:rsidP="0078174F">
      <w:pPr>
        <w:pStyle w:val="Bullet1"/>
        <w:bidi/>
        <w:rPr>
          <w:rFonts w:cs="Arial"/>
          <w:sz w:val="28"/>
          <w:szCs w:val="28"/>
        </w:rPr>
      </w:pPr>
      <w:r w:rsidRPr="00B841D8">
        <w:rPr>
          <w:rFonts w:cs="Arial"/>
          <w:sz w:val="28"/>
          <w:szCs w:val="28"/>
          <w:rtl/>
        </w:rPr>
        <w:t>الأخذ في الاعتبار التشريعات الوطنية/الضرائب، ومعدلات الأجور المحلية وغيرها من المعايير المماثلة عند تحديد الأجور الخاصة ببرامج النقد مقابل العمل.</w:t>
      </w:r>
    </w:p>
    <w:p w:rsidR="00CD6499" w:rsidRPr="00B841D8" w:rsidRDefault="00CD6499" w:rsidP="00CD6499">
      <w:pPr>
        <w:pStyle w:val="Bullet1"/>
        <w:bidi/>
        <w:rPr>
          <w:rFonts w:cs="Arial"/>
          <w:sz w:val="28"/>
          <w:szCs w:val="28"/>
        </w:rPr>
      </w:pPr>
      <w:r w:rsidRPr="00B841D8">
        <w:rPr>
          <w:rFonts w:cs="Arial"/>
          <w:sz w:val="28"/>
          <w:szCs w:val="28"/>
          <w:rtl/>
        </w:rPr>
        <w:t>النظر في آليات دعم أخرى للأسر غير القادرة على العمل</w:t>
      </w:r>
    </w:p>
    <w:p w:rsidR="00CD6499" w:rsidRPr="00B841D8" w:rsidRDefault="00CD6499" w:rsidP="00CD6499">
      <w:pPr>
        <w:pStyle w:val="Bullet1"/>
        <w:bidi/>
        <w:rPr>
          <w:rFonts w:cs="Arial"/>
          <w:sz w:val="28"/>
          <w:szCs w:val="28"/>
        </w:rPr>
      </w:pPr>
      <w:r w:rsidRPr="00B841D8">
        <w:rPr>
          <w:rFonts w:cs="Arial"/>
          <w:sz w:val="28"/>
          <w:szCs w:val="28"/>
          <w:rtl/>
        </w:rPr>
        <w:t>التأكد من أن برامج النقد مقابل العمل لا تشكل أعباء إضافية بالنسبة للنساء</w:t>
      </w:r>
    </w:p>
    <w:p w:rsidR="00CD6499" w:rsidRPr="00B841D8" w:rsidRDefault="00932DB0" w:rsidP="00CD6499">
      <w:pPr>
        <w:pStyle w:val="Bullet1"/>
        <w:bidi/>
        <w:rPr>
          <w:rFonts w:cs="Arial"/>
          <w:sz w:val="28"/>
          <w:szCs w:val="28"/>
        </w:rPr>
      </w:pPr>
      <w:r w:rsidRPr="00B841D8">
        <w:rPr>
          <w:rFonts w:cs="Arial"/>
          <w:sz w:val="28"/>
          <w:szCs w:val="28"/>
          <w:rtl/>
        </w:rPr>
        <w:t>تحديد الأعمار المناسبة للمشاركة في برامج النقد مقابل العمل بما يتوافق مع التشريعات المحلية، لتفادي عمالة الأطفال.</w:t>
      </w:r>
    </w:p>
    <w:p w:rsidR="0081574B" w:rsidRPr="00B841D8" w:rsidRDefault="00932DB0" w:rsidP="00BA5DBB">
      <w:pPr>
        <w:pStyle w:val="Heading2"/>
        <w:bidi/>
        <w:rPr>
          <w:rFonts w:cs="Arial"/>
          <w:b w:val="0"/>
          <w:bCs/>
          <w:sz w:val="28"/>
          <w:szCs w:val="28"/>
        </w:rPr>
      </w:pPr>
      <w:r w:rsidRPr="00B841D8">
        <w:rPr>
          <w:rFonts w:cs="Arial"/>
          <w:b w:val="0"/>
          <w:bCs/>
          <w:sz w:val="28"/>
          <w:szCs w:val="28"/>
          <w:rtl/>
        </w:rPr>
        <w:t xml:space="preserve">الخطوات الفرعية والأدوات </w:t>
      </w:r>
    </w:p>
    <w:p w:rsidR="0081574B" w:rsidRPr="00B841D8" w:rsidRDefault="00932DB0" w:rsidP="00BA5DBB">
      <w:pPr>
        <w:pStyle w:val="Heading3"/>
        <w:bidi/>
        <w:rPr>
          <w:rFonts w:cs="Arial"/>
          <w:b w:val="0"/>
          <w:bCs/>
          <w:sz w:val="28"/>
          <w:szCs w:val="28"/>
          <w:rtl/>
        </w:rPr>
      </w:pPr>
      <w:r w:rsidRPr="00B841D8">
        <w:rPr>
          <w:rFonts w:cs="Arial"/>
          <w:b w:val="0"/>
          <w:bCs/>
          <w:sz w:val="28"/>
          <w:szCs w:val="28"/>
          <w:rtl/>
        </w:rPr>
        <w:t>النظر في ملاءمة برامج النقد مقابل العمل</w:t>
      </w:r>
    </w:p>
    <w:p w:rsidR="00B56883" w:rsidRPr="00B841D8" w:rsidRDefault="005F3E78" w:rsidP="005F3E78">
      <w:pPr>
        <w:bidi/>
        <w:rPr>
          <w:rFonts w:cs="Arial"/>
          <w:sz w:val="28"/>
          <w:szCs w:val="28"/>
          <w:rtl/>
        </w:rPr>
      </w:pPr>
      <w:r w:rsidRPr="00B841D8">
        <w:rPr>
          <w:rFonts w:cs="Arial"/>
          <w:sz w:val="28"/>
          <w:szCs w:val="28"/>
          <w:rtl/>
        </w:rPr>
        <w:t xml:space="preserve">يتطلب تحليل قابلية تنفيذ برامج النقد مقابل العمل وملائمتها النظر في خصائص هذه البرامج. فهي قد تشكل خيار استجابة عند يكون من الضروري اللجوء إلى العمل، وعندما يكون السكان قادرين على الاضطلاع به، وتكون المعدات متاحة والاشراف الفني مؤمّن. ومن الضروري ايضاً الاطلاع على وقت التنفيذ وتكلفته، بما في ذلك اختيار الوظائف، وتصميم البرنامج، والإشراف، والدعم الفني، وتأمين المعدات.  وأخيراً، </w:t>
      </w:r>
      <w:r w:rsidR="009C6937" w:rsidRPr="00B841D8">
        <w:rPr>
          <w:rFonts w:cs="Arial"/>
          <w:sz w:val="28"/>
          <w:szCs w:val="28"/>
          <w:rtl/>
        </w:rPr>
        <w:t>يجب الاطلاع على الآثار المحتمل</w:t>
      </w:r>
      <w:r w:rsidR="003A3994" w:rsidRPr="00B841D8">
        <w:rPr>
          <w:rFonts w:cs="Arial"/>
          <w:sz w:val="28"/>
          <w:szCs w:val="28"/>
          <w:rtl/>
        </w:rPr>
        <w:t>ة للعمل على حياة الأفراد والأسواق المحليّة.</w:t>
      </w:r>
    </w:p>
    <w:p w:rsidR="00932DB0" w:rsidRPr="00B841D8" w:rsidRDefault="00932DB0" w:rsidP="00932DB0">
      <w:pPr>
        <w:bidi/>
        <w:rPr>
          <w:rFonts w:cs="Arial"/>
          <w:sz w:val="28"/>
          <w:szCs w:val="28"/>
        </w:rPr>
      </w:pPr>
    </w:p>
    <w:p w:rsidR="003A3994" w:rsidRPr="00B841D8" w:rsidRDefault="003A3994" w:rsidP="003A3994">
      <w:pPr>
        <w:bidi/>
        <w:rPr>
          <w:rFonts w:cs="Arial"/>
          <w:b/>
          <w:bCs/>
          <w:sz w:val="28"/>
          <w:szCs w:val="28"/>
          <w:rtl/>
        </w:rPr>
      </w:pPr>
      <w:r w:rsidRPr="00B841D8">
        <w:rPr>
          <w:rFonts w:cs="Arial"/>
          <w:b/>
          <w:bCs/>
          <w:sz w:val="28"/>
          <w:szCs w:val="28"/>
          <w:rtl/>
        </w:rPr>
        <w:t>تحديد معدل الأجور لبرامج النقد مقابل العمل</w:t>
      </w:r>
    </w:p>
    <w:p w:rsidR="003A3994" w:rsidRPr="00B841D8" w:rsidRDefault="003A3994" w:rsidP="003A3994">
      <w:pPr>
        <w:bidi/>
        <w:rPr>
          <w:rFonts w:cs="Arial"/>
          <w:sz w:val="28"/>
          <w:szCs w:val="28"/>
        </w:rPr>
      </w:pPr>
      <w:r w:rsidRPr="00B841D8">
        <w:rPr>
          <w:rFonts w:cs="Arial"/>
          <w:sz w:val="28"/>
          <w:szCs w:val="28"/>
          <w:rtl/>
        </w:rPr>
        <w:t xml:space="preserve">تتشابه عملية تحديد معدل الأجور لبرامج النقد مقابل العمل </w:t>
      </w:r>
      <w:r w:rsidR="004013E3" w:rsidRPr="00B841D8">
        <w:rPr>
          <w:rFonts w:cs="Arial"/>
          <w:sz w:val="28"/>
          <w:szCs w:val="28"/>
          <w:rtl/>
        </w:rPr>
        <w:t xml:space="preserve">بعمليات تحديد قيمة أي تحويلات نقدية أخرى. ولكن، لا بد من التركيز فيها على المسائل المتعلقة بالأجور ووتيرة الدفع، وتوقيته. وتكون القرارات في هذه العملية تتمحور حول </w:t>
      </w:r>
      <w:r w:rsidR="0011225C" w:rsidRPr="00B841D8">
        <w:rPr>
          <w:rFonts w:cs="Arial"/>
          <w:sz w:val="28"/>
          <w:szCs w:val="28"/>
          <w:rtl/>
        </w:rPr>
        <w:t>ما إذا كانت معدلات الأجور ستقاس بحسب المخرجات، الإطار الزمني، أو يوم العمل.</w:t>
      </w:r>
    </w:p>
    <w:p w:rsidR="0081574B" w:rsidRPr="00B841D8" w:rsidRDefault="0011225C" w:rsidP="00BA5DBB">
      <w:pPr>
        <w:pStyle w:val="Heading3"/>
        <w:keepLines/>
        <w:bidi/>
        <w:rPr>
          <w:rFonts w:cs="Arial"/>
          <w:b w:val="0"/>
          <w:bCs/>
          <w:sz w:val="28"/>
          <w:szCs w:val="28"/>
          <w:rtl/>
        </w:rPr>
      </w:pPr>
      <w:r w:rsidRPr="00B841D8">
        <w:rPr>
          <w:rFonts w:cs="Arial"/>
          <w:b w:val="0"/>
          <w:bCs/>
          <w:sz w:val="28"/>
          <w:szCs w:val="28"/>
          <w:rtl/>
        </w:rPr>
        <w:lastRenderedPageBreak/>
        <w:t>الاستهداف للمشاركة في برامج النقد مقابل العمل</w:t>
      </w:r>
    </w:p>
    <w:p w:rsidR="0011225C" w:rsidRPr="00B841D8" w:rsidRDefault="0011225C" w:rsidP="0011225C">
      <w:pPr>
        <w:bidi/>
        <w:rPr>
          <w:rFonts w:cs="Arial"/>
          <w:sz w:val="28"/>
          <w:szCs w:val="28"/>
          <w:rtl/>
        </w:rPr>
      </w:pPr>
      <w:r w:rsidRPr="00B841D8">
        <w:rPr>
          <w:rFonts w:cs="Arial"/>
          <w:sz w:val="28"/>
          <w:szCs w:val="28"/>
          <w:rtl/>
        </w:rPr>
        <w:t xml:space="preserve">تتبع عملية الاستهداف في برامج النقد مقابل العمل نفس الخطوات التي تتبعها برامج التحويلات النقدية الأخرى، مع الأخذ في الاعتبار الخصائص المرتبطة باختيار أفراد المجتمع، ومشاركة فئات معينة، واختيار وسائل الاستهداف. </w:t>
      </w:r>
      <w:r w:rsidR="00A81C15" w:rsidRPr="00B841D8">
        <w:rPr>
          <w:rFonts w:cs="Arial"/>
          <w:sz w:val="28"/>
          <w:szCs w:val="28"/>
          <w:rtl/>
        </w:rPr>
        <w:t>وعندما تكون برامج النقد مقابل العمل مصممة بعناية، يمكن أن ينتج عنها مستوى معين من الاستهداف الذاتي. ولكن لا يمكن توقع مدى الاستهداف الذاتي للسكان المتضررين، لذك يجب التخطيط لوسائل دورية وبديلة للاستهداف.</w:t>
      </w:r>
    </w:p>
    <w:p w:rsidR="00A81C15" w:rsidRPr="00B841D8" w:rsidRDefault="00A81C15" w:rsidP="003D14E8">
      <w:pPr>
        <w:bidi/>
        <w:rPr>
          <w:rFonts w:cs="Arial"/>
          <w:sz w:val="28"/>
          <w:szCs w:val="28"/>
        </w:rPr>
      </w:pPr>
      <w:r w:rsidRPr="00B841D8">
        <w:rPr>
          <w:rFonts w:cs="Arial"/>
          <w:sz w:val="28"/>
          <w:szCs w:val="28"/>
          <w:rtl/>
        </w:rPr>
        <w:t xml:space="preserve">وبما أن برامج النقد مقابل العمل تتطلب أن يكون الأفراد قادرين على الإضطلاع بعمل ما، لا تستطيع بعض الفئات الضعيفة المشاركة فيها مباشرة (كبار السن، ذوي الاحتياجات الخاصة)، إلا إذا كانت عملية الاستهداف </w:t>
      </w:r>
      <w:r w:rsidR="003D14E8" w:rsidRPr="00B841D8">
        <w:rPr>
          <w:rFonts w:cs="Arial"/>
          <w:sz w:val="28"/>
          <w:szCs w:val="28"/>
          <w:rtl/>
        </w:rPr>
        <w:t>على مستوى الأسرة وتدخّل فرد آخر من العائلة للقيام بالعمل بالنيابة عن الأفراد الضعفاء.</w:t>
      </w:r>
    </w:p>
    <w:p w:rsidR="007A2CC8" w:rsidRPr="00B841D8" w:rsidRDefault="007A2CC8" w:rsidP="003D14E8">
      <w:pPr>
        <w:bidi/>
        <w:spacing w:after="360"/>
        <w:rPr>
          <w:rFonts w:cs="Arial"/>
          <w:sz w:val="28"/>
          <w:szCs w:val="28"/>
        </w:rPr>
      </w:pPr>
    </w:p>
    <w:tbl>
      <w:tblPr>
        <w:tblStyle w:val="TableGray"/>
        <w:tblW w:w="0" w:type="auto"/>
        <w:tblLook w:val="04A0"/>
      </w:tblPr>
      <w:tblGrid>
        <w:gridCol w:w="9848"/>
      </w:tblGrid>
      <w:tr w:rsidR="005D27CE" w:rsidRPr="00B841D8" w:rsidTr="005D27CE">
        <w:tc>
          <w:tcPr>
            <w:tcW w:w="9848" w:type="dxa"/>
          </w:tcPr>
          <w:p w:rsidR="005D27CE" w:rsidRPr="00B841D8" w:rsidRDefault="0011225C" w:rsidP="00BA5DBB">
            <w:pPr>
              <w:pStyle w:val="RefTitre"/>
              <w:bidi/>
              <w:rPr>
                <w:rFonts w:cs="Arial"/>
                <w:sz w:val="28"/>
                <w:szCs w:val="28"/>
              </w:rPr>
            </w:pPr>
            <w:r w:rsidRPr="00B841D8">
              <w:rPr>
                <w:rFonts w:cs="Arial"/>
                <w:sz w:val="28"/>
                <w:szCs w:val="28"/>
                <w:rtl/>
              </w:rPr>
              <w:t>المراجع</w:t>
            </w:r>
          </w:p>
          <w:p w:rsidR="005D27CE" w:rsidRPr="00B841D8" w:rsidRDefault="005D27CE" w:rsidP="00BA5DBB">
            <w:pPr>
              <w:pStyle w:val="RefItem1"/>
              <w:bidi/>
              <w:rPr>
                <w:rFonts w:cs="Arial"/>
                <w:sz w:val="28"/>
                <w:szCs w:val="28"/>
              </w:rPr>
            </w:pPr>
            <w:r w:rsidRPr="00B841D8">
              <w:rPr>
                <w:rFonts w:cs="Arial"/>
                <w:sz w:val="28"/>
                <w:szCs w:val="28"/>
              </w:rPr>
              <w:t xml:space="preserve">Guidelines for cash transfer programming - International Red Cross and Red Crescent Movement. </w:t>
            </w:r>
            <w:hyperlink r:id="rId7" w:history="1">
              <w:r w:rsidRPr="00B841D8">
                <w:rPr>
                  <w:rStyle w:val="Hyperlink"/>
                  <w:rFonts w:cs="Arial"/>
                  <w:sz w:val="28"/>
                  <w:szCs w:val="28"/>
                </w:rPr>
                <w:t>http://www.ifrc.org/Global/Publications/disasters/finance/cash-guidelines-en.pdf</w:t>
              </w:r>
            </w:hyperlink>
          </w:p>
          <w:p w:rsidR="005D27CE" w:rsidRPr="00B841D8" w:rsidRDefault="005D27CE" w:rsidP="00BA5DBB">
            <w:pPr>
              <w:pStyle w:val="RefItem1"/>
              <w:bidi/>
              <w:rPr>
                <w:rFonts w:cs="Arial"/>
                <w:sz w:val="28"/>
                <w:szCs w:val="28"/>
              </w:rPr>
            </w:pPr>
            <w:r w:rsidRPr="00B841D8">
              <w:rPr>
                <w:rFonts w:cs="Arial"/>
                <w:sz w:val="28"/>
                <w:szCs w:val="28"/>
              </w:rPr>
              <w:t xml:space="preserve">Guide to Cash-for-Work Programming (2007) Mercy Corps </w:t>
            </w:r>
            <w:hyperlink r:id="rId8" w:history="1">
              <w:r w:rsidRPr="00B841D8">
                <w:rPr>
                  <w:rStyle w:val="Hyperlink"/>
                  <w:rFonts w:cs="Arial"/>
                  <w:sz w:val="28"/>
                  <w:szCs w:val="28"/>
                </w:rPr>
                <w:t>http://www.mercycorps.org/files/file1179375619.pdf</w:t>
              </w:r>
            </w:hyperlink>
          </w:p>
          <w:p w:rsidR="005D27CE" w:rsidRPr="00B841D8" w:rsidRDefault="005D27CE" w:rsidP="00BA5DBB">
            <w:pPr>
              <w:pStyle w:val="RefItem1"/>
              <w:bidi/>
              <w:rPr>
                <w:rFonts w:cs="Arial"/>
                <w:sz w:val="28"/>
                <w:szCs w:val="28"/>
              </w:rPr>
            </w:pPr>
            <w:r w:rsidRPr="00B841D8">
              <w:rPr>
                <w:rFonts w:eastAsia="Times New Roman" w:cs="Arial"/>
                <w:kern w:val="36"/>
                <w:sz w:val="28"/>
                <w:szCs w:val="28"/>
              </w:rPr>
              <w:t xml:space="preserve">Public works as a safety net : design, evidence, and implementation (2012) The World Bank </w:t>
            </w:r>
            <w:hyperlink r:id="rId9" w:history="1">
              <w:r w:rsidRPr="00B841D8">
                <w:rPr>
                  <w:rStyle w:val="Hyperlink"/>
                  <w:rFonts w:eastAsia="Times New Roman" w:cs="Arial"/>
                  <w:kern w:val="36"/>
                  <w:sz w:val="28"/>
                  <w:szCs w:val="28"/>
                </w:rPr>
                <w:t>http://www.documents.worldbank.org/curated/en/2012/11/16988159/public-works-safety-net-design-evidence-implementation</w:t>
              </w:r>
            </w:hyperlink>
          </w:p>
          <w:p w:rsidR="005D27CE" w:rsidRPr="00B841D8" w:rsidRDefault="005D27CE" w:rsidP="00BA5DBB">
            <w:pPr>
              <w:pStyle w:val="RefItem1"/>
              <w:bidi/>
              <w:rPr>
                <w:rFonts w:cs="Arial"/>
                <w:sz w:val="28"/>
                <w:szCs w:val="28"/>
              </w:rPr>
            </w:pPr>
            <w:r w:rsidRPr="00B841D8">
              <w:rPr>
                <w:rFonts w:cs="Arial"/>
                <w:sz w:val="28"/>
                <w:szCs w:val="28"/>
              </w:rPr>
              <w:t xml:space="preserve">Harvey, P., Bailey, S. (2011) Good Practice Review: Cash transfer programming in emergencies. Humanitarian Practice Network </w:t>
            </w:r>
            <w:r w:rsidRPr="00B841D8">
              <w:rPr>
                <w:rFonts w:cs="Arial"/>
                <w:sz w:val="28"/>
                <w:szCs w:val="28"/>
              </w:rPr>
              <w:br/>
            </w:r>
            <w:hyperlink r:id="rId10" w:history="1">
              <w:r w:rsidRPr="00B841D8">
                <w:rPr>
                  <w:rStyle w:val="Hyperlink"/>
                  <w:rFonts w:cs="Arial"/>
                  <w:sz w:val="28"/>
                  <w:szCs w:val="28"/>
                </w:rPr>
                <w:t>http://www.odihpn.org/documents%2Fgpr11.pdf</w:t>
              </w:r>
            </w:hyperlink>
          </w:p>
          <w:p w:rsidR="005D27CE" w:rsidRPr="00B841D8" w:rsidRDefault="005D27CE" w:rsidP="00BA5DBB">
            <w:pPr>
              <w:pStyle w:val="RefItem1"/>
              <w:bidi/>
              <w:rPr>
                <w:rFonts w:cs="Arial"/>
                <w:sz w:val="28"/>
                <w:szCs w:val="28"/>
              </w:rPr>
            </w:pPr>
            <w:r w:rsidRPr="00B841D8">
              <w:rPr>
                <w:rFonts w:cs="Arial"/>
                <w:sz w:val="28"/>
                <w:szCs w:val="28"/>
              </w:rPr>
              <w:t xml:space="preserve">Cash transfer programming in emergencies (2006) Oxfam GB </w:t>
            </w:r>
            <w:r w:rsidRPr="00B841D8">
              <w:rPr>
                <w:rFonts w:cs="Arial"/>
                <w:sz w:val="28"/>
                <w:szCs w:val="28"/>
              </w:rPr>
              <w:br/>
            </w:r>
            <w:hyperlink r:id="rId11" w:history="1">
              <w:r w:rsidRPr="00B841D8">
                <w:rPr>
                  <w:rStyle w:val="Hyperlink"/>
                  <w:rFonts w:cs="Arial"/>
                  <w:sz w:val="28"/>
                  <w:szCs w:val="28"/>
                </w:rPr>
                <w:t>http://www.policy-practice.oxfam.org.uk/publications/cash-transfer-programming-in-emergencies-115356</w:t>
              </w:r>
            </w:hyperlink>
          </w:p>
        </w:tc>
      </w:tr>
    </w:tbl>
    <w:p w:rsidR="005D27CE" w:rsidRPr="00B841D8" w:rsidRDefault="005D27CE" w:rsidP="00BA5DBB">
      <w:pPr>
        <w:bidi/>
        <w:rPr>
          <w:rFonts w:cs="Arial"/>
          <w:sz w:val="28"/>
          <w:szCs w:val="28"/>
        </w:rPr>
      </w:pPr>
    </w:p>
    <w:sectPr w:rsidR="005D27CE" w:rsidRPr="00B841D8" w:rsidSect="002675BD">
      <w:headerReference w:type="default" r:id="rId12"/>
      <w:footerReference w:type="even" r:id="rId13"/>
      <w:footerReference w:type="default" r:id="rId14"/>
      <w:pgSz w:w="11900" w:h="16840"/>
      <w:pgMar w:top="1134" w:right="1134"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9F" w:rsidRDefault="00A8189F" w:rsidP="00B22196">
      <w:r>
        <w:separator/>
      </w:r>
    </w:p>
  </w:endnote>
  <w:endnote w:type="continuationSeparator" w:id="1">
    <w:p w:rsidR="00A8189F" w:rsidRDefault="00A8189F" w:rsidP="00B22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53" w:rsidRDefault="00614E58" w:rsidP="00B22196">
    <w:pPr>
      <w:pStyle w:val="Footer"/>
      <w:framePr w:wrap="around" w:vAnchor="text" w:hAnchor="margin" w:xAlign="right" w:y="1"/>
      <w:rPr>
        <w:rStyle w:val="PageNumber"/>
      </w:rPr>
    </w:pPr>
    <w:r>
      <w:rPr>
        <w:rStyle w:val="PageNumber"/>
      </w:rPr>
      <w:fldChar w:fldCharType="begin"/>
    </w:r>
    <w:r w:rsidR="00AC2953">
      <w:rPr>
        <w:rStyle w:val="PageNumber"/>
      </w:rPr>
      <w:instrText xml:space="preserve">PAGE  </w:instrText>
    </w:r>
    <w:r>
      <w:rPr>
        <w:rStyle w:val="PageNumber"/>
      </w:rPr>
      <w:fldChar w:fldCharType="end"/>
    </w:r>
  </w:p>
  <w:p w:rsidR="00AC2953" w:rsidRDefault="00AC2953" w:rsidP="00B221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CE" w:rsidRPr="00751C9C" w:rsidRDefault="00614E58" w:rsidP="00B45C74">
    <w:pPr>
      <w:framePr w:wrap="around" w:vAnchor="text" w:hAnchor="margin" w:xAlign="right" w:y="1"/>
      <w:tabs>
        <w:tab w:val="center" w:pos="4320"/>
        <w:tab w:val="right" w:pos="8640"/>
      </w:tabs>
      <w:spacing w:after="0"/>
      <w:rPr>
        <w:b/>
        <w:color w:val="808080" w:themeColor="background1" w:themeShade="80"/>
        <w:sz w:val="16"/>
        <w:szCs w:val="16"/>
      </w:rPr>
    </w:pPr>
    <w:r w:rsidRPr="00751C9C">
      <w:rPr>
        <w:b/>
        <w:color w:val="808080" w:themeColor="background1" w:themeShade="80"/>
        <w:sz w:val="16"/>
        <w:szCs w:val="16"/>
      </w:rPr>
      <w:fldChar w:fldCharType="begin"/>
    </w:r>
    <w:r w:rsidR="005D27CE" w:rsidRPr="00751C9C">
      <w:rPr>
        <w:b/>
        <w:color w:val="808080" w:themeColor="background1" w:themeShade="80"/>
        <w:sz w:val="16"/>
        <w:szCs w:val="16"/>
      </w:rPr>
      <w:instrText xml:space="preserve">PAGE  </w:instrText>
    </w:r>
    <w:r w:rsidRPr="00751C9C">
      <w:rPr>
        <w:b/>
        <w:color w:val="808080" w:themeColor="background1" w:themeShade="80"/>
        <w:sz w:val="16"/>
        <w:szCs w:val="16"/>
      </w:rPr>
      <w:fldChar w:fldCharType="separate"/>
    </w:r>
    <w:r w:rsidR="00B841D8">
      <w:rPr>
        <w:b/>
        <w:noProof/>
        <w:color w:val="808080" w:themeColor="background1" w:themeShade="80"/>
        <w:sz w:val="16"/>
        <w:szCs w:val="16"/>
      </w:rPr>
      <w:t>2</w:t>
    </w:r>
    <w:r w:rsidRPr="00751C9C">
      <w:rPr>
        <w:b/>
        <w:color w:val="808080" w:themeColor="background1" w:themeShade="80"/>
        <w:sz w:val="16"/>
        <w:szCs w:val="16"/>
      </w:rPr>
      <w:fldChar w:fldCharType="end"/>
    </w:r>
  </w:p>
  <w:p w:rsidR="005D27CE" w:rsidRPr="003A3500" w:rsidRDefault="00751C9C" w:rsidP="00ED1B2B">
    <w:pPr>
      <w:pStyle w:val="Footer"/>
    </w:pPr>
    <w:r w:rsidRPr="00751C9C">
      <w:t xml:space="preserve">Modalities Box – Cash for work - </w:t>
    </w:r>
    <w:fldSimple w:instr=" STYLEREF  H1 \t  \* MERGEFORMAT ">
      <w:r w:rsidR="00B841D8">
        <w:rPr>
          <w:noProof/>
          <w:rtl/>
        </w:rPr>
        <w:t>خارطة الطريق لإدراج برامج النقد مقابل العمل في تحليل الاستجابة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9F" w:rsidRDefault="00A8189F" w:rsidP="00B22196">
      <w:r>
        <w:separator/>
      </w:r>
    </w:p>
  </w:footnote>
  <w:footnote w:type="continuationSeparator" w:id="1">
    <w:p w:rsidR="00A8189F" w:rsidRDefault="00A8189F" w:rsidP="00B22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CE" w:rsidRPr="00074036" w:rsidRDefault="005D27CE"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94AEE"/>
    <w:multiLevelType w:val="hybridMultilevel"/>
    <w:tmpl w:val="C40C88E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163F1"/>
    <w:multiLevelType w:val="hybridMultilevel"/>
    <w:tmpl w:val="CCA8089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233B2"/>
    <w:multiLevelType w:val="hybridMultilevel"/>
    <w:tmpl w:val="F47CE1D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2"/>
  </w:num>
  <w:num w:numId="6">
    <w:abstractNumId w:val="11"/>
  </w:num>
  <w:num w:numId="7">
    <w:abstractNumId w:val="1"/>
  </w:num>
  <w:num w:numId="8">
    <w:abstractNumId w:val="0"/>
  </w:num>
  <w:num w:numId="9">
    <w:abstractNumId w:val="7"/>
  </w:num>
  <w:num w:numId="10">
    <w:abstractNumId w:val="3"/>
  </w:num>
  <w:num w:numId="11">
    <w:abstractNumId w:val="8"/>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865679"/>
    <w:rsid w:val="00030B5A"/>
    <w:rsid w:val="0004794B"/>
    <w:rsid w:val="00056921"/>
    <w:rsid w:val="00071EC8"/>
    <w:rsid w:val="0008714B"/>
    <w:rsid w:val="00090DB5"/>
    <w:rsid w:val="000A52AC"/>
    <w:rsid w:val="000B61A2"/>
    <w:rsid w:val="000C7DF3"/>
    <w:rsid w:val="000E62CA"/>
    <w:rsid w:val="0011225C"/>
    <w:rsid w:val="00186178"/>
    <w:rsid w:val="00192129"/>
    <w:rsid w:val="001A5796"/>
    <w:rsid w:val="0023417F"/>
    <w:rsid w:val="002675BD"/>
    <w:rsid w:val="00287D55"/>
    <w:rsid w:val="00296E5C"/>
    <w:rsid w:val="002B2C96"/>
    <w:rsid w:val="002D7689"/>
    <w:rsid w:val="00393AE0"/>
    <w:rsid w:val="003A3994"/>
    <w:rsid w:val="003A3F40"/>
    <w:rsid w:val="003D14E8"/>
    <w:rsid w:val="004013E3"/>
    <w:rsid w:val="0041096E"/>
    <w:rsid w:val="00415037"/>
    <w:rsid w:val="00415459"/>
    <w:rsid w:val="004376AB"/>
    <w:rsid w:val="004A5C46"/>
    <w:rsid w:val="00515FF4"/>
    <w:rsid w:val="00537A4C"/>
    <w:rsid w:val="005B45AB"/>
    <w:rsid w:val="005D27CE"/>
    <w:rsid w:val="005E111A"/>
    <w:rsid w:val="005F3E78"/>
    <w:rsid w:val="00614E58"/>
    <w:rsid w:val="0065186F"/>
    <w:rsid w:val="00652BE9"/>
    <w:rsid w:val="00683E1F"/>
    <w:rsid w:val="007374AC"/>
    <w:rsid w:val="00751C9C"/>
    <w:rsid w:val="0078174F"/>
    <w:rsid w:val="007A2CC8"/>
    <w:rsid w:val="007B4FF7"/>
    <w:rsid w:val="0081574B"/>
    <w:rsid w:val="008419B8"/>
    <w:rsid w:val="00865679"/>
    <w:rsid w:val="00890CE8"/>
    <w:rsid w:val="008D5EF6"/>
    <w:rsid w:val="008E42E0"/>
    <w:rsid w:val="008E6004"/>
    <w:rsid w:val="008E7EFC"/>
    <w:rsid w:val="008F5F86"/>
    <w:rsid w:val="00932DB0"/>
    <w:rsid w:val="009636D9"/>
    <w:rsid w:val="009C6937"/>
    <w:rsid w:val="00A3040F"/>
    <w:rsid w:val="00A8189F"/>
    <w:rsid w:val="00A81C15"/>
    <w:rsid w:val="00AB4350"/>
    <w:rsid w:val="00AC0508"/>
    <w:rsid w:val="00AC2953"/>
    <w:rsid w:val="00AD397F"/>
    <w:rsid w:val="00AE6A2C"/>
    <w:rsid w:val="00B22196"/>
    <w:rsid w:val="00B54014"/>
    <w:rsid w:val="00B555FE"/>
    <w:rsid w:val="00B56883"/>
    <w:rsid w:val="00B841D8"/>
    <w:rsid w:val="00BA5DBB"/>
    <w:rsid w:val="00BB2395"/>
    <w:rsid w:val="00BB30F8"/>
    <w:rsid w:val="00BD66EA"/>
    <w:rsid w:val="00C044E8"/>
    <w:rsid w:val="00C06324"/>
    <w:rsid w:val="00C10194"/>
    <w:rsid w:val="00C67085"/>
    <w:rsid w:val="00CA3577"/>
    <w:rsid w:val="00CD6499"/>
    <w:rsid w:val="00CE4BCB"/>
    <w:rsid w:val="00D14DA0"/>
    <w:rsid w:val="00D40310"/>
    <w:rsid w:val="00D51D56"/>
    <w:rsid w:val="00D8778C"/>
    <w:rsid w:val="00DB76FF"/>
    <w:rsid w:val="00DC1349"/>
    <w:rsid w:val="00E15F32"/>
    <w:rsid w:val="00E727BC"/>
    <w:rsid w:val="00EA4CCD"/>
    <w:rsid w:val="00ED6FD9"/>
    <w:rsid w:val="00EF6A35"/>
    <w:rsid w:val="00F54DC7"/>
    <w:rsid w:val="00FB4F35"/>
    <w:rsid w:val="00FE50F9"/>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F6"/>
    <w:pPr>
      <w:spacing w:after="120"/>
      <w:jc w:val="both"/>
    </w:pPr>
    <w:rPr>
      <w:rFonts w:ascii="Arial" w:hAnsi="Arial" w:cs="Times New Roman"/>
    </w:rPr>
  </w:style>
  <w:style w:type="paragraph" w:styleId="Heading1">
    <w:name w:val="heading 1"/>
    <w:basedOn w:val="H1"/>
    <w:next w:val="Normal"/>
    <w:link w:val="Heading1Char"/>
    <w:uiPriority w:val="9"/>
    <w:rsid w:val="008D5EF6"/>
  </w:style>
  <w:style w:type="paragraph" w:styleId="Heading2">
    <w:name w:val="heading 2"/>
    <w:basedOn w:val="Normal"/>
    <w:next w:val="Normal"/>
    <w:link w:val="Heading2Char"/>
    <w:uiPriority w:val="9"/>
    <w:unhideWhenUsed/>
    <w:qFormat/>
    <w:rsid w:val="008D5EF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D5EF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Textetable">
    <w:name w:val="Textetable"/>
    <w:basedOn w:val="Normal"/>
    <w:rsid w:val="0011189D"/>
    <w:pPr>
      <w:spacing w:before="80" w:after="80"/>
    </w:pPr>
    <w:rPr>
      <w:rFonts w:eastAsia="Times New Roman"/>
      <w:szCs w:val="24"/>
      <w:lang w:eastAsia="fr-FR"/>
    </w:rPr>
  </w:style>
  <w:style w:type="table" w:styleId="TableGrid">
    <w:name w:val="Table Grid"/>
    <w:basedOn w:val="TableNormal"/>
    <w:uiPriority w:val="59"/>
    <w:rsid w:val="008D5EF6"/>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D5EF6"/>
    <w:pPr>
      <w:spacing w:after="240"/>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8D5E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EF6"/>
    <w:rPr>
      <w:rFonts w:ascii="Lucida Grande" w:hAnsi="Lucida Grande" w:cs="Lucida Grande"/>
      <w:sz w:val="18"/>
      <w:szCs w:val="18"/>
    </w:rPr>
  </w:style>
  <w:style w:type="paragraph" w:styleId="Revision">
    <w:name w:val="Revision"/>
    <w:hidden/>
    <w:uiPriority w:val="99"/>
    <w:semiHidden/>
    <w:rsid w:val="008D5EF6"/>
    <w:rPr>
      <w:rFonts w:ascii="Arial" w:hAnsi="Arial" w:cs="Arial"/>
      <w:sz w:val="21"/>
      <w:szCs w:val="21"/>
    </w:rPr>
  </w:style>
  <w:style w:type="character" w:styleId="Hyperlink">
    <w:name w:val="Hyperlink"/>
    <w:basedOn w:val="DefaultParagraphFont"/>
    <w:uiPriority w:val="99"/>
    <w:unhideWhenUsed/>
    <w:rsid w:val="008D5EF6"/>
    <w:rPr>
      <w:color w:val="0000FF" w:themeColor="hyperlink"/>
      <w:u w:val="single"/>
    </w:rPr>
  </w:style>
  <w:style w:type="character" w:customStyle="1" w:styleId="Heading1Char">
    <w:name w:val="Heading 1 Char"/>
    <w:basedOn w:val="DefaultParagraphFont"/>
    <w:link w:val="Heading1"/>
    <w:uiPriority w:val="9"/>
    <w:rsid w:val="008D5EF6"/>
    <w:rPr>
      <w:rFonts w:ascii="Arial" w:hAnsi="Arial" w:cs="Times New Roman"/>
      <w:b/>
      <w:sz w:val="40"/>
      <w:szCs w:val="52"/>
    </w:rPr>
  </w:style>
  <w:style w:type="character" w:styleId="FollowedHyperlink">
    <w:name w:val="FollowedHyperlink"/>
    <w:basedOn w:val="DefaultParagraphFont"/>
    <w:uiPriority w:val="99"/>
    <w:semiHidden/>
    <w:unhideWhenUsed/>
    <w:rsid w:val="008D5EF6"/>
    <w:rPr>
      <w:color w:val="800080" w:themeColor="followedHyperlink"/>
      <w:u w:val="single"/>
    </w:rPr>
  </w:style>
  <w:style w:type="paragraph" w:styleId="Footer">
    <w:name w:val="footer"/>
    <w:basedOn w:val="Normal"/>
    <w:link w:val="FooterChar"/>
    <w:uiPriority w:val="99"/>
    <w:unhideWhenUsed/>
    <w:rsid w:val="008D5EF6"/>
    <w:pPr>
      <w:spacing w:after="0"/>
      <w:jc w:val="left"/>
    </w:pPr>
    <w:rPr>
      <w:sz w:val="16"/>
      <w:szCs w:val="18"/>
    </w:rPr>
  </w:style>
  <w:style w:type="character" w:customStyle="1" w:styleId="FooterChar">
    <w:name w:val="Footer Char"/>
    <w:basedOn w:val="DefaultParagraphFont"/>
    <w:link w:val="Footer"/>
    <w:uiPriority w:val="99"/>
    <w:rsid w:val="008D5EF6"/>
    <w:rPr>
      <w:rFonts w:ascii="Arial" w:hAnsi="Arial" w:cs="Times New Roman"/>
      <w:sz w:val="16"/>
      <w:szCs w:val="18"/>
    </w:rPr>
  </w:style>
  <w:style w:type="character" w:styleId="PageNumber">
    <w:name w:val="page number"/>
    <w:basedOn w:val="DefaultParagraphFont"/>
    <w:uiPriority w:val="99"/>
    <w:unhideWhenUsed/>
    <w:rsid w:val="008D5EF6"/>
    <w:rPr>
      <w:b/>
    </w:rPr>
  </w:style>
  <w:style w:type="paragraph" w:styleId="Header">
    <w:name w:val="header"/>
    <w:basedOn w:val="Normal"/>
    <w:link w:val="HeaderChar"/>
    <w:uiPriority w:val="99"/>
    <w:unhideWhenUsed/>
    <w:rsid w:val="008D5EF6"/>
    <w:pPr>
      <w:spacing w:after="0" w:line="288" w:lineRule="auto"/>
      <w:jc w:val="left"/>
    </w:pPr>
    <w:rPr>
      <w:sz w:val="16"/>
    </w:rPr>
  </w:style>
  <w:style w:type="character" w:customStyle="1" w:styleId="HeaderChar">
    <w:name w:val="Header Char"/>
    <w:basedOn w:val="DefaultParagraphFont"/>
    <w:link w:val="Header"/>
    <w:uiPriority w:val="99"/>
    <w:rsid w:val="008D5EF6"/>
    <w:rPr>
      <w:rFonts w:ascii="Arial" w:hAnsi="Arial" w:cs="Times New Roman"/>
      <w:sz w:val="16"/>
    </w:rPr>
  </w:style>
  <w:style w:type="character" w:customStyle="1" w:styleId="ListParagraphChar">
    <w:name w:val="List Paragraph Char"/>
    <w:basedOn w:val="DefaultParagraphFont"/>
    <w:link w:val="ListParagraph"/>
    <w:uiPriority w:val="34"/>
    <w:rsid w:val="008D5EF6"/>
    <w:rPr>
      <w:rFonts w:ascii="Arial" w:eastAsiaTheme="minorHAnsi" w:hAnsi="Arial" w:cstheme="minorBidi"/>
      <w:szCs w:val="22"/>
    </w:rPr>
  </w:style>
  <w:style w:type="character" w:customStyle="1" w:styleId="Heading2Char">
    <w:name w:val="Heading 2 Char"/>
    <w:basedOn w:val="DefaultParagraphFont"/>
    <w:link w:val="Heading2"/>
    <w:uiPriority w:val="9"/>
    <w:rsid w:val="008D5EF6"/>
    <w:rPr>
      <w:rFonts w:ascii="Arial" w:hAnsi="Arial" w:cs="Times New Roman"/>
      <w:b/>
      <w:caps/>
      <w:sz w:val="24"/>
      <w:szCs w:val="26"/>
    </w:rPr>
  </w:style>
  <w:style w:type="character" w:customStyle="1" w:styleId="Heading3Char">
    <w:name w:val="Heading 3 Char"/>
    <w:basedOn w:val="DefaultParagraphFont"/>
    <w:link w:val="Heading3"/>
    <w:uiPriority w:val="9"/>
    <w:rsid w:val="008D5EF6"/>
    <w:rPr>
      <w:rFonts w:ascii="Arial" w:hAnsi="Arial" w:cs="Times New Roman"/>
      <w:b/>
      <w:sz w:val="22"/>
      <w:szCs w:val="24"/>
    </w:rPr>
  </w:style>
  <w:style w:type="paragraph" w:customStyle="1" w:styleId="Default">
    <w:name w:val="Default"/>
    <w:rsid w:val="008D5EF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D5EF6"/>
    <w:rPr>
      <w:sz w:val="18"/>
      <w:szCs w:val="18"/>
    </w:rPr>
  </w:style>
  <w:style w:type="paragraph" w:styleId="CommentText">
    <w:name w:val="annotation text"/>
    <w:basedOn w:val="Normal"/>
    <w:link w:val="CommentTextChar"/>
    <w:uiPriority w:val="99"/>
    <w:semiHidden/>
    <w:unhideWhenUsed/>
    <w:rsid w:val="005D27CE"/>
  </w:style>
  <w:style w:type="character" w:customStyle="1" w:styleId="CommentTextChar">
    <w:name w:val="Comment Text Char"/>
    <w:basedOn w:val="DefaultParagraphFont"/>
    <w:link w:val="CommentText"/>
    <w:uiPriority w:val="99"/>
    <w:semiHidden/>
    <w:rsid w:val="005D27CE"/>
    <w:rPr>
      <w:rFonts w:ascii="Arial" w:hAnsi="Arial" w:cs="Times New Roman"/>
    </w:rPr>
  </w:style>
  <w:style w:type="paragraph" w:styleId="CommentSubject">
    <w:name w:val="annotation subject"/>
    <w:basedOn w:val="Normal"/>
    <w:link w:val="CommentSubjectChar"/>
    <w:uiPriority w:val="99"/>
    <w:semiHidden/>
    <w:unhideWhenUsed/>
    <w:rsid w:val="008D5EF6"/>
    <w:rPr>
      <w:b/>
      <w:bCs/>
    </w:rPr>
  </w:style>
  <w:style w:type="character" w:customStyle="1" w:styleId="CommentSubjectChar">
    <w:name w:val="Comment Subject Char"/>
    <w:basedOn w:val="DefaultParagraphFont"/>
    <w:link w:val="CommentSubject"/>
    <w:uiPriority w:val="99"/>
    <w:semiHidden/>
    <w:rsid w:val="008D5EF6"/>
    <w:rPr>
      <w:rFonts w:ascii="Arial" w:hAnsi="Arial" w:cs="Times New Roman"/>
      <w:b/>
      <w:bCs/>
    </w:rPr>
  </w:style>
  <w:style w:type="paragraph" w:styleId="FootnoteText">
    <w:name w:val="footnote text"/>
    <w:basedOn w:val="Normal"/>
    <w:link w:val="FootnoteTextChar"/>
    <w:uiPriority w:val="99"/>
    <w:unhideWhenUsed/>
    <w:rsid w:val="008D5EF6"/>
    <w:pPr>
      <w:spacing w:after="0"/>
    </w:pPr>
    <w:rPr>
      <w:sz w:val="16"/>
      <w:szCs w:val="22"/>
    </w:rPr>
  </w:style>
  <w:style w:type="character" w:customStyle="1" w:styleId="FootnoteTextChar">
    <w:name w:val="Footnote Text Char"/>
    <w:basedOn w:val="DefaultParagraphFont"/>
    <w:link w:val="FootnoteText"/>
    <w:uiPriority w:val="99"/>
    <w:rsid w:val="008D5EF6"/>
    <w:rPr>
      <w:rFonts w:ascii="Arial" w:hAnsi="Arial" w:cs="Times New Roman"/>
      <w:sz w:val="16"/>
      <w:szCs w:val="22"/>
    </w:rPr>
  </w:style>
  <w:style w:type="character" w:styleId="FootnoteReference">
    <w:name w:val="footnote reference"/>
    <w:basedOn w:val="DefaultParagraphFont"/>
    <w:uiPriority w:val="99"/>
    <w:unhideWhenUsed/>
    <w:rsid w:val="008D5EF6"/>
    <w:rPr>
      <w:vertAlign w:val="superscript"/>
    </w:rPr>
  </w:style>
  <w:style w:type="paragraph" w:customStyle="1" w:styleId="BasicParagraph">
    <w:name w:val="[Basic Paragraph]"/>
    <w:basedOn w:val="Normal"/>
    <w:uiPriority w:val="99"/>
    <w:rsid w:val="008D5EF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D5EF6"/>
    <w:pPr>
      <w:spacing w:before="360" w:after="240"/>
      <w:jc w:val="left"/>
      <w:outlineLvl w:val="0"/>
    </w:pPr>
    <w:rPr>
      <w:b/>
      <w:sz w:val="40"/>
      <w:szCs w:val="52"/>
    </w:rPr>
  </w:style>
  <w:style w:type="paragraph" w:customStyle="1" w:styleId="Bullet1">
    <w:name w:val="Bullet 1"/>
    <w:basedOn w:val="Normal"/>
    <w:rsid w:val="008D5EF6"/>
    <w:pPr>
      <w:numPr>
        <w:numId w:val="10"/>
      </w:numPr>
      <w:spacing w:before="60"/>
    </w:pPr>
    <w:rPr>
      <w:rFonts w:eastAsia="Times New Roman"/>
      <w:color w:val="000000"/>
    </w:rPr>
  </w:style>
  <w:style w:type="paragraph" w:customStyle="1" w:styleId="RefItem1">
    <w:name w:val="Ref Item 1"/>
    <w:basedOn w:val="Normal"/>
    <w:rsid w:val="008D5EF6"/>
    <w:pPr>
      <w:jc w:val="left"/>
    </w:pPr>
    <w:rPr>
      <w:color w:val="000000"/>
      <w:szCs w:val="24"/>
      <w:lang w:eastAsia="it-IT"/>
    </w:rPr>
  </w:style>
  <w:style w:type="paragraph" w:customStyle="1" w:styleId="RefTitre">
    <w:name w:val="Ref Titre"/>
    <w:basedOn w:val="Normal"/>
    <w:rsid w:val="008D5EF6"/>
    <w:pPr>
      <w:jc w:val="left"/>
    </w:pPr>
    <w:rPr>
      <w:rFonts w:eastAsia="Times New Roman"/>
      <w:b/>
      <w:bCs/>
      <w:sz w:val="26"/>
      <w:szCs w:val="26"/>
    </w:rPr>
  </w:style>
  <w:style w:type="paragraph" w:customStyle="1" w:styleId="Header1">
    <w:name w:val="Header 1"/>
    <w:basedOn w:val="Header"/>
    <w:rsid w:val="008D5EF6"/>
    <w:rPr>
      <w:b/>
      <w:sz w:val="24"/>
      <w:szCs w:val="24"/>
    </w:rPr>
  </w:style>
  <w:style w:type="character" w:customStyle="1" w:styleId="Pantone485">
    <w:name w:val="Pantone 485"/>
    <w:basedOn w:val="DefaultParagraphFont"/>
    <w:uiPriority w:val="1"/>
    <w:qFormat/>
    <w:rsid w:val="008D5EF6"/>
    <w:rPr>
      <w:rFonts w:cs="Caecilia-Light"/>
      <w:color w:val="DC281E"/>
      <w:szCs w:val="16"/>
    </w:rPr>
  </w:style>
  <w:style w:type="character" w:customStyle="1" w:styleId="H1Char">
    <w:name w:val="H1 Char"/>
    <w:basedOn w:val="DefaultParagraphFont"/>
    <w:link w:val="H1"/>
    <w:rsid w:val="008D5EF6"/>
    <w:rPr>
      <w:rFonts w:ascii="Arial" w:hAnsi="Arial" w:cs="Times New Roman"/>
      <w:b/>
      <w:sz w:val="40"/>
      <w:szCs w:val="52"/>
    </w:rPr>
  </w:style>
  <w:style w:type="table" w:customStyle="1" w:styleId="TableGray">
    <w:name w:val="Table Gray"/>
    <w:basedOn w:val="TableNormal"/>
    <w:uiPriority w:val="99"/>
    <w:rsid w:val="008D5EF6"/>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D5EF6"/>
    <w:pPr>
      <w:numPr>
        <w:numId w:val="11"/>
      </w:numPr>
      <w:spacing w:before="120" w:after="120"/>
      <w:contextualSpacing w:val="0"/>
    </w:pPr>
    <w:rPr>
      <w:rFonts w:eastAsia="Cambria" w:cs="Arial"/>
    </w:rPr>
  </w:style>
  <w:style w:type="paragraph" w:customStyle="1" w:styleId="ListNumber1">
    <w:name w:val="List Number 1"/>
    <w:basedOn w:val="Normal"/>
    <w:rsid w:val="008D5EF6"/>
    <w:pPr>
      <w:numPr>
        <w:ilvl w:val="1"/>
        <w:numId w:val="8"/>
      </w:numPr>
      <w:contextualSpacing/>
    </w:pPr>
    <w:rPr>
      <w:rFonts w:eastAsiaTheme="minorHAnsi" w:cstheme="minorHAnsi"/>
      <w:szCs w:val="22"/>
    </w:rPr>
  </w:style>
  <w:style w:type="paragraph" w:customStyle="1" w:styleId="NormalNo">
    <w:name w:val="Normal + No"/>
    <w:basedOn w:val="Normal"/>
    <w:qFormat/>
    <w:rsid w:val="008D5EF6"/>
    <w:pPr>
      <w:numPr>
        <w:numId w:val="9"/>
      </w:numPr>
    </w:pPr>
    <w:rPr>
      <w:rFonts w:eastAsia="MS Mincho"/>
      <w:b/>
      <w:sz w:val="22"/>
    </w:rPr>
  </w:style>
  <w:style w:type="paragraph" w:customStyle="1" w:styleId="Bullet3">
    <w:name w:val="Bullet 3"/>
    <w:basedOn w:val="ListParagraph"/>
    <w:qFormat/>
    <w:rsid w:val="008D5EF6"/>
    <w:pPr>
      <w:numPr>
        <w:numId w:val="12"/>
      </w:numPr>
      <w:spacing w:before="120" w:after="120"/>
      <w:ind w:right="425"/>
    </w:pPr>
    <w:rPr>
      <w:rFonts w:cs="Arial"/>
      <w:i/>
      <w:iCs/>
    </w:rPr>
  </w:style>
  <w:style w:type="paragraph" w:customStyle="1" w:styleId="Indent">
    <w:name w:val="Indent"/>
    <w:basedOn w:val="Normal"/>
    <w:qFormat/>
    <w:rsid w:val="008D5EF6"/>
    <w:pPr>
      <w:ind w:left="567"/>
    </w:pPr>
    <w:rPr>
      <w:rFonts w:cs="Arial"/>
      <w:b/>
    </w:rPr>
  </w:style>
  <w:style w:type="paragraph" w:customStyle="1" w:styleId="TitreTableau">
    <w:name w:val="Titre Tableau"/>
    <w:basedOn w:val="Normal"/>
    <w:qFormat/>
    <w:rsid w:val="008D5EF6"/>
    <w:pPr>
      <w:spacing w:before="120"/>
      <w:jc w:val="center"/>
    </w:pPr>
    <w:rPr>
      <w:rFonts w:cs="Arial"/>
      <w:b/>
      <w:bCs/>
      <w:color w:val="FFFFFF" w:themeColor="background1"/>
      <w:lang w:val="en-CA"/>
    </w:rPr>
  </w:style>
  <w:style w:type="paragraph" w:customStyle="1" w:styleId="BulletTableau">
    <w:name w:val="Bullet Tableau"/>
    <w:basedOn w:val="Bullet2"/>
    <w:qFormat/>
    <w:rsid w:val="008D5EF6"/>
    <w:pPr>
      <w:keepNext/>
      <w:keepLines/>
      <w:framePr w:hSpace="141" w:wrap="around" w:vAnchor="text" w:hAnchor="margin" w:y="402"/>
      <w:numPr>
        <w:numId w:val="13"/>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B2395"/>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Textetable">
    <w:name w:val="Textetable"/>
    <w:basedOn w:val="Normal"/>
    <w:rsid w:val="0011189D"/>
    <w:pPr>
      <w:spacing w:before="80" w:after="80"/>
    </w:pPr>
    <w:rPr>
      <w:rFonts w:ascii="Arial" w:eastAsia="Times New Roman" w:hAnsi="Arial" w:cs="Times New Roman"/>
      <w:szCs w:val="24"/>
      <w:lang w:eastAsia="fr-FR"/>
    </w:rPr>
  </w:style>
  <w:style w:type="table" w:styleId="TableGrid">
    <w:name w:val="Table Grid"/>
    <w:basedOn w:val="TableNormal"/>
    <w:uiPriority w:val="59"/>
    <w:rsid w:val="00F4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5BC"/>
    <w:pPr>
      <w:ind w:left="720"/>
      <w:contextualSpacing/>
    </w:pPr>
  </w:style>
  <w:style w:type="paragraph" w:styleId="BalloonText">
    <w:name w:val="Balloon Text"/>
    <w:basedOn w:val="Normal"/>
    <w:link w:val="BalloonTextChar"/>
    <w:uiPriority w:val="99"/>
    <w:semiHidden/>
    <w:unhideWhenUsed/>
    <w:rsid w:val="00515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FF4"/>
    <w:rPr>
      <w:rFonts w:ascii="Lucida Grande" w:hAnsi="Lucida Grande" w:cs="Lucida Grande"/>
      <w:sz w:val="18"/>
      <w:szCs w:val="18"/>
      <w:lang w:val="en-GB"/>
    </w:rPr>
  </w:style>
  <w:style w:type="paragraph" w:styleId="Revision">
    <w:name w:val="Revision"/>
    <w:hidden/>
    <w:uiPriority w:val="99"/>
    <w:semiHidden/>
    <w:rsid w:val="00CE4BCB"/>
    <w:rPr>
      <w:lang w:val="en-GB"/>
    </w:rPr>
  </w:style>
  <w:style w:type="character" w:styleId="Hyperlink">
    <w:name w:val="Hyperlink"/>
    <w:basedOn w:val="DefaultParagraphFont"/>
    <w:uiPriority w:val="99"/>
    <w:unhideWhenUsed/>
    <w:rsid w:val="007374AC"/>
    <w:rPr>
      <w:color w:val="0000FF" w:themeColor="hyperlink"/>
      <w:u w:val="single"/>
    </w:rPr>
  </w:style>
  <w:style w:type="character" w:customStyle="1" w:styleId="Heading1Char">
    <w:name w:val="Heading 1 Char"/>
    <w:basedOn w:val="DefaultParagraphFont"/>
    <w:link w:val="Heading1"/>
    <w:uiPriority w:val="9"/>
    <w:rsid w:val="00BB2395"/>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 w:id="911083919">
      <w:bodyDiv w:val="1"/>
      <w:marLeft w:val="0"/>
      <w:marRight w:val="0"/>
      <w:marTop w:val="0"/>
      <w:marBottom w:val="0"/>
      <w:divBdr>
        <w:top w:val="none" w:sz="0" w:space="0" w:color="auto"/>
        <w:left w:val="none" w:sz="0" w:space="0" w:color="auto"/>
        <w:bottom w:val="none" w:sz="0" w:space="0" w:color="auto"/>
        <w:right w:val="none" w:sz="0" w:space="0" w:color="auto"/>
      </w:divBdr>
    </w:div>
    <w:div w:id="206806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files/file11793756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rc.org/Global/Publications/disasters/finance/cash-guidelines-en.pdf"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y-practice.oxfam.org.uk/publications/cash-transfer-programming-in-emergencies-1153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dihpn.org/documents%2Fgpr11.pdf" TargetMode="External"/><Relationship Id="rId4" Type="http://schemas.openxmlformats.org/officeDocument/2006/relationships/webSettings" Target="webSettings.xml"/><Relationship Id="rId9" Type="http://schemas.openxmlformats.org/officeDocument/2006/relationships/hyperlink" Target="http://www.documents.worldbank.org/curated/en/2012/11/16988159/public-works-safety-net-design-evidence-implementatio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352</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57</cp:revision>
  <cp:lastPrinted>2015-10-16T12:03:00Z</cp:lastPrinted>
  <dcterms:created xsi:type="dcterms:W3CDTF">2014-11-26T17:39:00Z</dcterms:created>
  <dcterms:modified xsi:type="dcterms:W3CDTF">2016-02-15T15:35:00Z</dcterms:modified>
</cp:coreProperties>
</file>