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72" w:rsidRPr="005D4EC2" w:rsidRDefault="00EA005C" w:rsidP="00EA005C">
      <w:pPr>
        <w:pStyle w:val="H1"/>
        <w:bidi/>
        <w:rPr>
          <w:rFonts w:cs="Arial" w:hint="cs"/>
          <w:rtl/>
        </w:rPr>
      </w:pPr>
      <w:r>
        <w:rPr>
          <w:rFonts w:cs="Arial" w:hint="cs"/>
          <w:rtl/>
        </w:rPr>
        <w:t xml:space="preserve">تحديد معدلات أجور برامج النقد مقابل العمل </w:t>
      </w:r>
    </w:p>
    <w:p w:rsidR="00EA005C" w:rsidRPr="005D4EC2" w:rsidRDefault="00AB5523" w:rsidP="00EA005C">
      <w:pPr>
        <w:bidi/>
        <w:rPr>
          <w:rFonts w:cs="Arial"/>
        </w:rPr>
      </w:pPr>
      <w:r>
        <w:rPr>
          <w:rFonts w:cs="Arial" w:hint="cs"/>
          <w:rtl/>
        </w:rPr>
        <w:t>تتشابه عملية تحديد معدلات الأجور الخاصة ببرامج النقد مقابل العمل بعملية تحديد قيمة التحويلات النقدية الأخرى، ولكنها تتطلب التركيز على خصائص برامج النقد مقابل العمل، بما فيها وتيرة الدفع وتوقيته، وبما إذا كانت الجور تقاس بحسب الوحدة، أو الإطار الزمني، أو يوم العمل.</w:t>
      </w:r>
    </w:p>
    <w:p w:rsidR="00062472" w:rsidRPr="00AB5523" w:rsidRDefault="00AB5523" w:rsidP="00EA005C">
      <w:pPr>
        <w:pStyle w:val="Heading2"/>
        <w:bidi/>
      </w:pPr>
      <w:r>
        <w:rPr>
          <w:rFonts w:hint="cs"/>
          <w:rtl/>
        </w:rPr>
        <w:t>معدلات الأجور</w:t>
      </w:r>
    </w:p>
    <w:p w:rsidR="00AB5523" w:rsidRDefault="00AB5523" w:rsidP="00AB5523">
      <w:pPr>
        <w:pStyle w:val="Bullet2"/>
        <w:bidi/>
        <w:rPr>
          <w:rFonts w:hint="cs"/>
        </w:rPr>
      </w:pPr>
      <w:r>
        <w:rPr>
          <w:rFonts w:hint="cs"/>
          <w:rtl/>
        </w:rPr>
        <w:t>قد تختلف معدلات الأجور بحسب مستوى المهارات، وساعات العمل اليومية، والإطار الزمني للبرنامج.</w:t>
      </w:r>
    </w:p>
    <w:p w:rsidR="002B03AA" w:rsidRDefault="002B03AA" w:rsidP="009E5FB9">
      <w:pPr>
        <w:pStyle w:val="Bullet2"/>
        <w:bidi/>
        <w:rPr>
          <w:rFonts w:hint="cs"/>
        </w:rPr>
      </w:pPr>
      <w:r>
        <w:rPr>
          <w:rFonts w:hint="cs"/>
          <w:rtl/>
        </w:rPr>
        <w:t xml:space="preserve">يجب أن تكون معدلات الأجور متجانسة مع المعدلات الخاصة ببرامج النقد مقابل العمل التي طبقت في نفس المنطقة، بما أن الفروقات في المعدلات قد تؤدي إلى </w:t>
      </w:r>
      <w:r w:rsidR="009E5FB9">
        <w:rPr>
          <w:rFonts w:hint="cs"/>
          <w:rtl/>
        </w:rPr>
        <w:t>نشوء نزاعات</w:t>
      </w:r>
      <w:r>
        <w:rPr>
          <w:rFonts w:hint="cs"/>
          <w:rtl/>
        </w:rPr>
        <w:t xml:space="preserve"> بين أفراد المجتمع</w:t>
      </w:r>
      <w:r w:rsidR="009E5FB9">
        <w:rPr>
          <w:rFonts w:hint="cs"/>
          <w:rtl/>
        </w:rPr>
        <w:t>ات</w:t>
      </w:r>
      <w:r>
        <w:rPr>
          <w:rFonts w:hint="cs"/>
          <w:rtl/>
        </w:rPr>
        <w:t xml:space="preserve">. </w:t>
      </w:r>
    </w:p>
    <w:p w:rsidR="009E5FB9" w:rsidRDefault="009E5FB9" w:rsidP="009E5FB9">
      <w:pPr>
        <w:pStyle w:val="Bullet2"/>
        <w:bidi/>
        <w:rPr>
          <w:rFonts w:hint="cs"/>
        </w:rPr>
      </w:pPr>
      <w:r>
        <w:rPr>
          <w:rFonts w:hint="cs"/>
          <w:rtl/>
        </w:rPr>
        <w:t>يجب أن تكون معدلات الأجور أدنى بقليل من معدلات السوق بنسبة تتراوح بين 10 و20 في المائة بشكل يسمح للفئات الضعيف باللجوء إلى الاستهداف الذاتي فيما تحافظ الفئات الأخرى على عملها في السوق المحلية، ويعود العمال إلى اختيار فرص العمل الطويلة الأمد.</w:t>
      </w:r>
    </w:p>
    <w:p w:rsidR="009E5FB9" w:rsidRDefault="009E5FB9" w:rsidP="009E5FB9">
      <w:pPr>
        <w:pStyle w:val="Bullet2"/>
        <w:bidi/>
        <w:rPr>
          <w:rFonts w:hint="cs"/>
        </w:rPr>
      </w:pPr>
      <w:r>
        <w:rPr>
          <w:rFonts w:hint="cs"/>
          <w:rtl/>
        </w:rPr>
        <w:t>لا  يجب أن تغطي معدلات الأجور الخاصة ببرامج النقد مقابل العمل ما يزيد عن حاجات الأسرة الأساسية. إن كانت الأجور مرتفعة جداً، قد تجذب هذه البرامج العمال وتبعدهم عن نشطاتهم الاعتيادية لكسب لقمة العيش. ولكن هذا لا ينطبق على مرحلة ما بعد وقوع الصدمة مباشرة، حيث تكون الوظائف والأجور متأثرة بالأزمة. في هذه الحالة، يجب أن تكون معدلات أجور برامج النقد مقابل العمل تساوي أو حتى تفوق  الأجور الاعتيادية من أجل استعادة النشاط الاقتصادي بسرعة.</w:t>
      </w:r>
    </w:p>
    <w:p w:rsidR="009E5FB9" w:rsidRPr="005D4EC2" w:rsidRDefault="009E5FB9" w:rsidP="009E5FB9">
      <w:pPr>
        <w:pStyle w:val="Bullet2"/>
        <w:bidi/>
      </w:pPr>
      <w:r>
        <w:rPr>
          <w:rFonts w:hint="cs"/>
          <w:rtl/>
        </w:rPr>
        <w:t>القيام باستبيان</w:t>
      </w:r>
      <w:r w:rsidR="00A05584">
        <w:rPr>
          <w:rFonts w:hint="cs"/>
          <w:rtl/>
        </w:rPr>
        <w:t>ات منتظمة</w:t>
      </w:r>
      <w:r>
        <w:rPr>
          <w:rFonts w:hint="cs"/>
          <w:rtl/>
        </w:rPr>
        <w:t xml:space="preserve"> </w:t>
      </w:r>
      <w:r w:rsidR="00A05584">
        <w:rPr>
          <w:rFonts w:hint="cs"/>
          <w:rtl/>
        </w:rPr>
        <w:t>تغطي الحركة الاقتصادية المحلية، بما في ذلك أسعار السواق وتوفر الوظائف. وتضمن هذه الاستبيانات الحفاظ على استقرار معدلات الأجور في المستويات المناسبة. وفي حال واجهة الشركات المحلية صعوبات في توظيف عدد كاف من العمّال بسبب التنافس مع برامج النقد مقابل العمل، يجب على وكالات الإغاثة الحد من أعداد المشاركين، أو خفض عدد أيام العمل، أو خفض الأجور.</w:t>
      </w:r>
    </w:p>
    <w:p w:rsidR="00062472" w:rsidRPr="005D4EC2" w:rsidRDefault="00874B86" w:rsidP="00EA005C">
      <w:pPr>
        <w:pStyle w:val="Heading2"/>
        <w:bidi/>
      </w:pPr>
      <w:r>
        <w:rPr>
          <w:rFonts w:hint="cs"/>
          <w:rtl/>
        </w:rPr>
        <w:t>توقيت الدفعات ووتيرها</w:t>
      </w:r>
    </w:p>
    <w:p w:rsidR="00A05584" w:rsidRDefault="00874B86" w:rsidP="00A05584">
      <w:pPr>
        <w:pStyle w:val="Bullet2"/>
        <w:bidi/>
        <w:rPr>
          <w:rFonts w:hint="cs"/>
        </w:rPr>
      </w:pPr>
      <w:r>
        <w:rPr>
          <w:rFonts w:hint="cs"/>
          <w:rtl/>
        </w:rPr>
        <w:t xml:space="preserve">كما هي الحال مع أنواع التحويلات النقدية الأخرى، يجب أن تحدد أهداف البرنامج وتيرة الدفعات. فإذا كان الهدف منه تلبية حاجات السكان الأساسية، تكون الدفعات أكثر تواتراً، أما إذا كان الهدف من البرنامج تسهيل فترة الانتعاش، تكون الدفعات أقل تواتراً وتميل إلى الفعالية من حيث التكلفة. </w:t>
      </w:r>
    </w:p>
    <w:p w:rsidR="00874B86" w:rsidRDefault="00874B86" w:rsidP="00942088">
      <w:pPr>
        <w:pStyle w:val="Bullet2"/>
        <w:bidi/>
        <w:rPr>
          <w:rFonts w:hint="cs"/>
        </w:rPr>
      </w:pPr>
      <w:r>
        <w:rPr>
          <w:rFonts w:hint="cs"/>
          <w:rtl/>
        </w:rPr>
        <w:t xml:space="preserve">بشكل عام، تسلم الدفعات وقت انتهاء العمل، وإذا </w:t>
      </w:r>
      <w:r w:rsidR="00942088">
        <w:rPr>
          <w:rFonts w:hint="cs"/>
          <w:rtl/>
        </w:rPr>
        <w:t>كان الأفراد المعيون يفتقرون إلى دخل كاف، أو إلى الثقة في الوكالة المسؤولة عن دفع الأجور، يجب أن تسلم الدفعات بشكل متواتر (اسبوعياً مثلاً) في المراحل الأولى، على أن تكون هذه الدفعات أقل تواتراً في المراحل النهائية (كل اسبوعين). وإذا كانتالأوضاع المادية صعبة إلى درجة تستوجب أن يستلم العامل الأجر يومياً، قد يكون من المبكر اللجوء غلى برامج النقد مقابل العمل. وفي هذه الحالة، يمكن اللجوء إلى أنواع أخرى من المساعدة كالتحويلات النقدية وتقديم السلع الغذائية مثلاً.</w:t>
      </w:r>
    </w:p>
    <w:p w:rsidR="003F3837" w:rsidRDefault="003F3837" w:rsidP="003F3837">
      <w:pPr>
        <w:pStyle w:val="Bullet2"/>
        <w:bidi/>
        <w:rPr>
          <w:rFonts w:hint="cs"/>
        </w:rPr>
      </w:pPr>
      <w:r>
        <w:rPr>
          <w:rFonts w:hint="cs"/>
          <w:rtl/>
        </w:rPr>
        <w:t>يجب الأخذ في الاعتبار أن الدفعات الصغيرة والمتواترة قد تشكل عبئا إداريا. في كل الأحوال، يجب ايجاد توازن بين حاجات الأسر وقدرات الوكالة.</w:t>
      </w:r>
    </w:p>
    <w:p w:rsidR="003F3837" w:rsidRPr="005D4EC2" w:rsidRDefault="00162E2B" w:rsidP="00162E2B">
      <w:pPr>
        <w:pStyle w:val="Bullet2"/>
        <w:bidi/>
      </w:pPr>
      <w:r>
        <w:rPr>
          <w:rFonts w:hint="cs"/>
          <w:rtl/>
        </w:rPr>
        <w:t xml:space="preserve">عندما لا تهدف </w:t>
      </w:r>
      <w:r>
        <w:rPr>
          <w:rtl/>
        </w:rPr>
        <w:t>الدف</w:t>
      </w:r>
      <w:r w:rsidRPr="00162E2B">
        <w:rPr>
          <w:rtl/>
        </w:rPr>
        <w:t xml:space="preserve">عات لمساعدة الناس على تلبية احتياجات الاستهلاك </w:t>
      </w:r>
      <w:r>
        <w:rPr>
          <w:rFonts w:hint="cs"/>
          <w:rtl/>
        </w:rPr>
        <w:t xml:space="preserve">فحسب بل </w:t>
      </w:r>
      <w:r w:rsidRPr="00162E2B">
        <w:rPr>
          <w:rtl/>
        </w:rPr>
        <w:t>أيضا لتمكينه</w:t>
      </w:r>
      <w:r>
        <w:rPr>
          <w:rtl/>
        </w:rPr>
        <w:t xml:space="preserve">م من الاستثمار، قد تقرر وكالات دفع جزء من </w:t>
      </w:r>
      <w:r>
        <w:rPr>
          <w:rFonts w:hint="cs"/>
          <w:rtl/>
        </w:rPr>
        <w:t>الأ</w:t>
      </w:r>
      <w:r w:rsidRPr="00162E2B">
        <w:rPr>
          <w:rtl/>
        </w:rPr>
        <w:t>جور كل أسبوع، مع الإبقاء على بقية</w:t>
      </w:r>
      <w:r>
        <w:rPr>
          <w:rFonts w:hint="cs"/>
          <w:rtl/>
        </w:rPr>
        <w:t xml:space="preserve"> الأجر</w:t>
      </w:r>
      <w:r>
        <w:rPr>
          <w:rtl/>
        </w:rPr>
        <w:t xml:space="preserve"> بحيث يحصل الناس على مبلغ كبير</w:t>
      </w:r>
      <w:r w:rsidRPr="00162E2B">
        <w:rPr>
          <w:rtl/>
        </w:rPr>
        <w:t xml:space="preserve">- </w:t>
      </w:r>
      <w:r>
        <w:rPr>
          <w:rFonts w:hint="cs"/>
          <w:rtl/>
        </w:rPr>
        <w:t>ب</w:t>
      </w:r>
      <w:r w:rsidRPr="00162E2B">
        <w:rPr>
          <w:rtl/>
        </w:rPr>
        <w:t xml:space="preserve">ما يكفي لشراء الماشية أو المساهمة في بناء </w:t>
      </w:r>
      <w:r>
        <w:rPr>
          <w:rFonts w:hint="cs"/>
          <w:rtl/>
        </w:rPr>
        <w:t>ال</w:t>
      </w:r>
      <w:r>
        <w:rPr>
          <w:rtl/>
        </w:rPr>
        <w:t>منزل</w:t>
      </w:r>
      <w:r w:rsidRPr="00162E2B">
        <w:rPr>
          <w:rtl/>
        </w:rPr>
        <w:t xml:space="preserve">. </w:t>
      </w:r>
      <w:r>
        <w:rPr>
          <w:rFonts w:hint="cs"/>
          <w:rtl/>
        </w:rPr>
        <w:t>ويكون ذلك</w:t>
      </w:r>
      <w:r w:rsidRPr="00162E2B">
        <w:rPr>
          <w:rtl/>
        </w:rPr>
        <w:t xml:space="preserve"> بناء على اتفاق مع العمال ومجتمعاتهم</w:t>
      </w:r>
      <w:r>
        <w:rPr>
          <w:rFonts w:hint="cs"/>
          <w:rtl/>
        </w:rPr>
        <w:t xml:space="preserve">. </w:t>
      </w:r>
      <w:r>
        <w:rPr>
          <w:rtl/>
        </w:rPr>
        <w:t xml:space="preserve">ويمكن </w:t>
      </w:r>
      <w:r>
        <w:rPr>
          <w:rFonts w:hint="cs"/>
          <w:rtl/>
        </w:rPr>
        <w:t>تسليم</w:t>
      </w:r>
      <w:r>
        <w:rPr>
          <w:rtl/>
        </w:rPr>
        <w:t xml:space="preserve"> </w:t>
      </w:r>
      <w:r>
        <w:rPr>
          <w:rFonts w:hint="cs"/>
          <w:rtl/>
        </w:rPr>
        <w:t>الدفعة النهائية الكبيرة</w:t>
      </w:r>
      <w:r w:rsidRPr="00162E2B">
        <w:rPr>
          <w:rtl/>
        </w:rPr>
        <w:t>، من خلال حساب في</w:t>
      </w:r>
      <w:r>
        <w:rPr>
          <w:rFonts w:hint="cs"/>
          <w:rtl/>
        </w:rPr>
        <w:t xml:space="preserve"> شركة</w:t>
      </w:r>
      <w:r w:rsidRPr="00162E2B">
        <w:rPr>
          <w:rtl/>
        </w:rPr>
        <w:t xml:space="preserve"> محلية </w:t>
      </w:r>
      <w:r>
        <w:rPr>
          <w:rFonts w:hint="cs"/>
          <w:rtl/>
        </w:rPr>
        <w:t>ل</w:t>
      </w:r>
      <w:r w:rsidRPr="00162E2B">
        <w:rPr>
          <w:rtl/>
        </w:rPr>
        <w:t xml:space="preserve">تنظيم المدخرات والائتمان. </w:t>
      </w:r>
      <w:r>
        <w:rPr>
          <w:rFonts w:hint="cs"/>
          <w:rtl/>
        </w:rPr>
        <w:t>بذلك،</w:t>
      </w:r>
      <w:r w:rsidRPr="00162E2B">
        <w:rPr>
          <w:rtl/>
        </w:rPr>
        <w:t xml:space="preserve"> </w:t>
      </w:r>
      <w:r>
        <w:rPr>
          <w:rFonts w:hint="cs"/>
          <w:rtl/>
        </w:rPr>
        <w:t>يمكن الحد من</w:t>
      </w:r>
      <w:r w:rsidRPr="00162E2B">
        <w:rPr>
          <w:rtl/>
        </w:rPr>
        <w:t xml:space="preserve"> المخاطر التي </w:t>
      </w:r>
      <w:r>
        <w:rPr>
          <w:rFonts w:hint="cs"/>
          <w:rtl/>
        </w:rPr>
        <w:t>ترتبط ب</w:t>
      </w:r>
      <w:r>
        <w:rPr>
          <w:rtl/>
        </w:rPr>
        <w:t>الد</w:t>
      </w:r>
      <w:r>
        <w:rPr>
          <w:rFonts w:hint="cs"/>
          <w:rtl/>
        </w:rPr>
        <w:t>ف</w:t>
      </w:r>
      <w:r>
        <w:rPr>
          <w:rtl/>
        </w:rPr>
        <w:t xml:space="preserve">عات </w:t>
      </w:r>
      <w:r>
        <w:rPr>
          <w:rFonts w:hint="cs"/>
          <w:rtl/>
        </w:rPr>
        <w:t>النقدية ال</w:t>
      </w:r>
      <w:r w:rsidRPr="00162E2B">
        <w:rPr>
          <w:rtl/>
        </w:rPr>
        <w:t>كب</w:t>
      </w:r>
      <w:r>
        <w:rPr>
          <w:rFonts w:hint="cs"/>
          <w:rtl/>
        </w:rPr>
        <w:t>ي</w:t>
      </w:r>
      <w:r w:rsidRPr="00162E2B">
        <w:rPr>
          <w:rtl/>
        </w:rPr>
        <w:t>ر</w:t>
      </w:r>
      <w:r>
        <w:rPr>
          <w:rFonts w:hint="cs"/>
          <w:rtl/>
        </w:rPr>
        <w:t>ة</w:t>
      </w:r>
      <w:r w:rsidRPr="00162E2B">
        <w:rPr>
          <w:rtl/>
        </w:rPr>
        <w:t xml:space="preserve"> </w:t>
      </w:r>
      <w:r>
        <w:rPr>
          <w:rtl/>
        </w:rPr>
        <w:t>و</w:t>
      </w:r>
      <w:r>
        <w:rPr>
          <w:rFonts w:hint="cs"/>
          <w:rtl/>
        </w:rPr>
        <w:t>م</w:t>
      </w:r>
      <w:r>
        <w:rPr>
          <w:rtl/>
        </w:rPr>
        <w:t>ساعد</w:t>
      </w:r>
      <w:r>
        <w:rPr>
          <w:rFonts w:hint="cs"/>
          <w:rtl/>
        </w:rPr>
        <w:t xml:space="preserve">ة </w:t>
      </w:r>
      <w:r w:rsidRPr="00162E2B">
        <w:rPr>
          <w:rtl/>
        </w:rPr>
        <w:t xml:space="preserve">الناس على إقامة علاقة مع مؤسسة مالية ذات سمعة </w:t>
      </w:r>
      <w:r>
        <w:rPr>
          <w:rFonts w:hint="cs"/>
          <w:rtl/>
        </w:rPr>
        <w:t>حسنة.</w:t>
      </w:r>
    </w:p>
    <w:p w:rsidR="00062472" w:rsidRPr="00EE5A21" w:rsidRDefault="00062472" w:rsidP="00EA005C">
      <w:pPr>
        <w:pStyle w:val="Heading2"/>
        <w:bidi/>
        <w:rPr>
          <w:rFonts w:hint="cs"/>
          <w:rtl/>
        </w:rPr>
      </w:pPr>
    </w:p>
    <w:p w:rsidR="00EE5A21" w:rsidRDefault="00EE5A21" w:rsidP="00EE5A21">
      <w:pPr>
        <w:bidi/>
        <w:rPr>
          <w:rFonts w:hint="cs"/>
          <w:rtl/>
        </w:rPr>
      </w:pPr>
      <w:r>
        <w:rPr>
          <w:rFonts w:hint="cs"/>
          <w:rtl/>
        </w:rPr>
        <w:t>الدفع بحسب الوحدة، أو الإطار الزمني للبرنامج، أو ساعات العمل اليومية</w:t>
      </w:r>
    </w:p>
    <w:p w:rsidR="005556CC" w:rsidRPr="003A382D" w:rsidRDefault="003A382D" w:rsidP="003A382D">
      <w:pPr>
        <w:bidi/>
      </w:pPr>
      <w:r>
        <w:rPr>
          <w:rFonts w:hint="cs"/>
          <w:rtl/>
        </w:rPr>
        <w:t>بالإضافة إلى تحديد معدل الأجور ووتيرة الدفع وتوقيته، يجب اتخاذ القرار حول إذا ما كان الدفع سيتم بجسب المخرجات أو ساعات العمل. في هذا الإطار، يشرح الجدول أدناه النقاط السلبية والايجابية المحتملة لكل نوع من الدفعات.</w:t>
      </w:r>
    </w:p>
    <w:tbl>
      <w:tblPr>
        <w:tblStyle w:val="TableGrid"/>
        <w:bidiVisual/>
        <w:tblW w:w="5000" w:type="pct"/>
        <w:tblLook w:val="00A0"/>
      </w:tblPr>
      <w:tblGrid>
        <w:gridCol w:w="1601"/>
        <w:gridCol w:w="2131"/>
        <w:gridCol w:w="2458"/>
        <w:gridCol w:w="3658"/>
      </w:tblGrid>
      <w:tr w:rsidR="005556CC" w:rsidRPr="00935904" w:rsidTr="003A382D">
        <w:tc>
          <w:tcPr>
            <w:tcW w:w="813" w:type="pct"/>
            <w:tcBorders>
              <w:bottom w:val="single" w:sz="4" w:space="0" w:color="auto"/>
            </w:tcBorders>
            <w:shd w:val="clear" w:color="auto" w:fill="DC281E"/>
          </w:tcPr>
          <w:p w:rsidR="00062472" w:rsidRPr="00935904" w:rsidRDefault="00C36D66" w:rsidP="00C36D66">
            <w:pPr>
              <w:pStyle w:val="Pa25"/>
              <w:bidi/>
              <w:spacing w:before="120" w:line="240" w:lineRule="auto"/>
              <w:jc w:val="center"/>
              <w:rPr>
                <w:rFonts w:ascii="Arial" w:hAnsi="Arial" w:cs="Arial"/>
                <w:b/>
                <w:color w:val="FFFFFF"/>
                <w:szCs w:val="21"/>
              </w:rPr>
            </w:pPr>
            <w:r>
              <w:rPr>
                <w:rFonts w:ascii="Arial" w:hAnsi="Arial" w:cs="Arial" w:hint="cs"/>
                <w:b/>
                <w:color w:val="FFFFFF"/>
                <w:szCs w:val="21"/>
                <w:rtl/>
              </w:rPr>
              <w:t>نوع الدفع</w:t>
            </w:r>
          </w:p>
        </w:tc>
        <w:tc>
          <w:tcPr>
            <w:tcW w:w="1082" w:type="pct"/>
            <w:tcBorders>
              <w:bottom w:val="single" w:sz="4" w:space="0" w:color="auto"/>
            </w:tcBorders>
            <w:shd w:val="clear" w:color="auto" w:fill="DC281E"/>
          </w:tcPr>
          <w:p w:rsidR="00062472" w:rsidRPr="00935904" w:rsidRDefault="00C36D66" w:rsidP="00EA005C">
            <w:pPr>
              <w:pStyle w:val="Pa25"/>
              <w:bidi/>
              <w:spacing w:before="120" w:line="240" w:lineRule="auto"/>
              <w:jc w:val="center"/>
              <w:rPr>
                <w:rFonts w:ascii="Arial" w:hAnsi="Arial" w:cs="Arial"/>
                <w:b/>
                <w:color w:val="FFFFFF"/>
                <w:szCs w:val="21"/>
              </w:rPr>
            </w:pPr>
            <w:r>
              <w:rPr>
                <w:rFonts w:ascii="Arial" w:hAnsi="Arial" w:cs="Arial" w:hint="cs"/>
                <w:b/>
                <w:color w:val="FFFFFF"/>
                <w:szCs w:val="21"/>
                <w:rtl/>
              </w:rPr>
              <w:t>السبب المنطقي</w:t>
            </w:r>
          </w:p>
        </w:tc>
        <w:tc>
          <w:tcPr>
            <w:tcW w:w="1248" w:type="pct"/>
            <w:tcBorders>
              <w:bottom w:val="single" w:sz="4" w:space="0" w:color="auto"/>
            </w:tcBorders>
            <w:shd w:val="clear" w:color="auto" w:fill="DC281E"/>
          </w:tcPr>
          <w:p w:rsidR="00062472" w:rsidRPr="00935904" w:rsidRDefault="00C36D66" w:rsidP="00EA005C">
            <w:pPr>
              <w:pStyle w:val="Pa25"/>
              <w:bidi/>
              <w:spacing w:before="120" w:line="240" w:lineRule="auto"/>
              <w:jc w:val="center"/>
              <w:rPr>
                <w:rFonts w:ascii="Arial" w:hAnsi="Arial" w:cs="Arial"/>
                <w:b/>
                <w:color w:val="FFFFFF"/>
                <w:szCs w:val="21"/>
              </w:rPr>
            </w:pPr>
            <w:r>
              <w:rPr>
                <w:rFonts w:ascii="Arial" w:hAnsi="Arial" w:cs="Arial" w:hint="cs"/>
                <w:b/>
                <w:color w:val="FFFFFF"/>
                <w:szCs w:val="21"/>
                <w:rtl/>
              </w:rPr>
              <w:t>النقاط الايجابية المحتملة</w:t>
            </w:r>
          </w:p>
        </w:tc>
        <w:tc>
          <w:tcPr>
            <w:tcW w:w="1857" w:type="pct"/>
            <w:tcBorders>
              <w:bottom w:val="single" w:sz="4" w:space="0" w:color="auto"/>
            </w:tcBorders>
            <w:shd w:val="clear" w:color="auto" w:fill="DC281E"/>
          </w:tcPr>
          <w:p w:rsidR="00062472" w:rsidRPr="00935904" w:rsidRDefault="00C36D66" w:rsidP="00EA005C">
            <w:pPr>
              <w:pStyle w:val="Pa25"/>
              <w:bidi/>
              <w:spacing w:before="120" w:line="240" w:lineRule="auto"/>
              <w:jc w:val="center"/>
              <w:rPr>
                <w:rFonts w:ascii="Arial" w:hAnsi="Arial" w:cs="Arial"/>
                <w:b/>
                <w:color w:val="FFFFFF"/>
                <w:szCs w:val="21"/>
              </w:rPr>
            </w:pPr>
            <w:r>
              <w:rPr>
                <w:rFonts w:ascii="Arial" w:hAnsi="Arial" w:cs="Arial" w:hint="cs"/>
                <w:b/>
                <w:color w:val="FFFFFF"/>
                <w:szCs w:val="21"/>
                <w:rtl/>
              </w:rPr>
              <w:t>النقاط السلبية المحتملة</w:t>
            </w:r>
          </w:p>
        </w:tc>
      </w:tr>
      <w:tr w:rsidR="005556CC" w:rsidRPr="005D4EC2" w:rsidTr="003A382D">
        <w:tc>
          <w:tcPr>
            <w:tcW w:w="813" w:type="pct"/>
            <w:tcBorders>
              <w:bottom w:val="single" w:sz="4" w:space="0" w:color="auto"/>
            </w:tcBorders>
            <w:shd w:val="clear" w:color="auto" w:fill="A6A6A6"/>
          </w:tcPr>
          <w:p w:rsidR="00062472" w:rsidRPr="005D4EC2" w:rsidRDefault="00F456B3" w:rsidP="00EA005C">
            <w:pPr>
              <w:pStyle w:val="Pa25"/>
              <w:bidi/>
              <w:spacing w:before="60" w:after="60"/>
              <w:jc w:val="left"/>
              <w:rPr>
                <w:rFonts w:ascii="Arial" w:hAnsi="Arial" w:cs="Arial"/>
                <w:color w:val="000000"/>
                <w:szCs w:val="21"/>
              </w:rPr>
            </w:pPr>
            <w:r>
              <w:rPr>
                <w:rFonts w:ascii="Arial" w:hAnsi="Arial" w:cs="Arial" w:hint="cs"/>
                <w:color w:val="000000"/>
                <w:szCs w:val="21"/>
                <w:rtl/>
              </w:rPr>
              <w:lastRenderedPageBreak/>
              <w:t>بحسب المخرجات</w:t>
            </w:r>
          </w:p>
        </w:tc>
        <w:tc>
          <w:tcPr>
            <w:tcW w:w="1082" w:type="pct"/>
            <w:tcBorders>
              <w:bottom w:val="single" w:sz="4" w:space="0" w:color="auto"/>
            </w:tcBorders>
            <w:shd w:val="clear" w:color="auto" w:fill="E6E6E6"/>
          </w:tcPr>
          <w:p w:rsidR="00062472" w:rsidRDefault="00062472" w:rsidP="00EA005C">
            <w:pPr>
              <w:pStyle w:val="Pa25"/>
              <w:bidi/>
              <w:spacing w:before="60" w:after="60"/>
              <w:jc w:val="left"/>
              <w:rPr>
                <w:rFonts w:ascii="Arial" w:hAnsi="Arial" w:cs="Arial" w:hint="cs"/>
                <w:color w:val="000000"/>
                <w:szCs w:val="21"/>
                <w:rtl/>
              </w:rPr>
            </w:pPr>
          </w:p>
          <w:p w:rsidR="00F456B3" w:rsidRPr="00F456B3" w:rsidRDefault="00F456B3" w:rsidP="00F456B3">
            <w:pPr>
              <w:bidi/>
            </w:pPr>
            <w:r>
              <w:rPr>
                <w:rFonts w:hint="cs"/>
                <w:rtl/>
              </w:rPr>
              <w:t xml:space="preserve">يستند الدفع إلى مخرجات العمل المحددة مسبقاً </w:t>
            </w:r>
            <w:r w:rsidRPr="00F456B3">
              <w:rPr>
                <w:rtl/>
              </w:rPr>
              <w:t>(على سبيل المثال،  المنازل التي بنيت</w:t>
            </w:r>
            <w:r>
              <w:rPr>
                <w:rFonts w:hint="cs"/>
                <w:rtl/>
              </w:rPr>
              <w:t>، والمساحات التي</w:t>
            </w:r>
            <w:r w:rsidRPr="00F456B3">
              <w:rPr>
                <w:rtl/>
              </w:rPr>
              <w:t xml:space="preserve"> </w:t>
            </w:r>
            <w:r>
              <w:rPr>
                <w:rtl/>
              </w:rPr>
              <w:t>نظف</w:t>
            </w:r>
            <w:r>
              <w:rPr>
                <w:rFonts w:hint="cs"/>
                <w:rtl/>
              </w:rPr>
              <w:t>ت</w:t>
            </w:r>
            <w:r w:rsidRPr="00F456B3">
              <w:rPr>
                <w:rtl/>
              </w:rPr>
              <w:t>)</w:t>
            </w:r>
          </w:p>
        </w:tc>
        <w:tc>
          <w:tcPr>
            <w:tcW w:w="1248" w:type="pct"/>
            <w:tcBorders>
              <w:bottom w:val="single" w:sz="4" w:space="0" w:color="auto"/>
            </w:tcBorders>
            <w:shd w:val="clear" w:color="auto" w:fill="F3F3F3"/>
          </w:tcPr>
          <w:p w:rsidR="00F456B3" w:rsidRDefault="00F456B3" w:rsidP="00F456B3">
            <w:pPr>
              <w:bidi/>
              <w:rPr>
                <w:rFonts w:hint="cs"/>
                <w:rtl/>
              </w:rPr>
            </w:pPr>
            <w:r>
              <w:rPr>
                <w:rFonts w:hint="cs"/>
                <w:rtl/>
              </w:rPr>
              <w:t>معايير مألوفة لعقود العمل المحلية</w:t>
            </w:r>
          </w:p>
          <w:p w:rsidR="00A6029D" w:rsidRDefault="00A6029D" w:rsidP="00A6029D">
            <w:pPr>
              <w:bidi/>
              <w:rPr>
                <w:rFonts w:hint="cs"/>
                <w:rtl/>
              </w:rPr>
            </w:pPr>
            <w:r>
              <w:rPr>
                <w:rFonts w:hint="cs"/>
                <w:rtl/>
              </w:rPr>
              <w:t>التحفيز على العمل المنتج</w:t>
            </w:r>
          </w:p>
          <w:p w:rsidR="00A6029D" w:rsidRPr="00F456B3" w:rsidRDefault="00A6029D" w:rsidP="00A6029D">
            <w:pPr>
              <w:bidi/>
            </w:pPr>
          </w:p>
        </w:tc>
        <w:tc>
          <w:tcPr>
            <w:tcW w:w="1857" w:type="pct"/>
            <w:tcBorders>
              <w:bottom w:val="single" w:sz="4" w:space="0" w:color="auto"/>
            </w:tcBorders>
            <w:shd w:val="clear" w:color="auto" w:fill="F3F3F3"/>
          </w:tcPr>
          <w:p w:rsidR="00A6029D" w:rsidRPr="00A6029D" w:rsidRDefault="009B39C0" w:rsidP="00A6029D">
            <w:pPr>
              <w:bidi/>
            </w:pPr>
            <w:r>
              <w:rPr>
                <w:rFonts w:hint="cs"/>
                <w:rtl/>
              </w:rPr>
              <w:t>ي</w:t>
            </w:r>
            <w:r w:rsidR="00A6029D">
              <w:rPr>
                <w:rFonts w:hint="cs"/>
                <w:rtl/>
              </w:rPr>
              <w:t>تطلب</w:t>
            </w:r>
            <w:r>
              <w:rPr>
                <w:rFonts w:hint="cs"/>
                <w:rtl/>
              </w:rPr>
              <w:t xml:space="preserve"> هذا النوع</w:t>
            </w:r>
            <w:r w:rsidR="00A6029D">
              <w:rPr>
                <w:rFonts w:hint="cs"/>
                <w:rtl/>
              </w:rPr>
              <w:t xml:space="preserve"> مشرفين للتأكد من أن ال</w:t>
            </w:r>
            <w:r>
              <w:rPr>
                <w:rFonts w:hint="cs"/>
                <w:rtl/>
              </w:rPr>
              <w:t>عمال</w:t>
            </w:r>
            <w:r w:rsidR="00A6029D">
              <w:rPr>
                <w:rFonts w:hint="cs"/>
                <w:rtl/>
              </w:rPr>
              <w:t xml:space="preserve"> يحصلون على الأجر مقابل العمل الذي اضطلعوا به. إذا </w:t>
            </w:r>
            <w:r w:rsidR="00FE3227">
              <w:rPr>
                <w:rFonts w:hint="cs"/>
                <w:rtl/>
              </w:rPr>
              <w:t>كانت الدفعات مرتبطة بعمل جماعي، قد يشعر المشاركون بالاستياء تجاه المشاركين من الفئات الضعيفة ككبار السن وذوي الاحتياجات الخاصة، لاسيما عندما تؤدي مشاركتها إلى الحد من الانتاجية. ومن دون الإشراف الفني، يميل العمال إلى انتاج مخرجات أقل جودة. و</w:t>
            </w:r>
            <w:r>
              <w:rPr>
                <w:rFonts w:hint="cs"/>
                <w:rtl/>
              </w:rPr>
              <w:t>عندما يكون المشروع واسع النطاق، يكون من الصعب تقسيم العمل إلى وحدات محددة وسهلة القياس</w:t>
            </w:r>
          </w:p>
        </w:tc>
      </w:tr>
      <w:tr w:rsidR="00935904" w:rsidRPr="005D4EC2" w:rsidTr="003A382D">
        <w:tc>
          <w:tcPr>
            <w:tcW w:w="813" w:type="pct"/>
            <w:tcBorders>
              <w:bottom w:val="single" w:sz="4" w:space="0" w:color="auto"/>
            </w:tcBorders>
            <w:shd w:val="clear" w:color="auto" w:fill="A6A6A6"/>
          </w:tcPr>
          <w:p w:rsidR="00062472" w:rsidRPr="005D4EC2" w:rsidRDefault="009B39C0" w:rsidP="00EA005C">
            <w:pPr>
              <w:pStyle w:val="Pa25"/>
              <w:bidi/>
              <w:spacing w:before="60" w:after="60"/>
              <w:jc w:val="left"/>
              <w:rPr>
                <w:rFonts w:ascii="Arial" w:hAnsi="Arial" w:cs="Arial"/>
                <w:color w:val="000000"/>
                <w:szCs w:val="21"/>
              </w:rPr>
            </w:pPr>
            <w:r>
              <w:rPr>
                <w:rFonts w:ascii="Arial" w:hAnsi="Arial" w:cs="Arial" w:hint="cs"/>
                <w:color w:val="000000"/>
                <w:szCs w:val="21"/>
                <w:rtl/>
              </w:rPr>
              <w:t xml:space="preserve">بجسب الإطار الزمني </w:t>
            </w:r>
          </w:p>
        </w:tc>
        <w:tc>
          <w:tcPr>
            <w:tcW w:w="1082" w:type="pct"/>
            <w:tcBorders>
              <w:bottom w:val="single" w:sz="4" w:space="0" w:color="auto"/>
            </w:tcBorders>
            <w:shd w:val="clear" w:color="auto" w:fill="E6E6E6"/>
          </w:tcPr>
          <w:p w:rsidR="00714BB1" w:rsidRPr="00714BB1" w:rsidRDefault="00714BB1" w:rsidP="00714BB1">
            <w:pPr>
              <w:bidi/>
            </w:pPr>
            <w:r>
              <w:rPr>
                <w:rFonts w:hint="cs"/>
                <w:rtl/>
              </w:rPr>
              <w:t>أي الإطار الزمني المطلوب لانهاء عمل ما. يكون الأجر بحسب عدد الأيام الكفيلة بإنهاء العمل، بغض النظر عن الوقت افضافي الذي يستلزمه العامل.</w:t>
            </w:r>
          </w:p>
        </w:tc>
        <w:tc>
          <w:tcPr>
            <w:tcW w:w="1248" w:type="pct"/>
            <w:tcBorders>
              <w:bottom w:val="single" w:sz="4" w:space="0" w:color="auto"/>
            </w:tcBorders>
            <w:shd w:val="clear" w:color="auto" w:fill="F3F3F3"/>
          </w:tcPr>
          <w:p w:rsidR="00714BB1" w:rsidRPr="00714BB1" w:rsidRDefault="004F58CF" w:rsidP="004F58CF">
            <w:pPr>
              <w:pStyle w:val="Pa25"/>
              <w:bidi/>
              <w:spacing w:before="60" w:after="60"/>
              <w:jc w:val="left"/>
            </w:pPr>
            <w:r>
              <w:rPr>
                <w:rFonts w:hint="cs"/>
                <w:rtl/>
              </w:rPr>
              <w:t xml:space="preserve"> </w:t>
            </w:r>
            <w:r w:rsidR="00714BB1">
              <w:rPr>
                <w:rFonts w:hint="cs"/>
                <w:rtl/>
              </w:rPr>
              <w:t>وضع إطار زمني محدد لكل نشاط وتخفيض خطر زيادة العامل لأيام العمل عن قصد.</w:t>
            </w:r>
          </w:p>
        </w:tc>
        <w:tc>
          <w:tcPr>
            <w:tcW w:w="1857" w:type="pct"/>
            <w:tcBorders>
              <w:bottom w:val="single" w:sz="4" w:space="0" w:color="auto"/>
            </w:tcBorders>
            <w:shd w:val="clear" w:color="auto" w:fill="F3F3F3"/>
          </w:tcPr>
          <w:p w:rsidR="00CE48B0" w:rsidRPr="00CE48B0" w:rsidRDefault="00CE48B0" w:rsidP="00AE0AE1">
            <w:pPr>
              <w:bidi/>
            </w:pPr>
            <w:r>
              <w:rPr>
                <w:rFonts w:hint="cs"/>
                <w:rtl/>
              </w:rPr>
              <w:t xml:space="preserve">يتطلب هذا النوع إشراف وإدارة للتأكد من سير البرنامج بحسب الجدول الزمني المخصص له. ومن دون تحسين آليات الرصد، </w:t>
            </w:r>
            <w:r w:rsidR="00AE0AE1">
              <w:rPr>
                <w:rFonts w:hint="cs"/>
                <w:rtl/>
              </w:rPr>
              <w:t xml:space="preserve">قد تنشأ نزاعات لاسيما إذا راي بعض العمال أنه أكثر انتاجية من غيرهم. وقد تزيد هذه الحالة سوءاً في المجتمعات المقسمة </w:t>
            </w:r>
          </w:p>
        </w:tc>
      </w:tr>
      <w:tr w:rsidR="005556CC" w:rsidRPr="005D4EC2" w:rsidTr="003A382D">
        <w:tc>
          <w:tcPr>
            <w:tcW w:w="813" w:type="pct"/>
            <w:shd w:val="clear" w:color="auto" w:fill="A6A6A6"/>
          </w:tcPr>
          <w:p w:rsidR="00062472" w:rsidRPr="005D4EC2" w:rsidRDefault="009B39C0" w:rsidP="00EA005C">
            <w:pPr>
              <w:pStyle w:val="Pa25"/>
              <w:bidi/>
              <w:spacing w:before="60" w:after="60"/>
              <w:jc w:val="left"/>
              <w:rPr>
                <w:rFonts w:ascii="Arial" w:hAnsi="Arial" w:cs="Arial"/>
                <w:szCs w:val="21"/>
              </w:rPr>
            </w:pPr>
            <w:r>
              <w:rPr>
                <w:rFonts w:ascii="Arial" w:hAnsi="Arial" w:cs="Arial" w:hint="cs"/>
                <w:szCs w:val="21"/>
                <w:rtl/>
              </w:rPr>
              <w:t>بحسب ساعات العمل اليومية</w:t>
            </w:r>
          </w:p>
        </w:tc>
        <w:tc>
          <w:tcPr>
            <w:tcW w:w="1082" w:type="pct"/>
            <w:shd w:val="clear" w:color="auto" w:fill="E6E6E6"/>
          </w:tcPr>
          <w:p w:rsidR="00086BDF" w:rsidRPr="00086BDF" w:rsidRDefault="00086BDF" w:rsidP="00086BDF">
            <w:pPr>
              <w:bidi/>
            </w:pPr>
            <w:r>
              <w:rPr>
                <w:rFonts w:hint="cs"/>
                <w:rtl/>
              </w:rPr>
              <w:t>يوافق المجتمع المعني غلى عدد ساعات العمل اليومية</w:t>
            </w:r>
          </w:p>
        </w:tc>
        <w:tc>
          <w:tcPr>
            <w:tcW w:w="1248" w:type="pct"/>
            <w:shd w:val="clear" w:color="auto" w:fill="F3F3F3"/>
          </w:tcPr>
          <w:p w:rsidR="00086BDF" w:rsidRDefault="00086BDF" w:rsidP="00086BDF">
            <w:pPr>
              <w:bidi/>
              <w:rPr>
                <w:rFonts w:hint="cs"/>
                <w:rtl/>
              </w:rPr>
            </w:pPr>
            <w:r>
              <w:rPr>
                <w:rFonts w:hint="cs"/>
                <w:rtl/>
              </w:rPr>
              <w:t>يسمح هذا النوع بالمزيد من المرونة ويطبق على البرامج التي ليس لها إطاراً زمنياً محدداً.</w:t>
            </w:r>
          </w:p>
          <w:p w:rsidR="00086BDF" w:rsidRPr="00086BDF" w:rsidRDefault="00086BDF" w:rsidP="00086BDF">
            <w:pPr>
              <w:bidi/>
            </w:pPr>
            <w:r>
              <w:rPr>
                <w:rFonts w:hint="cs"/>
                <w:rtl/>
              </w:rPr>
              <w:t>يمكن تطبيقه من دون معرفة فنية</w:t>
            </w:r>
          </w:p>
          <w:p w:rsidR="00062472" w:rsidRPr="005D4EC2" w:rsidRDefault="00062472" w:rsidP="00EA005C">
            <w:pPr>
              <w:pStyle w:val="Pa25"/>
              <w:bidi/>
              <w:spacing w:before="60" w:after="60"/>
              <w:jc w:val="left"/>
              <w:rPr>
                <w:rFonts w:ascii="Arial" w:hAnsi="Arial" w:cs="Arial"/>
                <w:szCs w:val="21"/>
              </w:rPr>
            </w:pPr>
          </w:p>
        </w:tc>
        <w:tc>
          <w:tcPr>
            <w:tcW w:w="1857" w:type="pct"/>
            <w:shd w:val="clear" w:color="auto" w:fill="F3F3F3"/>
          </w:tcPr>
          <w:p w:rsidR="00086BDF" w:rsidRPr="00086BDF" w:rsidRDefault="00086BDF" w:rsidP="00086BDF">
            <w:pPr>
              <w:bidi/>
            </w:pPr>
            <w:r>
              <w:rPr>
                <w:rFonts w:hint="cs"/>
                <w:rtl/>
              </w:rPr>
              <w:t>بسبب عدم تقيد هذا النوع بموعد نهائي، قد تمتد الدفعات على فترة زمنية طويلة من دون تحقيق الهداف المعنية بالبنية التحتية.</w:t>
            </w:r>
          </w:p>
        </w:tc>
      </w:tr>
    </w:tbl>
    <w:p w:rsidR="00062472" w:rsidRPr="005D4EC2" w:rsidRDefault="00062472" w:rsidP="00EA005C">
      <w:pPr>
        <w:widowControl w:val="0"/>
        <w:autoSpaceDE w:val="0"/>
        <w:autoSpaceDN w:val="0"/>
        <w:bidi/>
        <w:adjustRightInd w:val="0"/>
        <w:rPr>
          <w:rFonts w:cs="Arial"/>
          <w:sz w:val="22"/>
          <w:szCs w:val="19"/>
        </w:rPr>
      </w:pPr>
    </w:p>
    <w:sectPr w:rsidR="00062472" w:rsidRPr="005D4EC2" w:rsidSect="0054662B">
      <w:headerReference w:type="default" r:id="rId7"/>
      <w:footerReference w:type="default" r:id="rId8"/>
      <w:pgSz w:w="11900" w:h="16840"/>
      <w:pgMar w:top="1134" w:right="1134" w:bottom="1134" w:left="1134"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A9E" w:rsidRDefault="00275A9E" w:rsidP="0059099F">
      <w:r>
        <w:separator/>
      </w:r>
    </w:p>
  </w:endnote>
  <w:endnote w:type="continuationSeparator" w:id="1">
    <w:p w:rsidR="00275A9E" w:rsidRDefault="00275A9E" w:rsidP="005909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 Grotesk BE">
    <w:altName w:val="Calibri"/>
    <w:panose1 w:val="00000000000000000000"/>
    <w:charset w:val="00"/>
    <w:family w:val="swiss"/>
    <w:notTrueType/>
    <w:pitch w:val="default"/>
    <w:sig w:usb0="00000003" w:usb1="00000000" w:usb2="00000000" w:usb3="00000000" w:csb0="00000001"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2B" w:rsidRPr="00B45C74" w:rsidRDefault="0044017B"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54662B"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15B57">
      <w:rPr>
        <w:b/>
        <w:noProof/>
        <w:color w:val="808080" w:themeColor="background1" w:themeShade="80"/>
        <w:sz w:val="18"/>
        <w:szCs w:val="18"/>
      </w:rPr>
      <w:t>1</w:t>
    </w:r>
    <w:r w:rsidRPr="00B45C74">
      <w:rPr>
        <w:b/>
        <w:color w:val="808080" w:themeColor="background1" w:themeShade="80"/>
        <w:sz w:val="18"/>
        <w:szCs w:val="18"/>
      </w:rPr>
      <w:fldChar w:fldCharType="end"/>
    </w:r>
  </w:p>
  <w:p w:rsidR="0054662B" w:rsidRPr="003A3500" w:rsidRDefault="00FD6ECA" w:rsidP="00ED1B2B">
    <w:pPr>
      <w:pStyle w:val="Footer"/>
    </w:pPr>
    <w:r w:rsidRPr="00751C9C">
      <w:t xml:space="preserve">Modalities Box </w:t>
    </w:r>
    <w:r>
      <w:t>-</w:t>
    </w:r>
    <w:r w:rsidRPr="00751C9C">
      <w:t xml:space="preserve"> Cash for work -</w:t>
    </w:r>
    <w:r w:rsidRPr="00107E15">
      <w:t xml:space="preserve">Step </w:t>
    </w:r>
    <w:r>
      <w:t>1</w:t>
    </w:r>
    <w:r w:rsidRPr="00107E15">
      <w:t>.</w:t>
    </w:r>
    <w:r>
      <w:t xml:space="preserve"> Sub-step 3. </w:t>
    </w:r>
    <w:fldSimple w:instr=" STYLEREF  H1 \t  \* MERGEFORMAT ">
      <w:r w:rsidR="00115B57">
        <w:rPr>
          <w:i/>
          <w:noProof/>
          <w:rtl/>
        </w:rPr>
        <w:t>تحديد معدلات أجور برامج النقد مقابل العمل</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A9E" w:rsidRDefault="00275A9E" w:rsidP="0059099F">
      <w:r>
        <w:separator/>
      </w:r>
    </w:p>
  </w:footnote>
  <w:footnote w:type="continuationSeparator" w:id="1">
    <w:p w:rsidR="00275A9E" w:rsidRDefault="00275A9E" w:rsidP="00590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2B" w:rsidRPr="00074036" w:rsidRDefault="0054662B"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5E46F8"/>
    <w:lvl w:ilvl="0">
      <w:start w:val="1"/>
      <w:numFmt w:val="decimal"/>
      <w:lvlText w:val="%1."/>
      <w:lvlJc w:val="left"/>
      <w:pPr>
        <w:tabs>
          <w:tab w:val="num" w:pos="1492"/>
        </w:tabs>
        <w:ind w:left="1492" w:hanging="360"/>
      </w:pPr>
    </w:lvl>
  </w:abstractNum>
  <w:abstractNum w:abstractNumId="1">
    <w:nsid w:val="FFFFFF7D"/>
    <w:multiLevelType w:val="singleLevel"/>
    <w:tmpl w:val="A792237E"/>
    <w:lvl w:ilvl="0">
      <w:start w:val="1"/>
      <w:numFmt w:val="decimal"/>
      <w:lvlText w:val="%1."/>
      <w:lvlJc w:val="left"/>
      <w:pPr>
        <w:tabs>
          <w:tab w:val="num" w:pos="1209"/>
        </w:tabs>
        <w:ind w:left="1209" w:hanging="360"/>
      </w:pPr>
    </w:lvl>
  </w:abstractNum>
  <w:abstractNum w:abstractNumId="2">
    <w:nsid w:val="FFFFFF7E"/>
    <w:multiLevelType w:val="singleLevel"/>
    <w:tmpl w:val="5DA61A2A"/>
    <w:lvl w:ilvl="0">
      <w:start w:val="1"/>
      <w:numFmt w:val="decimal"/>
      <w:lvlText w:val="%1."/>
      <w:lvlJc w:val="left"/>
      <w:pPr>
        <w:tabs>
          <w:tab w:val="num" w:pos="926"/>
        </w:tabs>
        <w:ind w:left="926" w:hanging="360"/>
      </w:pPr>
    </w:lvl>
  </w:abstractNum>
  <w:abstractNum w:abstractNumId="3">
    <w:nsid w:val="FFFFFF7F"/>
    <w:multiLevelType w:val="singleLevel"/>
    <w:tmpl w:val="35D6C4CE"/>
    <w:lvl w:ilvl="0">
      <w:start w:val="1"/>
      <w:numFmt w:val="decimal"/>
      <w:lvlText w:val="%1."/>
      <w:lvlJc w:val="left"/>
      <w:pPr>
        <w:tabs>
          <w:tab w:val="num" w:pos="643"/>
        </w:tabs>
        <w:ind w:left="643" w:hanging="360"/>
      </w:pPr>
    </w:lvl>
  </w:abstractNum>
  <w:abstractNum w:abstractNumId="4">
    <w:nsid w:val="FFFFFF80"/>
    <w:multiLevelType w:val="singleLevel"/>
    <w:tmpl w:val="3CECA1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94B9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65F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4663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60A100"/>
    <w:lvl w:ilvl="0">
      <w:start w:val="1"/>
      <w:numFmt w:val="decimal"/>
      <w:lvlText w:val="%1."/>
      <w:lvlJc w:val="left"/>
      <w:pPr>
        <w:tabs>
          <w:tab w:val="num" w:pos="360"/>
        </w:tabs>
        <w:ind w:left="360" w:hanging="360"/>
      </w:pPr>
    </w:lvl>
  </w:abstractNum>
  <w:abstractNum w:abstractNumId="9">
    <w:nsid w:val="FFFFFF89"/>
    <w:multiLevelType w:val="singleLevel"/>
    <w:tmpl w:val="F4B44A50"/>
    <w:lvl w:ilvl="0">
      <w:start w:val="1"/>
      <w:numFmt w:val="bullet"/>
      <w:lvlText w:val=""/>
      <w:lvlJc w:val="left"/>
      <w:pPr>
        <w:tabs>
          <w:tab w:val="num" w:pos="360"/>
        </w:tabs>
        <w:ind w:left="360" w:hanging="360"/>
      </w:pPr>
      <w:rPr>
        <w:rFonts w:ascii="Symbol" w:hAnsi="Symbol" w:hint="default"/>
      </w:rPr>
    </w:lvl>
  </w:abstractNum>
  <w:abstractNum w:abstractNumId="1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394AEE"/>
    <w:multiLevelType w:val="hybridMultilevel"/>
    <w:tmpl w:val="C40C88E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074E1"/>
    <w:multiLevelType w:val="hybridMultilevel"/>
    <w:tmpl w:val="5D40DA8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74236F"/>
    <w:multiLevelType w:val="hybridMultilevel"/>
    <w:tmpl w:val="096A67C8"/>
    <w:lvl w:ilvl="0" w:tplc="B7E69AF6">
      <w:start w:val="4"/>
      <w:numFmt w:val="bullet"/>
      <w:lvlText w:val="-"/>
      <w:lvlJc w:val="left"/>
      <w:pPr>
        <w:ind w:left="720" w:hanging="360"/>
      </w:pPr>
      <w:rPr>
        <w:rFonts w:ascii="Calibri" w:eastAsia="Times New Roman" w:hAnsi="Calibri"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5037020C"/>
    <w:multiLevelType w:val="hybridMultilevel"/>
    <w:tmpl w:val="81D41EC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8163F1"/>
    <w:multiLevelType w:val="hybridMultilevel"/>
    <w:tmpl w:val="CCA8089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61AE0C0E"/>
    <w:multiLevelType w:val="hybridMultilevel"/>
    <w:tmpl w:val="4C804E4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16"/>
  </w:num>
  <w:num w:numId="5">
    <w:abstractNumId w:val="20"/>
  </w:num>
  <w:num w:numId="6">
    <w:abstractNumId w:val="13"/>
  </w:num>
  <w:num w:numId="7">
    <w:abstractNumId w:val="10"/>
  </w:num>
  <w:num w:numId="8">
    <w:abstractNumId w:val="17"/>
  </w:num>
  <w:num w:numId="9">
    <w:abstractNumId w:val="12"/>
  </w:num>
  <w:num w:numId="10">
    <w:abstractNumId w:val="18"/>
  </w:num>
  <w:num w:numId="11">
    <w:abstractNumId w:val="21"/>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linkStyles/>
  <w:doNotTrackMov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useFELayout/>
  </w:compat>
  <w:rsids>
    <w:rsidRoot w:val="00865679"/>
    <w:rsid w:val="00062472"/>
    <w:rsid w:val="00086BDF"/>
    <w:rsid w:val="00115B57"/>
    <w:rsid w:val="00162E2B"/>
    <w:rsid w:val="00197003"/>
    <w:rsid w:val="00275A9E"/>
    <w:rsid w:val="002A6B27"/>
    <w:rsid w:val="002B03AA"/>
    <w:rsid w:val="003A382D"/>
    <w:rsid w:val="003F3837"/>
    <w:rsid w:val="00404140"/>
    <w:rsid w:val="00415B26"/>
    <w:rsid w:val="0044017B"/>
    <w:rsid w:val="00453C43"/>
    <w:rsid w:val="004F58CF"/>
    <w:rsid w:val="0054662B"/>
    <w:rsid w:val="005556CC"/>
    <w:rsid w:val="00585A08"/>
    <w:rsid w:val="0059099F"/>
    <w:rsid w:val="005D4EC2"/>
    <w:rsid w:val="00616661"/>
    <w:rsid w:val="006D14EB"/>
    <w:rsid w:val="00714BB1"/>
    <w:rsid w:val="00850755"/>
    <w:rsid w:val="00865679"/>
    <w:rsid w:val="00874B86"/>
    <w:rsid w:val="008D5049"/>
    <w:rsid w:val="00935904"/>
    <w:rsid w:val="00942088"/>
    <w:rsid w:val="009B39C0"/>
    <w:rsid w:val="009E5FB9"/>
    <w:rsid w:val="00A05584"/>
    <w:rsid w:val="00A30523"/>
    <w:rsid w:val="00A6029D"/>
    <w:rsid w:val="00AB21C2"/>
    <w:rsid w:val="00AB5523"/>
    <w:rsid w:val="00AE0AE1"/>
    <w:rsid w:val="00B05997"/>
    <w:rsid w:val="00B83985"/>
    <w:rsid w:val="00C36D66"/>
    <w:rsid w:val="00C64C31"/>
    <w:rsid w:val="00CE48B0"/>
    <w:rsid w:val="00D5242A"/>
    <w:rsid w:val="00E702C2"/>
    <w:rsid w:val="00E97ACA"/>
    <w:rsid w:val="00EA005C"/>
    <w:rsid w:val="00EA1F29"/>
    <w:rsid w:val="00EE5A21"/>
    <w:rsid w:val="00F21C8C"/>
    <w:rsid w:val="00F33EE4"/>
    <w:rsid w:val="00F456B3"/>
    <w:rsid w:val="00F51CEF"/>
    <w:rsid w:val="00FD6ECA"/>
    <w:rsid w:val="00FE3227"/>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A30523"/>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A30523"/>
  </w:style>
  <w:style w:type="paragraph" w:styleId="Heading2">
    <w:name w:val="heading 2"/>
    <w:basedOn w:val="Normal"/>
    <w:next w:val="Normal"/>
    <w:link w:val="Heading2Char"/>
    <w:uiPriority w:val="9"/>
    <w:unhideWhenUsed/>
    <w:qFormat/>
    <w:rsid w:val="00A3052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A30523"/>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EE0D42"/>
    <w:pPr>
      <w:widowControl w:val="0"/>
      <w:autoSpaceDE w:val="0"/>
      <w:autoSpaceDN w:val="0"/>
      <w:adjustRightInd w:val="0"/>
      <w:spacing w:line="211" w:lineRule="atLeast"/>
    </w:pPr>
    <w:rPr>
      <w:rFonts w:ascii="Akzidenz Grotesk BE" w:hAnsi="Akzidenz Grotesk BE"/>
    </w:rPr>
  </w:style>
  <w:style w:type="paragraph" w:customStyle="1" w:styleId="Pa24">
    <w:name w:val="Pa24"/>
    <w:basedOn w:val="Normal"/>
    <w:next w:val="Normal"/>
    <w:uiPriority w:val="99"/>
    <w:rsid w:val="00EE0D42"/>
    <w:pPr>
      <w:widowControl w:val="0"/>
      <w:autoSpaceDE w:val="0"/>
      <w:autoSpaceDN w:val="0"/>
      <w:adjustRightInd w:val="0"/>
      <w:spacing w:line="211" w:lineRule="atLeast"/>
    </w:pPr>
    <w:rPr>
      <w:rFonts w:ascii="Akzidenz Grotesk BE" w:hAnsi="Akzidenz Grotesk BE"/>
    </w:rPr>
  </w:style>
  <w:style w:type="paragraph" w:customStyle="1" w:styleId="Pa25">
    <w:name w:val="Pa25"/>
    <w:basedOn w:val="Normal"/>
    <w:next w:val="Normal"/>
    <w:uiPriority w:val="99"/>
    <w:rsid w:val="00EE0D42"/>
    <w:pPr>
      <w:widowControl w:val="0"/>
      <w:autoSpaceDE w:val="0"/>
      <w:autoSpaceDN w:val="0"/>
      <w:adjustRightInd w:val="0"/>
      <w:spacing w:line="211" w:lineRule="atLeast"/>
    </w:pPr>
    <w:rPr>
      <w:rFonts w:ascii="Akzidenz Grotesk BE" w:hAnsi="Akzidenz Grotesk BE"/>
    </w:rPr>
  </w:style>
  <w:style w:type="character" w:customStyle="1" w:styleId="A11">
    <w:name w:val="A11"/>
    <w:uiPriority w:val="99"/>
    <w:rsid w:val="00EE0D42"/>
    <w:rPr>
      <w:rFonts w:cs="Akzidenz Grotesk BE"/>
      <w:color w:val="000000"/>
      <w:sz w:val="21"/>
      <w:szCs w:val="21"/>
      <w:u w:val="single"/>
    </w:rPr>
  </w:style>
  <w:style w:type="paragraph" w:customStyle="1" w:styleId="Pa23">
    <w:name w:val="Pa23"/>
    <w:basedOn w:val="Normal"/>
    <w:next w:val="Normal"/>
    <w:uiPriority w:val="99"/>
    <w:rsid w:val="00EE0D42"/>
    <w:pPr>
      <w:widowControl w:val="0"/>
      <w:autoSpaceDE w:val="0"/>
      <w:autoSpaceDN w:val="0"/>
      <w:adjustRightInd w:val="0"/>
      <w:spacing w:line="211" w:lineRule="atLeast"/>
    </w:pPr>
    <w:rPr>
      <w:rFonts w:ascii="Akzidenz Grotesk BE Bold" w:hAnsi="Akzidenz Grotesk BE Bold"/>
    </w:rPr>
  </w:style>
  <w:style w:type="paragraph" w:customStyle="1" w:styleId="Textetable">
    <w:name w:val="Textetable"/>
    <w:basedOn w:val="Normal"/>
    <w:rsid w:val="0011189D"/>
    <w:pPr>
      <w:spacing w:before="80" w:after="80"/>
    </w:pPr>
    <w:rPr>
      <w:rFonts w:eastAsia="Times New Roman"/>
      <w:lang w:eastAsia="fr-FR"/>
    </w:rPr>
  </w:style>
  <w:style w:type="table" w:styleId="TableGrid">
    <w:name w:val="Table Grid"/>
    <w:basedOn w:val="TableNormal"/>
    <w:uiPriority w:val="59"/>
    <w:rsid w:val="00A30523"/>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30523"/>
    <w:pPr>
      <w:spacing w:after="240"/>
      <w:ind w:left="720"/>
      <w:contextualSpacing/>
    </w:pPr>
    <w:rPr>
      <w:rFonts w:eastAsiaTheme="minorHAnsi" w:cstheme="minorBidi"/>
      <w:szCs w:val="22"/>
    </w:rPr>
  </w:style>
  <w:style w:type="paragraph" w:styleId="BalloonText">
    <w:name w:val="Balloon Text"/>
    <w:basedOn w:val="Normal"/>
    <w:link w:val="BalloonTextChar"/>
    <w:uiPriority w:val="99"/>
    <w:unhideWhenUsed/>
    <w:rsid w:val="00A305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A30523"/>
    <w:rPr>
      <w:rFonts w:ascii="Lucida Grande" w:hAnsi="Lucida Grande" w:cs="Lucida Grande"/>
      <w:sz w:val="18"/>
      <w:szCs w:val="18"/>
    </w:rPr>
  </w:style>
  <w:style w:type="paragraph" w:styleId="Header">
    <w:name w:val="header"/>
    <w:basedOn w:val="Normal"/>
    <w:link w:val="HeaderChar"/>
    <w:uiPriority w:val="99"/>
    <w:unhideWhenUsed/>
    <w:rsid w:val="00A30523"/>
    <w:pPr>
      <w:spacing w:after="0" w:line="288" w:lineRule="auto"/>
      <w:jc w:val="left"/>
    </w:pPr>
    <w:rPr>
      <w:sz w:val="16"/>
    </w:rPr>
  </w:style>
  <w:style w:type="character" w:customStyle="1" w:styleId="HeaderChar">
    <w:name w:val="Header Char"/>
    <w:basedOn w:val="DefaultParagraphFont"/>
    <w:link w:val="Header"/>
    <w:uiPriority w:val="99"/>
    <w:rsid w:val="00A30523"/>
    <w:rPr>
      <w:rFonts w:ascii="Arial" w:hAnsi="Arial" w:cs="Times New Roman"/>
      <w:sz w:val="16"/>
      <w:szCs w:val="20"/>
    </w:rPr>
  </w:style>
  <w:style w:type="paragraph" w:styleId="Footer">
    <w:name w:val="footer"/>
    <w:basedOn w:val="Normal"/>
    <w:link w:val="FooterChar"/>
    <w:uiPriority w:val="99"/>
    <w:unhideWhenUsed/>
    <w:rsid w:val="00A30523"/>
    <w:pPr>
      <w:spacing w:after="0"/>
      <w:jc w:val="left"/>
    </w:pPr>
    <w:rPr>
      <w:sz w:val="16"/>
      <w:szCs w:val="18"/>
    </w:rPr>
  </w:style>
  <w:style w:type="character" w:customStyle="1" w:styleId="FooterChar">
    <w:name w:val="Footer Char"/>
    <w:basedOn w:val="DefaultParagraphFont"/>
    <w:link w:val="Footer"/>
    <w:uiPriority w:val="99"/>
    <w:rsid w:val="00A30523"/>
    <w:rPr>
      <w:rFonts w:ascii="Arial" w:hAnsi="Arial" w:cs="Times New Roman"/>
      <w:sz w:val="16"/>
      <w:szCs w:val="18"/>
    </w:rPr>
  </w:style>
  <w:style w:type="character" w:customStyle="1" w:styleId="Heading1Char">
    <w:name w:val="Heading 1 Char"/>
    <w:basedOn w:val="DefaultParagraphFont"/>
    <w:link w:val="Heading1"/>
    <w:uiPriority w:val="9"/>
    <w:rsid w:val="00A30523"/>
    <w:rPr>
      <w:rFonts w:ascii="Arial" w:hAnsi="Arial" w:cs="Times New Roman"/>
      <w:b/>
      <w:sz w:val="40"/>
      <w:szCs w:val="52"/>
    </w:rPr>
  </w:style>
  <w:style w:type="character" w:customStyle="1" w:styleId="Heading2Char">
    <w:name w:val="Heading 2 Char"/>
    <w:basedOn w:val="DefaultParagraphFont"/>
    <w:link w:val="Heading2"/>
    <w:uiPriority w:val="9"/>
    <w:rsid w:val="00A30523"/>
    <w:rPr>
      <w:rFonts w:ascii="Arial" w:hAnsi="Arial" w:cs="Times New Roman"/>
      <w:b/>
      <w:caps/>
      <w:szCs w:val="26"/>
    </w:rPr>
  </w:style>
  <w:style w:type="character" w:customStyle="1" w:styleId="Heading3Char">
    <w:name w:val="Heading 3 Char"/>
    <w:basedOn w:val="DefaultParagraphFont"/>
    <w:link w:val="Heading3"/>
    <w:uiPriority w:val="9"/>
    <w:rsid w:val="00A30523"/>
    <w:rPr>
      <w:rFonts w:ascii="Arial" w:hAnsi="Arial" w:cs="Times New Roman"/>
      <w:b/>
      <w:sz w:val="22"/>
    </w:rPr>
  </w:style>
  <w:style w:type="character" w:customStyle="1" w:styleId="ListParagraphChar">
    <w:name w:val="List Paragraph Char"/>
    <w:basedOn w:val="DefaultParagraphFont"/>
    <w:link w:val="ListParagraph"/>
    <w:uiPriority w:val="34"/>
    <w:rsid w:val="00A30523"/>
    <w:rPr>
      <w:rFonts w:ascii="Arial" w:eastAsiaTheme="minorHAnsi" w:hAnsi="Arial" w:cstheme="minorBidi"/>
      <w:sz w:val="20"/>
      <w:szCs w:val="22"/>
    </w:rPr>
  </w:style>
  <w:style w:type="paragraph" w:customStyle="1" w:styleId="Default">
    <w:name w:val="Default"/>
    <w:rsid w:val="00A30523"/>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unhideWhenUsed/>
    <w:rsid w:val="00A30523"/>
    <w:rPr>
      <w:sz w:val="18"/>
      <w:szCs w:val="18"/>
    </w:rPr>
  </w:style>
  <w:style w:type="paragraph" w:styleId="CommentText">
    <w:name w:val="annotation text"/>
    <w:basedOn w:val="Normal"/>
    <w:link w:val="CommentTextChar"/>
    <w:rsid w:val="0054662B"/>
  </w:style>
  <w:style w:type="character" w:customStyle="1" w:styleId="CommentTextChar">
    <w:name w:val="Comment Text Char"/>
    <w:basedOn w:val="DefaultParagraphFont"/>
    <w:link w:val="CommentText"/>
    <w:rsid w:val="0054662B"/>
    <w:rPr>
      <w:rFonts w:ascii="Arial" w:hAnsi="Arial" w:cs="Times New Roman"/>
      <w:sz w:val="20"/>
      <w:szCs w:val="20"/>
    </w:rPr>
  </w:style>
  <w:style w:type="paragraph" w:styleId="CommentSubject">
    <w:name w:val="annotation subject"/>
    <w:basedOn w:val="Normal"/>
    <w:link w:val="CommentSubjectChar"/>
    <w:uiPriority w:val="99"/>
    <w:unhideWhenUsed/>
    <w:rsid w:val="00A30523"/>
    <w:rPr>
      <w:b/>
      <w:bCs/>
    </w:rPr>
  </w:style>
  <w:style w:type="character" w:customStyle="1" w:styleId="CommentSubjectChar">
    <w:name w:val="Comment Subject Char"/>
    <w:basedOn w:val="DefaultParagraphFont"/>
    <w:link w:val="CommentSubject"/>
    <w:uiPriority w:val="99"/>
    <w:rsid w:val="00A30523"/>
    <w:rPr>
      <w:rFonts w:ascii="Arial" w:hAnsi="Arial" w:cs="Times New Roman"/>
      <w:b/>
      <w:bCs/>
      <w:sz w:val="20"/>
      <w:szCs w:val="20"/>
    </w:rPr>
  </w:style>
  <w:style w:type="character" w:styleId="PageNumber">
    <w:name w:val="page number"/>
    <w:basedOn w:val="DefaultParagraphFont"/>
    <w:uiPriority w:val="99"/>
    <w:unhideWhenUsed/>
    <w:rsid w:val="00A30523"/>
    <w:rPr>
      <w:b/>
    </w:rPr>
  </w:style>
  <w:style w:type="character" w:styleId="Hyperlink">
    <w:name w:val="Hyperlink"/>
    <w:basedOn w:val="DefaultParagraphFont"/>
    <w:uiPriority w:val="99"/>
    <w:unhideWhenUsed/>
    <w:rsid w:val="00A30523"/>
    <w:rPr>
      <w:color w:val="0000FF" w:themeColor="hyperlink"/>
      <w:u w:val="single"/>
    </w:rPr>
  </w:style>
  <w:style w:type="character" w:styleId="FollowedHyperlink">
    <w:name w:val="FollowedHyperlink"/>
    <w:basedOn w:val="DefaultParagraphFont"/>
    <w:uiPriority w:val="99"/>
    <w:unhideWhenUsed/>
    <w:rsid w:val="00A30523"/>
    <w:rPr>
      <w:color w:val="800080" w:themeColor="followedHyperlink"/>
      <w:u w:val="single"/>
    </w:rPr>
  </w:style>
  <w:style w:type="paragraph" w:styleId="FootnoteText">
    <w:name w:val="footnote text"/>
    <w:basedOn w:val="Normal"/>
    <w:link w:val="FootnoteTextChar"/>
    <w:uiPriority w:val="99"/>
    <w:unhideWhenUsed/>
    <w:rsid w:val="00A30523"/>
    <w:pPr>
      <w:spacing w:after="0"/>
    </w:pPr>
    <w:rPr>
      <w:sz w:val="16"/>
      <w:szCs w:val="22"/>
    </w:rPr>
  </w:style>
  <w:style w:type="character" w:customStyle="1" w:styleId="FootnoteTextChar">
    <w:name w:val="Footnote Text Char"/>
    <w:basedOn w:val="DefaultParagraphFont"/>
    <w:link w:val="FootnoteText"/>
    <w:uiPriority w:val="99"/>
    <w:rsid w:val="00A30523"/>
    <w:rPr>
      <w:rFonts w:ascii="Arial" w:hAnsi="Arial" w:cs="Times New Roman"/>
      <w:sz w:val="16"/>
      <w:szCs w:val="22"/>
    </w:rPr>
  </w:style>
  <w:style w:type="character" w:styleId="FootnoteReference">
    <w:name w:val="footnote reference"/>
    <w:basedOn w:val="DefaultParagraphFont"/>
    <w:uiPriority w:val="99"/>
    <w:unhideWhenUsed/>
    <w:rsid w:val="00A30523"/>
    <w:rPr>
      <w:vertAlign w:val="superscript"/>
    </w:rPr>
  </w:style>
  <w:style w:type="paragraph" w:styleId="Revision">
    <w:name w:val="Revision"/>
    <w:hidden/>
    <w:uiPriority w:val="99"/>
    <w:rsid w:val="00A30523"/>
    <w:rPr>
      <w:rFonts w:ascii="Arial" w:hAnsi="Arial" w:cs="Arial"/>
      <w:sz w:val="21"/>
      <w:szCs w:val="21"/>
    </w:rPr>
  </w:style>
  <w:style w:type="paragraph" w:customStyle="1" w:styleId="BasicParagraph">
    <w:name w:val="[Basic Paragraph]"/>
    <w:basedOn w:val="Normal"/>
    <w:uiPriority w:val="99"/>
    <w:rsid w:val="00A3052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A30523"/>
    <w:pPr>
      <w:spacing w:before="360" w:after="240"/>
      <w:jc w:val="left"/>
      <w:outlineLvl w:val="0"/>
    </w:pPr>
    <w:rPr>
      <w:b/>
      <w:sz w:val="40"/>
      <w:szCs w:val="52"/>
    </w:rPr>
  </w:style>
  <w:style w:type="paragraph" w:customStyle="1" w:styleId="Bullet1">
    <w:name w:val="Bullet 1"/>
    <w:basedOn w:val="Normal"/>
    <w:rsid w:val="00A30523"/>
    <w:pPr>
      <w:numPr>
        <w:numId w:val="9"/>
      </w:numPr>
      <w:spacing w:before="60"/>
    </w:pPr>
    <w:rPr>
      <w:rFonts w:eastAsia="Times New Roman"/>
      <w:color w:val="000000"/>
    </w:rPr>
  </w:style>
  <w:style w:type="paragraph" w:customStyle="1" w:styleId="RefItem1">
    <w:name w:val="Ref Item 1"/>
    <w:basedOn w:val="Normal"/>
    <w:rsid w:val="00A30523"/>
    <w:pPr>
      <w:jc w:val="left"/>
    </w:pPr>
    <w:rPr>
      <w:color w:val="000000"/>
      <w:szCs w:val="24"/>
      <w:lang w:eastAsia="it-IT"/>
    </w:rPr>
  </w:style>
  <w:style w:type="paragraph" w:customStyle="1" w:styleId="RefTitre">
    <w:name w:val="Ref Titre"/>
    <w:basedOn w:val="Normal"/>
    <w:rsid w:val="00A30523"/>
    <w:pPr>
      <w:jc w:val="left"/>
    </w:pPr>
    <w:rPr>
      <w:rFonts w:eastAsia="Times New Roman"/>
      <w:b/>
      <w:bCs/>
      <w:sz w:val="26"/>
      <w:szCs w:val="26"/>
    </w:rPr>
  </w:style>
  <w:style w:type="paragraph" w:customStyle="1" w:styleId="Header1">
    <w:name w:val="Header 1"/>
    <w:basedOn w:val="Header"/>
    <w:rsid w:val="00A30523"/>
    <w:rPr>
      <w:b/>
      <w:sz w:val="24"/>
      <w:szCs w:val="24"/>
    </w:rPr>
  </w:style>
  <w:style w:type="character" w:customStyle="1" w:styleId="Pantone485">
    <w:name w:val="Pantone 485"/>
    <w:basedOn w:val="DefaultParagraphFont"/>
    <w:uiPriority w:val="1"/>
    <w:qFormat/>
    <w:rsid w:val="00A30523"/>
    <w:rPr>
      <w:rFonts w:cs="Caecilia-Light"/>
      <w:color w:val="DC281E"/>
      <w:szCs w:val="16"/>
    </w:rPr>
  </w:style>
  <w:style w:type="character" w:customStyle="1" w:styleId="H1Char">
    <w:name w:val="H1 Char"/>
    <w:basedOn w:val="DefaultParagraphFont"/>
    <w:link w:val="H1"/>
    <w:rsid w:val="00A30523"/>
    <w:rPr>
      <w:rFonts w:ascii="Arial" w:hAnsi="Arial" w:cs="Times New Roman"/>
      <w:b/>
      <w:sz w:val="40"/>
      <w:szCs w:val="52"/>
    </w:rPr>
  </w:style>
  <w:style w:type="table" w:customStyle="1" w:styleId="TableGray">
    <w:name w:val="Table Gray"/>
    <w:basedOn w:val="TableNormal"/>
    <w:uiPriority w:val="99"/>
    <w:rsid w:val="00A30523"/>
    <w:rPr>
      <w:rFonts w:asciiTheme="minorHAnsi" w:hAnsiTheme="minorHAnsi"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A30523"/>
    <w:pPr>
      <w:numPr>
        <w:numId w:val="10"/>
      </w:numPr>
      <w:spacing w:before="120" w:after="120"/>
      <w:contextualSpacing w:val="0"/>
    </w:pPr>
    <w:rPr>
      <w:rFonts w:eastAsia="Cambria" w:cs="Arial"/>
    </w:rPr>
  </w:style>
  <w:style w:type="paragraph" w:customStyle="1" w:styleId="ListNumber1">
    <w:name w:val="List Number 1"/>
    <w:basedOn w:val="Normal"/>
    <w:rsid w:val="00A30523"/>
    <w:pPr>
      <w:numPr>
        <w:ilvl w:val="1"/>
        <w:numId w:val="7"/>
      </w:numPr>
      <w:contextualSpacing/>
    </w:pPr>
    <w:rPr>
      <w:rFonts w:eastAsiaTheme="minorHAnsi" w:cstheme="minorHAnsi"/>
      <w:szCs w:val="22"/>
    </w:rPr>
  </w:style>
  <w:style w:type="paragraph" w:customStyle="1" w:styleId="NormalNo">
    <w:name w:val="Normal + No"/>
    <w:basedOn w:val="Normal"/>
    <w:qFormat/>
    <w:rsid w:val="00A30523"/>
    <w:pPr>
      <w:numPr>
        <w:numId w:val="8"/>
      </w:numPr>
    </w:pPr>
    <w:rPr>
      <w:rFonts w:eastAsia="MS Mincho"/>
      <w:b/>
      <w:sz w:val="22"/>
    </w:rPr>
  </w:style>
  <w:style w:type="paragraph" w:customStyle="1" w:styleId="Bullet3">
    <w:name w:val="Bullet 3"/>
    <w:basedOn w:val="ListParagraph"/>
    <w:qFormat/>
    <w:rsid w:val="00A30523"/>
    <w:pPr>
      <w:numPr>
        <w:numId w:val="11"/>
      </w:numPr>
      <w:spacing w:before="120" w:after="120"/>
      <w:ind w:right="425"/>
    </w:pPr>
    <w:rPr>
      <w:rFonts w:cs="Arial"/>
      <w:i/>
      <w:iCs/>
    </w:rPr>
  </w:style>
  <w:style w:type="paragraph" w:customStyle="1" w:styleId="Indent">
    <w:name w:val="Indent"/>
    <w:basedOn w:val="Normal"/>
    <w:qFormat/>
    <w:rsid w:val="00A30523"/>
    <w:pPr>
      <w:ind w:left="567"/>
    </w:pPr>
    <w:rPr>
      <w:rFonts w:cs="Arial"/>
      <w:b/>
    </w:rPr>
  </w:style>
  <w:style w:type="paragraph" w:customStyle="1" w:styleId="TitreTableau">
    <w:name w:val="Titre Tableau"/>
    <w:basedOn w:val="Normal"/>
    <w:qFormat/>
    <w:rsid w:val="00A30523"/>
    <w:pPr>
      <w:spacing w:before="120"/>
      <w:jc w:val="center"/>
    </w:pPr>
    <w:rPr>
      <w:rFonts w:cs="Arial"/>
      <w:b/>
      <w:bCs/>
      <w:color w:val="FFFFFF" w:themeColor="background1"/>
      <w:lang w:val="en-CA"/>
    </w:rPr>
  </w:style>
  <w:style w:type="paragraph" w:customStyle="1" w:styleId="BulletTableau">
    <w:name w:val="Bullet Tableau"/>
    <w:basedOn w:val="Bullet2"/>
    <w:qFormat/>
    <w:rsid w:val="00A30523"/>
    <w:pPr>
      <w:keepNext/>
      <w:keepLines/>
      <w:framePr w:hSpace="141" w:wrap="around" w:vAnchor="text" w:hAnchor="margin" w:y="402"/>
      <w:numPr>
        <w:numId w:val="12"/>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862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EE0D42"/>
    <w:pPr>
      <w:widowControl w:val="0"/>
      <w:autoSpaceDE w:val="0"/>
      <w:autoSpaceDN w:val="0"/>
      <w:adjustRightInd w:val="0"/>
      <w:spacing w:line="211" w:lineRule="atLeast"/>
    </w:pPr>
    <w:rPr>
      <w:rFonts w:ascii="Akzidenz Grotesk BE" w:hAnsi="Akzidenz Grotesk BE" w:cs="Times New Roman"/>
      <w:lang w:val="en-US"/>
    </w:rPr>
  </w:style>
  <w:style w:type="paragraph" w:customStyle="1" w:styleId="Pa24">
    <w:name w:val="Pa24"/>
    <w:basedOn w:val="Normal"/>
    <w:next w:val="Normal"/>
    <w:uiPriority w:val="99"/>
    <w:rsid w:val="00EE0D42"/>
    <w:pPr>
      <w:widowControl w:val="0"/>
      <w:autoSpaceDE w:val="0"/>
      <w:autoSpaceDN w:val="0"/>
      <w:adjustRightInd w:val="0"/>
      <w:spacing w:line="211" w:lineRule="atLeast"/>
    </w:pPr>
    <w:rPr>
      <w:rFonts w:ascii="Akzidenz Grotesk BE" w:hAnsi="Akzidenz Grotesk BE" w:cs="Times New Roman"/>
      <w:lang w:val="en-US"/>
    </w:rPr>
  </w:style>
  <w:style w:type="paragraph" w:customStyle="1" w:styleId="Pa25">
    <w:name w:val="Pa25"/>
    <w:basedOn w:val="Normal"/>
    <w:next w:val="Normal"/>
    <w:uiPriority w:val="99"/>
    <w:rsid w:val="00EE0D42"/>
    <w:pPr>
      <w:widowControl w:val="0"/>
      <w:autoSpaceDE w:val="0"/>
      <w:autoSpaceDN w:val="0"/>
      <w:adjustRightInd w:val="0"/>
      <w:spacing w:line="211" w:lineRule="atLeast"/>
    </w:pPr>
    <w:rPr>
      <w:rFonts w:ascii="Akzidenz Grotesk BE" w:hAnsi="Akzidenz Grotesk BE" w:cs="Times New Roman"/>
      <w:lang w:val="en-US"/>
    </w:rPr>
  </w:style>
  <w:style w:type="character" w:customStyle="1" w:styleId="A11">
    <w:name w:val="A11"/>
    <w:uiPriority w:val="99"/>
    <w:rsid w:val="00EE0D42"/>
    <w:rPr>
      <w:rFonts w:cs="Akzidenz Grotesk BE"/>
      <w:color w:val="000000"/>
      <w:sz w:val="21"/>
      <w:szCs w:val="21"/>
      <w:u w:val="single"/>
    </w:rPr>
  </w:style>
  <w:style w:type="paragraph" w:customStyle="1" w:styleId="Pa23">
    <w:name w:val="Pa23"/>
    <w:basedOn w:val="Normal"/>
    <w:next w:val="Normal"/>
    <w:uiPriority w:val="99"/>
    <w:rsid w:val="00EE0D42"/>
    <w:pPr>
      <w:widowControl w:val="0"/>
      <w:autoSpaceDE w:val="0"/>
      <w:autoSpaceDN w:val="0"/>
      <w:adjustRightInd w:val="0"/>
      <w:spacing w:line="211" w:lineRule="atLeast"/>
    </w:pPr>
    <w:rPr>
      <w:rFonts w:ascii="Akzidenz Grotesk BE Bold" w:hAnsi="Akzidenz Grotesk BE Bold" w:cs="Times New Roman"/>
      <w:lang w:val="en-US"/>
    </w:rPr>
  </w:style>
  <w:style w:type="paragraph" w:customStyle="1" w:styleId="Textetable">
    <w:name w:val="Textetable"/>
    <w:basedOn w:val="Normal"/>
    <w:rsid w:val="0011189D"/>
    <w:pPr>
      <w:spacing w:before="80" w:after="80"/>
    </w:pPr>
    <w:rPr>
      <w:rFonts w:ascii="Arial" w:eastAsia="Times New Roman" w:hAnsi="Arial" w:cs="Times New Roman"/>
      <w:lang w:eastAsia="fr-FR"/>
    </w:rPr>
  </w:style>
  <w:style w:type="table" w:styleId="TableGrid">
    <w:name w:val="Table Grid"/>
    <w:basedOn w:val="TableNormal"/>
    <w:uiPriority w:val="59"/>
    <w:rsid w:val="00F4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5BC"/>
    <w:pPr>
      <w:ind w:left="720"/>
      <w:contextualSpacing/>
    </w:pPr>
  </w:style>
  <w:style w:type="paragraph" w:styleId="BalloonText">
    <w:name w:val="Balloon Text"/>
    <w:basedOn w:val="Normal"/>
    <w:link w:val="BalloonTextChar"/>
    <w:rsid w:val="00062472"/>
    <w:rPr>
      <w:rFonts w:ascii="Lucida Grande" w:hAnsi="Lucida Grande" w:cs="Lucida Grande"/>
      <w:sz w:val="18"/>
      <w:szCs w:val="18"/>
    </w:rPr>
  </w:style>
  <w:style w:type="character" w:customStyle="1" w:styleId="BalloonTextChar">
    <w:name w:val="Balloon Text Char"/>
    <w:basedOn w:val="DefaultParagraphFont"/>
    <w:link w:val="BalloonText"/>
    <w:rsid w:val="00062472"/>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723795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223</TotalTime>
  <Pages>1</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39</cp:revision>
  <cp:lastPrinted>2015-10-19T01:11:00Z</cp:lastPrinted>
  <dcterms:created xsi:type="dcterms:W3CDTF">2014-11-26T17:38:00Z</dcterms:created>
  <dcterms:modified xsi:type="dcterms:W3CDTF">2016-02-16T14:49:00Z</dcterms:modified>
</cp:coreProperties>
</file>