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85" w:rsidRPr="00175A39" w:rsidRDefault="00F3790A" w:rsidP="00175A39">
      <w:pPr>
        <w:bidi/>
        <w:jc w:val="center"/>
        <w:rPr>
          <w:b/>
          <w:bCs/>
          <w:sz w:val="28"/>
          <w:szCs w:val="28"/>
          <w:rtl/>
        </w:rPr>
      </w:pPr>
      <w:r w:rsidRPr="00175A39">
        <w:rPr>
          <w:rFonts w:hint="cs"/>
          <w:b/>
          <w:bCs/>
          <w:sz w:val="28"/>
          <w:szCs w:val="28"/>
          <w:rtl/>
        </w:rPr>
        <w:t>اختيار السيناريو</w:t>
      </w:r>
    </w:p>
    <w:p w:rsidR="00F3790A" w:rsidRPr="00175A39" w:rsidRDefault="00F3790A" w:rsidP="00175A39">
      <w:pPr>
        <w:bidi/>
        <w:jc w:val="both"/>
        <w:rPr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t>يم</w:t>
      </w:r>
      <w:r w:rsidR="00175A39">
        <w:rPr>
          <w:rFonts w:hint="cs"/>
          <w:sz w:val="28"/>
          <w:szCs w:val="28"/>
          <w:rtl/>
        </w:rPr>
        <w:t xml:space="preserve">كن البدء بوضع السيناريوهات عبر </w:t>
      </w:r>
      <w:r w:rsidRPr="00175A39">
        <w:rPr>
          <w:rFonts w:hint="cs"/>
          <w:sz w:val="28"/>
          <w:szCs w:val="28"/>
          <w:rtl/>
        </w:rPr>
        <w:t xml:space="preserve">عقد اجتماع لجمع الأفكار حول السيناريوهات المحتملة التي قد تتطلب مساعدة إنسانية. ويسمج جمع الأفكار هذا بمساهمة كل المشاركين ومشاركتهم بإعداد السيناريوهات. في </w:t>
      </w:r>
      <w:r w:rsidR="00175A39">
        <w:rPr>
          <w:rFonts w:hint="cs"/>
          <w:sz w:val="28"/>
          <w:szCs w:val="28"/>
          <w:rtl/>
        </w:rPr>
        <w:t>هذا السياق، يطرح منظم الاجتماع أ</w:t>
      </w:r>
      <w:r w:rsidRPr="00175A39">
        <w:rPr>
          <w:rFonts w:hint="cs"/>
          <w:sz w:val="28"/>
          <w:szCs w:val="28"/>
          <w:rtl/>
        </w:rPr>
        <w:t xml:space="preserve">سئلة لكي تتصف مساهمات المشاركين وأفكارهم بالدقة والوضوح، وتتضمن هذه الأسئلة ما يلي: "اين؟، ماذا بالتحديد؟ ما مقدار السوء؟ متى، إلخ" </w:t>
      </w:r>
    </w:p>
    <w:p w:rsidR="00F3790A" w:rsidRPr="00175A39" w:rsidRDefault="00F3790A" w:rsidP="00175A39">
      <w:pPr>
        <w:bidi/>
        <w:jc w:val="both"/>
        <w:rPr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t>وبعد وضع قائمة بالسيناريوهات المحتملة، يختار كل المشاركين السيناريوهات الجديرة بالمزيد من التفصيل والتطوير، على أن يستند اختيارهم على احتمالية حدوث السيناريو وآثاره المرتقبة.</w:t>
      </w:r>
    </w:p>
    <w:p w:rsidR="00F3790A" w:rsidRPr="00175A39" w:rsidRDefault="00F3790A" w:rsidP="00175A39">
      <w:pPr>
        <w:bidi/>
        <w:jc w:val="both"/>
        <w:rPr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t xml:space="preserve">الاحتمالية: </w:t>
      </w:r>
      <w:r w:rsidR="00871A67" w:rsidRPr="00175A39">
        <w:rPr>
          <w:rFonts w:hint="cs"/>
          <w:sz w:val="28"/>
          <w:szCs w:val="28"/>
          <w:rtl/>
        </w:rPr>
        <w:t>يجب حصر التخطيط على حالات الطوارئ المحتملة جداً أو التي يعتقد المخططون أن وقوعها وشيك.</w:t>
      </w:r>
    </w:p>
    <w:p w:rsidR="00871A67" w:rsidRPr="00175A39" w:rsidRDefault="00871A67" w:rsidP="00175A39">
      <w:pPr>
        <w:bidi/>
        <w:jc w:val="both"/>
        <w:rPr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t>تصنيف الاحتمالية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15"/>
        <w:gridCol w:w="1775"/>
        <w:gridCol w:w="1775"/>
        <w:gridCol w:w="1938"/>
        <w:gridCol w:w="2473"/>
      </w:tblGrid>
      <w:tr w:rsidR="00871A67" w:rsidRPr="00175A39" w:rsidTr="00871A67">
        <w:tc>
          <w:tcPr>
            <w:tcW w:w="843" w:type="pct"/>
            <w:tcBorders>
              <w:bottom w:val="single" w:sz="6" w:space="0" w:color="auto"/>
            </w:tcBorders>
            <w:shd w:val="clear" w:color="auto" w:fill="DC281E"/>
          </w:tcPr>
          <w:p w:rsidR="00871A67" w:rsidRPr="00175A39" w:rsidRDefault="00871A67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نادرة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871A67" w:rsidRPr="00175A39" w:rsidRDefault="00871A67" w:rsidP="00175A39">
            <w:pPr>
              <w:spacing w:before="120"/>
              <w:ind w:right="-108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غير محتملة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871A67" w:rsidRPr="00175A39" w:rsidRDefault="00871A67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معقولة</w:t>
            </w:r>
          </w:p>
        </w:tc>
        <w:tc>
          <w:tcPr>
            <w:tcW w:w="1012" w:type="pct"/>
            <w:tcBorders>
              <w:bottom w:val="single" w:sz="6" w:space="0" w:color="auto"/>
            </w:tcBorders>
            <w:shd w:val="clear" w:color="auto" w:fill="DC281E"/>
          </w:tcPr>
          <w:p w:rsidR="00871A67" w:rsidRPr="00175A39" w:rsidRDefault="00871A67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محتملة</w:t>
            </w:r>
          </w:p>
        </w:tc>
        <w:tc>
          <w:tcPr>
            <w:tcW w:w="1291" w:type="pct"/>
            <w:tcBorders>
              <w:bottom w:val="single" w:sz="6" w:space="0" w:color="auto"/>
            </w:tcBorders>
            <w:shd w:val="clear" w:color="auto" w:fill="DC281E"/>
          </w:tcPr>
          <w:p w:rsidR="00871A67" w:rsidRPr="00175A39" w:rsidRDefault="00871A67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وشيكة</w:t>
            </w:r>
          </w:p>
        </w:tc>
      </w:tr>
      <w:tr w:rsidR="00871A67" w:rsidRPr="00175A39" w:rsidTr="00871A67">
        <w:tc>
          <w:tcPr>
            <w:tcW w:w="843" w:type="pct"/>
            <w:shd w:val="clear" w:color="auto" w:fill="A6A6A6"/>
          </w:tcPr>
          <w:p w:rsidR="00871A67" w:rsidRPr="00175A39" w:rsidRDefault="00871A67" w:rsidP="00175A39">
            <w:pPr>
              <w:pStyle w:val="Heading7"/>
              <w:keepNext w:val="0"/>
              <w:bidi/>
              <w:spacing w:before="60" w:after="20"/>
              <w:rPr>
                <w:rFonts w:cs="Arial"/>
                <w:color w:val="000000"/>
                <w:sz w:val="28"/>
                <w:szCs w:val="28"/>
                <w:rtl/>
              </w:rPr>
            </w:pPr>
            <w:r w:rsidRPr="00175A39">
              <w:rPr>
                <w:rFonts w:cs="Arial"/>
                <w:color w:val="000000"/>
                <w:sz w:val="28"/>
                <w:szCs w:val="28"/>
                <w:rtl/>
              </w:rPr>
              <w:t xml:space="preserve">حدث غير اعتيادي </w:t>
            </w:r>
            <w:r w:rsidR="005B362C" w:rsidRPr="00175A39">
              <w:rPr>
                <w:rFonts w:cs="Arial"/>
                <w:color w:val="000000"/>
                <w:sz w:val="28"/>
                <w:szCs w:val="28"/>
                <w:rtl/>
              </w:rPr>
              <w:t>ومن غير</w:t>
            </w:r>
            <w:r w:rsidRPr="00175A39">
              <w:rPr>
                <w:rFonts w:cs="Arial"/>
                <w:color w:val="000000"/>
                <w:sz w:val="28"/>
                <w:szCs w:val="28"/>
                <w:rtl/>
              </w:rPr>
              <w:t xml:space="preserve"> المتوقع أن يظهر بشكل يزيد عن مرة كل 500 سنة (مثل سقوط نيزك أو حدوث تسونامي هائل في بعض المناطق).</w:t>
            </w:r>
          </w:p>
          <w:p w:rsidR="00871A67" w:rsidRPr="00175A39" w:rsidRDefault="00871A67" w:rsidP="00175A39">
            <w:pPr>
              <w:pStyle w:val="Heading7"/>
              <w:keepNext w:val="0"/>
              <w:bidi/>
              <w:spacing w:before="60" w:after="20"/>
              <w:rPr>
                <w:rFonts w:cs="Arial"/>
                <w:b w:val="0"/>
                <w:bCs/>
                <w:color w:val="000000"/>
                <w:sz w:val="28"/>
                <w:szCs w:val="28"/>
                <w:rtl/>
              </w:rPr>
            </w:pPr>
          </w:p>
          <w:p w:rsidR="00871A67" w:rsidRPr="00175A39" w:rsidRDefault="00871A67" w:rsidP="00175A39">
            <w:pPr>
              <w:pStyle w:val="Heading7"/>
              <w:keepNext w:val="0"/>
              <w:bidi/>
              <w:spacing w:before="60" w:after="20"/>
              <w:rPr>
                <w:rFonts w:cs="Arial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7" w:type="pct"/>
            <w:shd w:val="clear" w:color="auto" w:fill="E6E6E6"/>
          </w:tcPr>
          <w:p w:rsidR="00871A67" w:rsidRPr="00175A39" w:rsidRDefault="005B362C" w:rsidP="00175A39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5A39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حدث غير اعتيادي ومن غير المتوقع أن يظهر بشكل يزيد عن مرة كل 100 سنة (مثل زلزال شديد القوة  في بعض المناطق)</w:t>
            </w:r>
          </w:p>
        </w:tc>
        <w:tc>
          <w:tcPr>
            <w:tcW w:w="927" w:type="pct"/>
            <w:shd w:val="clear" w:color="auto" w:fill="F3F3F3"/>
          </w:tcPr>
          <w:p w:rsidR="005828DB" w:rsidRPr="00175A39" w:rsidRDefault="005828DB" w:rsidP="00175A39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5A39">
              <w:rPr>
                <w:rFonts w:ascii="Arial" w:hAnsi="Arial" w:cs="Arial"/>
                <w:sz w:val="28"/>
                <w:szCs w:val="28"/>
                <w:rtl/>
              </w:rPr>
              <w:t>أحداث متوقع أن تظهر مرة كل عشرين سنة (مثل إعصار قوي)</w:t>
            </w:r>
          </w:p>
        </w:tc>
        <w:tc>
          <w:tcPr>
            <w:tcW w:w="1012" w:type="pct"/>
            <w:shd w:val="clear" w:color="auto" w:fill="F3F3F3"/>
          </w:tcPr>
          <w:p w:rsidR="005828DB" w:rsidRPr="00175A39" w:rsidRDefault="005828DB" w:rsidP="00175A39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5A39">
              <w:rPr>
                <w:rFonts w:ascii="Arial" w:hAnsi="Arial" w:cs="Arial"/>
                <w:sz w:val="28"/>
                <w:szCs w:val="28"/>
                <w:rtl/>
              </w:rPr>
              <w:t xml:space="preserve">أحداث منتظمة تظهر على الأقل مرة كل 10 سنوات (مثل الآعاصير، والفيضانات). </w:t>
            </w:r>
          </w:p>
        </w:tc>
        <w:tc>
          <w:tcPr>
            <w:tcW w:w="1291" w:type="pct"/>
            <w:shd w:val="clear" w:color="auto" w:fill="F3F3F3"/>
          </w:tcPr>
          <w:p w:rsidR="009100B2" w:rsidRPr="00175A39" w:rsidRDefault="009100B2" w:rsidP="00175A39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5A39">
              <w:rPr>
                <w:rFonts w:ascii="Arial" w:hAnsi="Arial" w:cs="Arial"/>
                <w:sz w:val="28"/>
                <w:szCs w:val="28"/>
                <w:rtl/>
              </w:rPr>
              <w:t xml:space="preserve">الأحداث المتوقع ظهورها علمياً في </w:t>
            </w:r>
            <w:r w:rsidR="0013063B" w:rsidRPr="00175A39">
              <w:rPr>
                <w:rFonts w:ascii="Arial" w:hAnsi="Arial" w:cs="Arial"/>
                <w:sz w:val="28"/>
                <w:szCs w:val="28"/>
                <w:rtl/>
              </w:rPr>
              <w:t xml:space="preserve">غضون </w:t>
            </w:r>
            <w:r w:rsidR="00175A39">
              <w:rPr>
                <w:rFonts w:ascii="Arial" w:hAnsi="Arial" w:cs="Arial"/>
                <w:sz w:val="28"/>
                <w:szCs w:val="28"/>
                <w:rtl/>
              </w:rPr>
              <w:t xml:space="preserve"> 1-5 سنوات (</w:t>
            </w:r>
            <w:r w:rsidR="00175A39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175A39">
              <w:rPr>
                <w:rFonts w:ascii="Arial" w:hAnsi="Arial" w:cs="Arial"/>
                <w:sz w:val="28"/>
                <w:szCs w:val="28"/>
                <w:rtl/>
              </w:rPr>
              <w:t xml:space="preserve">حداث سببها مشاكل في السدود)، </w:t>
            </w:r>
            <w:r w:rsidR="00175A39">
              <w:rPr>
                <w:rFonts w:ascii="Arial" w:hAnsi="Arial" w:cs="Arial"/>
                <w:sz w:val="28"/>
                <w:szCs w:val="28"/>
                <w:rtl/>
              </w:rPr>
              <w:t xml:space="preserve">أو </w:t>
            </w:r>
            <w:r w:rsidR="00175A39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="0013063B" w:rsidRPr="00175A39">
              <w:rPr>
                <w:rFonts w:ascii="Arial" w:hAnsi="Arial" w:cs="Arial"/>
                <w:sz w:val="28"/>
                <w:szCs w:val="28"/>
                <w:rtl/>
              </w:rPr>
              <w:t>شهر (انهيارات التربة، انفجارات بركانية) أو أيام (أعاصير صغيرة).</w:t>
            </w:r>
            <w:r w:rsidRPr="00175A39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</w:p>
        </w:tc>
      </w:tr>
    </w:tbl>
    <w:p w:rsidR="00871A67" w:rsidRPr="00175A39" w:rsidRDefault="00871A67" w:rsidP="00175A39">
      <w:pPr>
        <w:bidi/>
        <w:jc w:val="both"/>
        <w:rPr>
          <w:sz w:val="28"/>
          <w:szCs w:val="28"/>
          <w:rtl/>
        </w:rPr>
      </w:pPr>
    </w:p>
    <w:p w:rsidR="00175A39" w:rsidRDefault="00175A39" w:rsidP="00175A39">
      <w:pPr>
        <w:bidi/>
        <w:jc w:val="both"/>
        <w:rPr>
          <w:rFonts w:hint="cs"/>
          <w:sz w:val="28"/>
          <w:szCs w:val="28"/>
          <w:rtl/>
        </w:rPr>
      </w:pPr>
    </w:p>
    <w:p w:rsidR="00175A39" w:rsidRDefault="00175A39" w:rsidP="00175A39">
      <w:pPr>
        <w:bidi/>
        <w:jc w:val="both"/>
        <w:rPr>
          <w:rFonts w:hint="cs"/>
          <w:sz w:val="28"/>
          <w:szCs w:val="28"/>
          <w:rtl/>
        </w:rPr>
      </w:pPr>
    </w:p>
    <w:p w:rsidR="00175A39" w:rsidRDefault="00175A39" w:rsidP="00175A39">
      <w:pPr>
        <w:bidi/>
        <w:jc w:val="both"/>
        <w:rPr>
          <w:rFonts w:hint="cs"/>
          <w:sz w:val="28"/>
          <w:szCs w:val="28"/>
          <w:rtl/>
        </w:rPr>
      </w:pPr>
    </w:p>
    <w:p w:rsidR="00175A39" w:rsidRDefault="00175A39" w:rsidP="00175A39">
      <w:pPr>
        <w:bidi/>
        <w:jc w:val="both"/>
        <w:rPr>
          <w:rFonts w:hint="cs"/>
          <w:sz w:val="28"/>
          <w:szCs w:val="28"/>
          <w:rtl/>
        </w:rPr>
      </w:pPr>
    </w:p>
    <w:p w:rsidR="00175A39" w:rsidRDefault="00F52B33" w:rsidP="00175A39">
      <w:pPr>
        <w:bidi/>
        <w:jc w:val="both"/>
        <w:rPr>
          <w:rFonts w:hint="cs"/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lastRenderedPageBreak/>
        <w:t>الأثر: يجب حصر التخطيط بحالات الطوارئ المحتملة التي قد تكون آثارها وخيمة من الناحية الإنسانية.</w:t>
      </w:r>
    </w:p>
    <w:p w:rsidR="00F52B33" w:rsidRPr="00175A39" w:rsidRDefault="00F52B33" w:rsidP="00175A39">
      <w:pPr>
        <w:bidi/>
        <w:jc w:val="both"/>
        <w:rPr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t>تصنيف الأثر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15"/>
        <w:gridCol w:w="1775"/>
        <w:gridCol w:w="1775"/>
        <w:gridCol w:w="1938"/>
        <w:gridCol w:w="2473"/>
      </w:tblGrid>
      <w:tr w:rsidR="00F52B33" w:rsidRPr="00175A39" w:rsidTr="00F52B33">
        <w:trPr>
          <w:tblHeader/>
        </w:trPr>
        <w:tc>
          <w:tcPr>
            <w:tcW w:w="843" w:type="pct"/>
            <w:tcBorders>
              <w:bottom w:val="single" w:sz="6" w:space="0" w:color="auto"/>
            </w:tcBorders>
            <w:shd w:val="clear" w:color="auto" w:fill="DC281E"/>
          </w:tcPr>
          <w:p w:rsidR="00F52B33" w:rsidRPr="00175A39" w:rsidRDefault="00F52B33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طفيفة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F52B33" w:rsidRPr="00175A39" w:rsidRDefault="00F52B33" w:rsidP="00175A39">
            <w:pPr>
              <w:spacing w:before="120"/>
              <w:ind w:right="-108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مقبولة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shd w:val="clear" w:color="auto" w:fill="DC281E"/>
          </w:tcPr>
          <w:p w:rsidR="00F52B33" w:rsidRPr="00175A39" w:rsidRDefault="00F52B33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حادة</w:t>
            </w:r>
          </w:p>
        </w:tc>
        <w:tc>
          <w:tcPr>
            <w:tcW w:w="1012" w:type="pct"/>
            <w:tcBorders>
              <w:bottom w:val="single" w:sz="6" w:space="0" w:color="auto"/>
            </w:tcBorders>
            <w:shd w:val="clear" w:color="auto" w:fill="DC281E"/>
          </w:tcPr>
          <w:p w:rsidR="00F52B33" w:rsidRPr="00175A39" w:rsidRDefault="00F52B33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خطرة</w:t>
            </w:r>
          </w:p>
        </w:tc>
        <w:tc>
          <w:tcPr>
            <w:tcW w:w="1291" w:type="pct"/>
            <w:tcBorders>
              <w:bottom w:val="single" w:sz="6" w:space="0" w:color="auto"/>
            </w:tcBorders>
            <w:shd w:val="clear" w:color="auto" w:fill="DC281E"/>
          </w:tcPr>
          <w:p w:rsidR="00F52B33" w:rsidRPr="00175A39" w:rsidRDefault="00F52B33" w:rsidP="00175A39">
            <w:pPr>
              <w:spacing w:before="120"/>
              <w:jc w:val="both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Times New Roman" w:hint="cs"/>
                <w:b/>
                <w:color w:val="FFFFFF" w:themeColor="background1"/>
                <w:sz w:val="28"/>
                <w:szCs w:val="28"/>
                <w:rtl/>
              </w:rPr>
              <w:t>كارثية</w:t>
            </w:r>
          </w:p>
        </w:tc>
      </w:tr>
      <w:tr w:rsidR="00F52B33" w:rsidRPr="00175A39" w:rsidTr="00F52B33">
        <w:tc>
          <w:tcPr>
            <w:tcW w:w="843" w:type="pct"/>
            <w:shd w:val="clear" w:color="auto" w:fill="A6A6A6"/>
          </w:tcPr>
          <w:p w:rsidR="00F52B33" w:rsidRPr="00175A39" w:rsidRDefault="00F52B33" w:rsidP="00175A39">
            <w:pPr>
              <w:bidi/>
              <w:jc w:val="both"/>
              <w:rPr>
                <w:sz w:val="28"/>
                <w:szCs w:val="28"/>
              </w:rPr>
            </w:pPr>
            <w:r w:rsidRPr="00175A39">
              <w:rPr>
                <w:rFonts w:hint="cs"/>
                <w:sz w:val="28"/>
                <w:szCs w:val="28"/>
                <w:rtl/>
              </w:rPr>
              <w:t xml:space="preserve">عدم تسجيل أي حالة وفاة، ما من أضرار كبيرة في البنية التحتية، تعطل بسيط في  التجارة والنشاطات اليومية. </w:t>
            </w:r>
          </w:p>
        </w:tc>
        <w:tc>
          <w:tcPr>
            <w:tcW w:w="927" w:type="pct"/>
            <w:shd w:val="clear" w:color="auto" w:fill="E6E6E6"/>
          </w:tcPr>
          <w:p w:rsidR="00F52B33" w:rsidRPr="00175A39" w:rsidRDefault="00F52B33" w:rsidP="00175A39">
            <w:pPr>
              <w:bidi/>
              <w:jc w:val="both"/>
              <w:rPr>
                <w:sz w:val="28"/>
                <w:szCs w:val="28"/>
              </w:rPr>
            </w:pPr>
            <w:r w:rsidRPr="00175A39">
              <w:rPr>
                <w:rFonts w:hint="cs"/>
                <w:sz w:val="28"/>
                <w:szCs w:val="28"/>
                <w:rtl/>
              </w:rPr>
              <w:t xml:space="preserve">تسجيل حالات وفاة معدودة، </w:t>
            </w:r>
            <w:r w:rsidR="007C70E9" w:rsidRPr="00175A39">
              <w:rPr>
                <w:rFonts w:hint="cs"/>
                <w:sz w:val="28"/>
                <w:szCs w:val="28"/>
                <w:rtl/>
              </w:rPr>
              <w:t xml:space="preserve">أضرار بسيطة في البنية التحتية </w:t>
            </w:r>
            <w:r w:rsidR="009D0346" w:rsidRPr="00175A39">
              <w:rPr>
                <w:rFonts w:hint="cs"/>
                <w:sz w:val="28"/>
                <w:szCs w:val="28"/>
                <w:rtl/>
              </w:rPr>
              <w:t>تؤدي</w:t>
            </w:r>
            <w:r w:rsidR="007C70E9" w:rsidRPr="00175A39">
              <w:rPr>
                <w:rFonts w:hint="cs"/>
                <w:sz w:val="28"/>
                <w:szCs w:val="28"/>
                <w:rtl/>
              </w:rPr>
              <w:t xml:space="preserve"> إلى قصور في تقدي</w:t>
            </w:r>
            <w:r w:rsidR="00175A39">
              <w:rPr>
                <w:rFonts w:hint="cs"/>
                <w:sz w:val="28"/>
                <w:szCs w:val="28"/>
                <w:rtl/>
              </w:rPr>
              <w:t>م الخدمات الأساسية لمدة تقل عن أ</w:t>
            </w:r>
            <w:r w:rsidR="007C70E9" w:rsidRPr="00175A39">
              <w:rPr>
                <w:rFonts w:hint="cs"/>
                <w:sz w:val="28"/>
                <w:szCs w:val="28"/>
                <w:rtl/>
              </w:rPr>
              <w:t xml:space="preserve">سبوع واحد، تعطل بسيط في التجارة والنشاطات اليومية </w:t>
            </w:r>
            <w:r w:rsidR="009D0346" w:rsidRPr="00175A39">
              <w:rPr>
                <w:rFonts w:hint="cs"/>
                <w:sz w:val="28"/>
                <w:szCs w:val="28"/>
                <w:rtl/>
              </w:rPr>
              <w:t>لا</w:t>
            </w:r>
            <w:r w:rsidR="007C70E9" w:rsidRPr="00175A39">
              <w:rPr>
                <w:rFonts w:hint="cs"/>
                <w:sz w:val="28"/>
                <w:szCs w:val="28"/>
                <w:rtl/>
              </w:rPr>
              <w:t xml:space="preserve"> يتخط</w:t>
            </w:r>
            <w:r w:rsidR="00175A39">
              <w:rPr>
                <w:rFonts w:hint="cs"/>
                <w:sz w:val="28"/>
                <w:szCs w:val="28"/>
                <w:rtl/>
              </w:rPr>
              <w:t>ى أ</w:t>
            </w:r>
            <w:r w:rsidR="007C70E9" w:rsidRPr="00175A39">
              <w:rPr>
                <w:rFonts w:hint="cs"/>
                <w:sz w:val="28"/>
                <w:szCs w:val="28"/>
                <w:rtl/>
              </w:rPr>
              <w:t>سبوع واحد.</w:t>
            </w:r>
          </w:p>
        </w:tc>
        <w:tc>
          <w:tcPr>
            <w:tcW w:w="927" w:type="pct"/>
            <w:shd w:val="clear" w:color="auto" w:fill="F3F3F3"/>
          </w:tcPr>
          <w:p w:rsidR="00476FDE" w:rsidRPr="00175A39" w:rsidRDefault="00175A39" w:rsidP="00175A39">
            <w:pPr>
              <w:pStyle w:val="Heading7"/>
              <w:keepNext w:val="0"/>
              <w:spacing w:before="60" w:after="20"/>
              <w:rPr>
                <w:rFonts w:asciiTheme="minorHAnsi" w:hAnsiTheme="minorHAnsi" w:cstheme="minorHAnsi"/>
                <w:b w:val="0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تسجيل عدة حالات وفاة، أ</w:t>
            </w:r>
            <w:r w:rsidR="00476FDE" w:rsidRPr="00175A39">
              <w:rPr>
                <w:rFonts w:hint="cs"/>
                <w:sz w:val="28"/>
                <w:szCs w:val="28"/>
                <w:rtl/>
              </w:rPr>
              <w:t>ضرار في البنية التحتية تتطلب مساعدات كبيرة لإصلاحها، وقصور في تقديم بعض الخدمات</w:t>
            </w:r>
            <w:r w:rsidR="009D0346" w:rsidRPr="00175A39">
              <w:rPr>
                <w:rFonts w:hint="cs"/>
                <w:sz w:val="28"/>
                <w:szCs w:val="28"/>
                <w:rtl/>
              </w:rPr>
              <w:t xml:space="preserve"> الأساسية</w:t>
            </w:r>
            <w:r w:rsidR="00476FDE" w:rsidRPr="00175A39">
              <w:rPr>
                <w:rFonts w:hint="cs"/>
                <w:sz w:val="28"/>
                <w:szCs w:val="28"/>
                <w:rtl/>
              </w:rPr>
              <w:t xml:space="preserve"> لمدة تصل إلى شهر واحد. </w:t>
            </w:r>
          </w:p>
        </w:tc>
        <w:tc>
          <w:tcPr>
            <w:tcW w:w="1012" w:type="pct"/>
            <w:shd w:val="clear" w:color="auto" w:fill="F3F3F3"/>
          </w:tcPr>
          <w:p w:rsidR="009D0346" w:rsidRPr="00175A39" w:rsidRDefault="009D0346" w:rsidP="00175A39">
            <w:pPr>
              <w:pStyle w:val="Heading7"/>
              <w:keepNext w:val="0"/>
              <w:bidi/>
              <w:spacing w:before="60" w:after="20"/>
              <w:rPr>
                <w:sz w:val="28"/>
                <w:szCs w:val="28"/>
              </w:rPr>
            </w:pPr>
            <w:r w:rsidRPr="00175A39">
              <w:rPr>
                <w:rFonts w:hint="cs"/>
                <w:sz w:val="28"/>
                <w:szCs w:val="28"/>
                <w:rtl/>
              </w:rPr>
              <w:t xml:space="preserve">تسجيل مئات حالات وفاة، أضرار كبيرة في البنية التحتية والمساكن، قصور كبير في تقديم الخدمات الأساسية لمدة تصل إلى 6 أشهر، تعطل كبير في التجارة والنشاطات الحكومية والاجتماعية </w:t>
            </w:r>
            <w:r w:rsidR="004063C6" w:rsidRPr="00175A39">
              <w:rPr>
                <w:rFonts w:hint="cs"/>
                <w:sz w:val="28"/>
                <w:szCs w:val="28"/>
                <w:rtl/>
              </w:rPr>
              <w:t>يسبب بنزوح السكان بأعداد كبيرة.</w:t>
            </w:r>
          </w:p>
        </w:tc>
        <w:tc>
          <w:tcPr>
            <w:tcW w:w="1291" w:type="pct"/>
            <w:shd w:val="clear" w:color="auto" w:fill="F3F3F3"/>
          </w:tcPr>
          <w:p w:rsidR="00DB4911" w:rsidRPr="00175A39" w:rsidRDefault="00DB4911" w:rsidP="00175A39">
            <w:pPr>
              <w:bidi/>
              <w:jc w:val="both"/>
              <w:rPr>
                <w:sz w:val="28"/>
                <w:szCs w:val="28"/>
              </w:rPr>
            </w:pPr>
            <w:r w:rsidRPr="00175A39">
              <w:rPr>
                <w:rFonts w:hint="cs"/>
                <w:sz w:val="28"/>
                <w:szCs w:val="28"/>
                <w:rtl/>
              </w:rPr>
              <w:t>تسجيل حالات وفاة ب</w:t>
            </w:r>
            <w:r w:rsidR="00175A39">
              <w:rPr>
                <w:rFonts w:hint="cs"/>
                <w:sz w:val="28"/>
                <w:szCs w:val="28"/>
                <w:rtl/>
              </w:rPr>
              <w:t>الآلاف، أ</w:t>
            </w:r>
            <w:r w:rsidRPr="00175A39">
              <w:rPr>
                <w:rFonts w:hint="cs"/>
                <w:sz w:val="28"/>
                <w:szCs w:val="28"/>
                <w:rtl/>
              </w:rPr>
              <w:t>ضرار فادحة بالمساكن، والبنية التحتية، والأنظمة الحكومية والخاصة، خسارة كلية للخدمات الأساسية قد تدوم أكثر من سنة وتؤدي إلى هجر المناطق المتضررة.</w:t>
            </w:r>
          </w:p>
        </w:tc>
      </w:tr>
    </w:tbl>
    <w:p w:rsidR="00F52B33" w:rsidRPr="00175A39" w:rsidRDefault="00F52B33" w:rsidP="00175A39">
      <w:pPr>
        <w:bidi/>
        <w:jc w:val="both"/>
        <w:rPr>
          <w:sz w:val="28"/>
          <w:szCs w:val="28"/>
          <w:rtl/>
        </w:rPr>
      </w:pPr>
    </w:p>
    <w:p w:rsidR="008B1549" w:rsidRPr="00175A39" w:rsidRDefault="008B1549" w:rsidP="00175A39">
      <w:pPr>
        <w:bidi/>
        <w:jc w:val="both"/>
        <w:rPr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t xml:space="preserve">وتسمح مصفوفة </w:t>
      </w:r>
      <w:r w:rsidR="007C08F7" w:rsidRPr="00175A39">
        <w:rPr>
          <w:rFonts w:hint="cs"/>
          <w:sz w:val="28"/>
          <w:szCs w:val="28"/>
          <w:rtl/>
        </w:rPr>
        <w:t xml:space="preserve">تحليل المخاطر المشار إليها في ما يلي، بالمساعدة على اختيار السيناريوهات الجديرة بالتفصيل، بالاستناد إلى احتماليتها وآثارها. وهذه المصفوفة هي عبارة عن جدول بسيط يسمح </w:t>
      </w:r>
      <w:r w:rsidR="006A5078" w:rsidRPr="00175A39">
        <w:rPr>
          <w:rFonts w:hint="cs"/>
          <w:sz w:val="28"/>
          <w:szCs w:val="28"/>
          <w:rtl/>
        </w:rPr>
        <w:t>بتسهيل تحديد موقع السيناريوهات على الجدول من خلال تصنيف احتماليتها وآثارها. وعملاً بالجدول، يتم حصر التخط</w:t>
      </w:r>
      <w:r w:rsidR="00175A39">
        <w:rPr>
          <w:rFonts w:hint="cs"/>
          <w:sz w:val="28"/>
          <w:szCs w:val="28"/>
          <w:rtl/>
        </w:rPr>
        <w:t>يط بالسيناريوهات التي حصلت على أ</w:t>
      </w:r>
      <w:r w:rsidR="006A5078" w:rsidRPr="00175A39">
        <w:rPr>
          <w:rFonts w:hint="cs"/>
          <w:sz w:val="28"/>
          <w:szCs w:val="28"/>
          <w:rtl/>
        </w:rPr>
        <w:t>على نسبة احتمالية والتي تؤدي إلى الآثار الأشد خطورة. وبعد تحديد موقع السيناريوهات المحتملة على الجدول، يتم تصنيفها وتحديد تلك التي تقترن بمخاطر أكبر.</w:t>
      </w:r>
    </w:p>
    <w:p w:rsidR="006A5078" w:rsidRPr="00175A39" w:rsidRDefault="006A5078" w:rsidP="00175A39">
      <w:pPr>
        <w:bidi/>
        <w:jc w:val="both"/>
        <w:rPr>
          <w:sz w:val="28"/>
          <w:szCs w:val="28"/>
          <w:rtl/>
        </w:rPr>
      </w:pPr>
      <w:r w:rsidRPr="00175A39">
        <w:rPr>
          <w:rFonts w:hint="cs"/>
          <w:sz w:val="28"/>
          <w:szCs w:val="28"/>
          <w:rtl/>
        </w:rPr>
        <w:t>مصفوفة تحليل المخاطر</w:t>
      </w:r>
    </w:p>
    <w:tbl>
      <w:tblPr>
        <w:tblW w:w="6855" w:type="dxa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436"/>
        <w:gridCol w:w="1170"/>
        <w:gridCol w:w="1170"/>
        <w:gridCol w:w="1170"/>
        <w:gridCol w:w="1170"/>
        <w:gridCol w:w="1303"/>
      </w:tblGrid>
      <w:tr w:rsidR="006A5078" w:rsidRPr="00175A39" w:rsidTr="00AD6B89">
        <w:trPr>
          <w:cantSplit/>
          <w:trHeight w:val="1269"/>
          <w:jc w:val="center"/>
        </w:trPr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PROBABLE IMPACT (RESULTING FROM THE SCENARIO)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CATASTROPHE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sz w:val="28"/>
                <w:szCs w:val="28"/>
              </w:rPr>
              <w:t xml:space="preserve">EXTREME </w:t>
            </w:r>
            <w:r w:rsidRPr="00175A39">
              <w:rPr>
                <w:rFonts w:asciiTheme="majorHAnsi" w:hAnsiTheme="majorHAnsi" w:cs="Calibri"/>
                <w:sz w:val="28"/>
                <w:szCs w:val="28"/>
              </w:rPr>
              <w:br/>
              <w:t>RISK</w:t>
            </w:r>
          </w:p>
        </w:tc>
      </w:tr>
      <w:tr w:rsidR="006A5078" w:rsidRPr="00175A39" w:rsidTr="00AD6B89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CRITICAL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color w:val="FFFFFF" w:themeColor="background1"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color w:val="FFFFFF" w:themeColor="background1"/>
                <w:sz w:val="28"/>
                <w:szCs w:val="28"/>
              </w:rPr>
              <w:t>HIGH</w:t>
            </w:r>
            <w:r w:rsidRPr="00175A39">
              <w:rPr>
                <w:rFonts w:asciiTheme="majorHAnsi" w:hAnsiTheme="majorHAnsi" w:cs="Calibri"/>
                <w:b/>
                <w:color w:val="FFFFFF" w:themeColor="background1"/>
                <w:sz w:val="28"/>
                <w:szCs w:val="28"/>
              </w:rPr>
              <w:br/>
              <w:t>RISK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</w:tr>
      <w:tr w:rsidR="006A5078" w:rsidRPr="00175A39" w:rsidTr="00AD6B89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SEVERE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SOME</w:t>
            </w: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br/>
              <w:t>RISK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</w:tr>
      <w:tr w:rsidR="006A5078" w:rsidRPr="00175A39" w:rsidTr="00AD6B89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MODERATE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LOW</w:t>
            </w: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br/>
              <w:t>RISK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</w:tr>
      <w:tr w:rsidR="006A5078" w:rsidRPr="00175A39" w:rsidTr="00AD6B89">
        <w:trPr>
          <w:cantSplit/>
          <w:trHeight w:val="1134"/>
          <w:jc w:val="center"/>
        </w:trPr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 w:themeFill="text1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VERY</w:t>
            </w: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br/>
              <w:t>LOW</w:t>
            </w: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br/>
              <w:t>RISK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</w:tr>
      <w:tr w:rsidR="006A5078" w:rsidRPr="00175A39" w:rsidTr="00AD6B89">
        <w:trPr>
          <w:cantSplit/>
          <w:trHeight w:val="385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6A5078" w:rsidRPr="00175A39" w:rsidRDefault="006A5078" w:rsidP="00175A39">
            <w:pPr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5078" w:rsidRPr="00175A39" w:rsidRDefault="006A5078" w:rsidP="00175A39">
            <w:pPr>
              <w:spacing w:after="0"/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RARE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5078" w:rsidRPr="00175A39" w:rsidRDefault="006A5078" w:rsidP="00175A39">
            <w:pPr>
              <w:spacing w:after="0"/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UNLIKELY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5078" w:rsidRPr="00175A39" w:rsidRDefault="006A5078" w:rsidP="00175A39">
            <w:pPr>
              <w:spacing w:after="0"/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POSSIBLE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5078" w:rsidRPr="00175A39" w:rsidRDefault="006A5078" w:rsidP="00175A39">
            <w:pPr>
              <w:spacing w:after="0"/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LIKELY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5078" w:rsidRPr="00175A39" w:rsidRDefault="006A5078" w:rsidP="00175A39">
            <w:pPr>
              <w:spacing w:after="0"/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IMMINENT</w:t>
            </w:r>
          </w:p>
        </w:tc>
      </w:tr>
      <w:tr w:rsidR="006A5078" w:rsidRPr="00175A39" w:rsidTr="00AD6B89">
        <w:trPr>
          <w:cantSplit/>
          <w:trHeight w:val="385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6A5078" w:rsidRPr="00175A39" w:rsidRDefault="006A5078" w:rsidP="00175A39">
            <w:pPr>
              <w:spacing w:before="40" w:after="40"/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A5078" w:rsidRPr="00175A39" w:rsidRDefault="006A5078" w:rsidP="00175A39">
            <w:pPr>
              <w:spacing w:before="40" w:after="40"/>
              <w:jc w:val="both"/>
              <w:rPr>
                <w:rFonts w:asciiTheme="majorHAnsi" w:hAnsiTheme="majorHAnsi" w:cs="Calibri"/>
                <w:sz w:val="28"/>
                <w:szCs w:val="28"/>
              </w:rPr>
            </w:pP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078" w:rsidRPr="00175A39" w:rsidRDefault="006A5078" w:rsidP="00175A39">
            <w:pPr>
              <w:spacing w:before="40" w:after="40"/>
              <w:jc w:val="both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175A39">
              <w:rPr>
                <w:rFonts w:asciiTheme="majorHAnsi" w:hAnsiTheme="majorHAnsi" w:cs="Calibri"/>
                <w:b/>
                <w:sz w:val="28"/>
                <w:szCs w:val="28"/>
              </w:rPr>
              <w:t>LIKELIHOOD (THAT THE SCENARIO WILL OCCUR)</w:t>
            </w:r>
          </w:p>
        </w:tc>
      </w:tr>
    </w:tbl>
    <w:p w:rsidR="006A5078" w:rsidRPr="00175A39" w:rsidRDefault="006A5078" w:rsidP="00175A39">
      <w:pPr>
        <w:bidi/>
        <w:jc w:val="both"/>
        <w:rPr>
          <w:sz w:val="28"/>
          <w:szCs w:val="28"/>
        </w:rPr>
      </w:pPr>
    </w:p>
    <w:sectPr w:rsidR="006A5078" w:rsidRPr="00175A39" w:rsidSect="00813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90A"/>
    <w:rsid w:val="0013063B"/>
    <w:rsid w:val="00175A39"/>
    <w:rsid w:val="004063C6"/>
    <w:rsid w:val="00476FDE"/>
    <w:rsid w:val="005828DB"/>
    <w:rsid w:val="005B362C"/>
    <w:rsid w:val="006A5078"/>
    <w:rsid w:val="007C08F7"/>
    <w:rsid w:val="007C70E9"/>
    <w:rsid w:val="00813E85"/>
    <w:rsid w:val="00871A67"/>
    <w:rsid w:val="008B1549"/>
    <w:rsid w:val="009100B2"/>
    <w:rsid w:val="009D0346"/>
    <w:rsid w:val="00DB4911"/>
    <w:rsid w:val="00F3790A"/>
    <w:rsid w:val="00F5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85"/>
  </w:style>
  <w:style w:type="paragraph" w:styleId="Heading7">
    <w:name w:val="heading 7"/>
    <w:basedOn w:val="Normal"/>
    <w:next w:val="Normal"/>
    <w:link w:val="Heading7Char"/>
    <w:qFormat/>
    <w:rsid w:val="00871A67"/>
    <w:pPr>
      <w:keepNext/>
      <w:spacing w:after="120" w:line="240" w:lineRule="auto"/>
      <w:jc w:val="both"/>
      <w:outlineLvl w:val="6"/>
    </w:pPr>
    <w:rPr>
      <w:rFonts w:ascii="Arial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71A67"/>
    <w:rPr>
      <w:rFonts w:ascii="Arial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12</cp:revision>
  <dcterms:created xsi:type="dcterms:W3CDTF">2015-12-11T09:29:00Z</dcterms:created>
  <dcterms:modified xsi:type="dcterms:W3CDTF">2015-12-18T16:28:00Z</dcterms:modified>
</cp:coreProperties>
</file>