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1C" w:rsidRPr="00863443" w:rsidRDefault="000B6DBB" w:rsidP="009D50ED">
      <w:pPr>
        <w:bidi/>
        <w:jc w:val="center"/>
        <w:rPr>
          <w:rFonts w:ascii="Arial" w:hAnsi="Arial" w:cs="Arial"/>
          <w:b/>
          <w:bCs/>
          <w:sz w:val="28"/>
          <w:szCs w:val="28"/>
          <w:rtl/>
        </w:rPr>
      </w:pPr>
      <w:r w:rsidRPr="009D50ED">
        <w:rPr>
          <w:rFonts w:ascii="Arial" w:hAnsi="Arial" w:cs="Arial"/>
          <w:b/>
          <w:bCs/>
          <w:sz w:val="28"/>
          <w:szCs w:val="28"/>
          <w:rtl/>
        </w:rPr>
        <w:t>نموذج التحليل الرباعي للتأهب</w:t>
      </w:r>
    </w:p>
    <w:p w:rsidR="003D38D1" w:rsidRPr="00FE65C1" w:rsidRDefault="000B6DBB" w:rsidP="009D50ED">
      <w:pPr>
        <w:bidi/>
        <w:jc w:val="both"/>
        <w:rPr>
          <w:rFonts w:ascii="Arial" w:hAnsi="Arial" w:cs="Arial"/>
          <w:sz w:val="28"/>
          <w:szCs w:val="28"/>
          <w:rtl/>
        </w:rPr>
      </w:pPr>
      <w:r w:rsidRPr="00FE65C1">
        <w:rPr>
          <w:rFonts w:ascii="Arial" w:hAnsi="Arial" w:cs="Arial"/>
          <w:sz w:val="28"/>
          <w:szCs w:val="28"/>
          <w:rtl/>
        </w:rPr>
        <w:t>يجب إجراء تحليل رباعي في خلال ورشة عمل التأهب، يطال نقاط القوة والضعف والفرص والمخاطر التي تتعلق بقدرة الجهات المعني</w:t>
      </w:r>
      <w:r w:rsidR="005E547A">
        <w:rPr>
          <w:rFonts w:ascii="Arial" w:hAnsi="Arial" w:cs="Arial" w:hint="cs"/>
          <w:sz w:val="28"/>
          <w:szCs w:val="28"/>
          <w:rtl/>
        </w:rPr>
        <w:t>ة</w:t>
      </w:r>
      <w:r w:rsidRPr="00FE65C1">
        <w:rPr>
          <w:rFonts w:ascii="Arial" w:hAnsi="Arial" w:cs="Arial"/>
          <w:sz w:val="28"/>
          <w:szCs w:val="28"/>
          <w:rtl/>
        </w:rPr>
        <w:t xml:space="preserve"> في مجال برمجة التحويلات النقدية. وإذا ما كانت الجمعيات الوطنية تتمتع بالخبرة اللازمة في هذا المجال، </w:t>
      </w:r>
      <w:r w:rsidR="005E547A">
        <w:rPr>
          <w:rFonts w:ascii="Arial" w:hAnsi="Arial" w:cs="Arial" w:hint="cs"/>
          <w:sz w:val="28"/>
          <w:szCs w:val="28"/>
          <w:rtl/>
        </w:rPr>
        <w:t>من المستحسن أن تُعدّ</w:t>
      </w:r>
      <w:r w:rsidRPr="00FE65C1">
        <w:rPr>
          <w:rFonts w:ascii="Arial" w:hAnsi="Arial" w:cs="Arial"/>
          <w:sz w:val="28"/>
          <w:szCs w:val="28"/>
          <w:rtl/>
        </w:rPr>
        <w:t xml:space="preserve"> الأقسام المعنية فيها مسودة تحليل رباعي قبل عقد ورشة العمل. ويسمح </w:t>
      </w:r>
      <w:r w:rsidR="00806D24" w:rsidRPr="00FE65C1">
        <w:rPr>
          <w:rFonts w:ascii="Arial" w:hAnsi="Arial" w:cs="Arial"/>
          <w:sz w:val="28"/>
          <w:szCs w:val="28"/>
          <w:rtl/>
        </w:rPr>
        <w:t xml:space="preserve">التحليل الرباعي بتحديد المعوقات والقيود التي قد تعرقل الاستجابة النقدية الفعالة، أو السريعة أو الواسعة النطاق. </w:t>
      </w:r>
      <w:r w:rsidR="003D38D1" w:rsidRPr="00FE65C1">
        <w:rPr>
          <w:rFonts w:ascii="Arial" w:hAnsi="Arial" w:cs="Arial"/>
          <w:sz w:val="28"/>
          <w:szCs w:val="28"/>
          <w:rtl/>
        </w:rPr>
        <w:t>وتجدر الإشارة إلى أنه من المجدي ذكر الحلول عند التطرق إلى نطاق الضعف.</w:t>
      </w:r>
    </w:p>
    <w:p w:rsidR="003D38D1" w:rsidRPr="00FE65C1" w:rsidRDefault="003D38D1" w:rsidP="009D50ED">
      <w:pPr>
        <w:bidi/>
        <w:jc w:val="both"/>
        <w:rPr>
          <w:rFonts w:ascii="Arial" w:hAnsi="Arial" w:cs="Arial"/>
          <w:sz w:val="28"/>
          <w:szCs w:val="28"/>
          <w:rtl/>
        </w:rPr>
      </w:pPr>
      <w:r w:rsidRPr="00FE65C1">
        <w:rPr>
          <w:rFonts w:ascii="Arial" w:hAnsi="Arial" w:cs="Arial"/>
          <w:sz w:val="28"/>
          <w:szCs w:val="28"/>
          <w:rtl/>
        </w:rPr>
        <w:t>في ما يلي مثال على تحليل رباعي للتأهب:</w:t>
      </w:r>
    </w:p>
    <w:tbl>
      <w:tblPr>
        <w:tblStyle w:val="TableGrid"/>
        <w:tblW w:w="5000" w:type="pct"/>
        <w:tblLook w:val="04A0"/>
      </w:tblPr>
      <w:tblGrid>
        <w:gridCol w:w="4777"/>
        <w:gridCol w:w="4799"/>
      </w:tblGrid>
      <w:tr w:rsidR="00751BD8" w:rsidRPr="00FE65C1" w:rsidTr="00844950">
        <w:tc>
          <w:tcPr>
            <w:tcW w:w="2494" w:type="pct"/>
            <w:tcBorders>
              <w:bottom w:val="single" w:sz="4" w:space="0" w:color="auto"/>
            </w:tcBorders>
            <w:shd w:val="clear" w:color="auto" w:fill="DC281E"/>
          </w:tcPr>
          <w:p w:rsidR="00751BD8" w:rsidRPr="00FE65C1" w:rsidRDefault="00751BD8" w:rsidP="009D50ED">
            <w:pPr>
              <w:spacing w:before="120"/>
              <w:jc w:val="both"/>
              <w:rPr>
                <w:rFonts w:ascii="Arial" w:hAnsi="Arial" w:cs="Arial"/>
                <w:b/>
                <w:bCs/>
                <w:color w:val="FFFFFF" w:themeColor="background1"/>
                <w:sz w:val="28"/>
                <w:szCs w:val="28"/>
              </w:rPr>
            </w:pPr>
            <w:r w:rsidRPr="00FE65C1">
              <w:rPr>
                <w:rFonts w:ascii="Arial" w:hAnsi="Arial" w:cs="Arial"/>
                <w:b/>
                <w:bCs/>
                <w:color w:val="FFFFFF" w:themeColor="background1"/>
                <w:sz w:val="28"/>
                <w:szCs w:val="28"/>
                <w:rtl/>
              </w:rPr>
              <w:t>نقاط القوة</w:t>
            </w:r>
          </w:p>
        </w:tc>
        <w:tc>
          <w:tcPr>
            <w:tcW w:w="2506" w:type="pct"/>
            <w:tcBorders>
              <w:bottom w:val="single" w:sz="4" w:space="0" w:color="auto"/>
            </w:tcBorders>
            <w:shd w:val="clear" w:color="auto" w:fill="DC281E"/>
          </w:tcPr>
          <w:p w:rsidR="00751BD8" w:rsidRPr="00FE65C1" w:rsidRDefault="00751BD8" w:rsidP="009D50ED">
            <w:pPr>
              <w:spacing w:before="120"/>
              <w:jc w:val="both"/>
              <w:rPr>
                <w:rFonts w:ascii="Arial" w:hAnsi="Arial" w:cs="Arial"/>
                <w:b/>
                <w:bCs/>
                <w:color w:val="FFFFFF" w:themeColor="background1"/>
                <w:sz w:val="28"/>
                <w:szCs w:val="28"/>
              </w:rPr>
            </w:pPr>
            <w:r w:rsidRPr="00FE65C1">
              <w:rPr>
                <w:rFonts w:ascii="Arial" w:hAnsi="Arial" w:cs="Arial"/>
                <w:b/>
                <w:bCs/>
                <w:color w:val="FFFFFF" w:themeColor="background1"/>
                <w:sz w:val="28"/>
                <w:szCs w:val="28"/>
                <w:rtl/>
              </w:rPr>
              <w:t>نقاط الضعف</w:t>
            </w:r>
          </w:p>
        </w:tc>
      </w:tr>
      <w:tr w:rsidR="00751BD8" w:rsidRPr="00FE65C1" w:rsidTr="00844950">
        <w:tc>
          <w:tcPr>
            <w:tcW w:w="2494" w:type="pct"/>
            <w:shd w:val="clear" w:color="auto" w:fill="A6A6A6"/>
          </w:tcPr>
          <w:p w:rsidR="00751BD8" w:rsidRPr="00FE65C1" w:rsidRDefault="00751BD8"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الإدارة ملتزمة بالنظر في التحويلات النقدية كخيار للاستجابة</w:t>
            </w:r>
            <w:r w:rsidR="004F5AF8" w:rsidRPr="00FE65C1">
              <w:rPr>
                <w:rStyle w:val="Catagory"/>
                <w:rFonts w:cs="Arial"/>
                <w:sz w:val="28"/>
                <w:szCs w:val="28"/>
                <w:rtl/>
              </w:rPr>
              <w:t>.</w:t>
            </w:r>
          </w:p>
          <w:p w:rsidR="004F5AF8" w:rsidRPr="00FE65C1" w:rsidRDefault="004F5AF8"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 xml:space="preserve">وضع </w:t>
            </w:r>
            <w:r w:rsidR="00F95758" w:rsidRPr="00FE65C1">
              <w:rPr>
                <w:rStyle w:val="Catagory"/>
                <w:rFonts w:cs="Arial"/>
                <w:sz w:val="28"/>
                <w:szCs w:val="28"/>
                <w:rtl/>
              </w:rPr>
              <w:t xml:space="preserve">تدابير تشغيلية </w:t>
            </w:r>
            <w:r w:rsidR="00A30EF8">
              <w:rPr>
                <w:rStyle w:val="Catagory"/>
                <w:rFonts w:cs="Arial" w:hint="cs"/>
                <w:sz w:val="28"/>
                <w:szCs w:val="28"/>
                <w:rtl/>
              </w:rPr>
              <w:t>معيارية</w:t>
            </w:r>
            <w:r w:rsidRPr="00FE65C1">
              <w:rPr>
                <w:rStyle w:val="Catagory"/>
                <w:rFonts w:cs="Arial"/>
                <w:sz w:val="28"/>
                <w:szCs w:val="28"/>
                <w:rtl/>
              </w:rPr>
              <w:t xml:space="preserve"> للاستجابة ل</w:t>
            </w:r>
            <w:r w:rsidR="009D50ED">
              <w:rPr>
                <w:rStyle w:val="Catagory"/>
                <w:rFonts w:cs="Arial" w:hint="cs"/>
                <w:sz w:val="28"/>
                <w:szCs w:val="28"/>
                <w:rtl/>
              </w:rPr>
              <w:t>ل</w:t>
            </w:r>
            <w:r w:rsidRPr="00FE65C1">
              <w:rPr>
                <w:rStyle w:val="Catagory"/>
                <w:rFonts w:cs="Arial"/>
                <w:sz w:val="28"/>
                <w:szCs w:val="28"/>
                <w:rtl/>
              </w:rPr>
              <w:t>كوارث، وهذه الإجراءات قابلة للتحديث لتشمل برامج التحويلات النقدية.</w:t>
            </w:r>
          </w:p>
          <w:p w:rsidR="008444E1" w:rsidRPr="00FE65C1" w:rsidRDefault="00B74725"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استعداد ال</w:t>
            </w:r>
            <w:r w:rsidR="009D50ED">
              <w:rPr>
                <w:rStyle w:val="Catagory"/>
                <w:rFonts w:cs="Arial" w:hint="cs"/>
                <w:sz w:val="28"/>
                <w:szCs w:val="28"/>
                <w:rtl/>
              </w:rPr>
              <w:t>جمعيات</w:t>
            </w:r>
            <w:r w:rsidRPr="00FE65C1">
              <w:rPr>
                <w:rStyle w:val="Catagory"/>
                <w:rFonts w:cs="Arial"/>
                <w:sz w:val="28"/>
                <w:szCs w:val="28"/>
                <w:rtl/>
              </w:rPr>
              <w:t xml:space="preserve"> الوطنية  لوضع مواردها المالية قيد الاستعمال بمجرد وضع التدابير اللازمة واتباعها.</w:t>
            </w:r>
          </w:p>
          <w:p w:rsidR="00B74725" w:rsidRPr="00FE65C1" w:rsidRDefault="00B74725"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 xml:space="preserve">نشر المعرفة المتعلقة ببرامج التحويلات النقدية على نطاق واسع في المقرات الأساسية والفروع التابعة للجمعيات الوطنية.  </w:t>
            </w:r>
          </w:p>
          <w:p w:rsidR="00751BD8" w:rsidRPr="00FE65C1" w:rsidRDefault="00AD3B22"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 xml:space="preserve">تتمتع الجمعيات الوطنية بالخبرة اللازمة في مجال برامج التحويلات النقدية </w:t>
            </w:r>
            <w:r w:rsidR="00981972" w:rsidRPr="00FE65C1">
              <w:rPr>
                <w:rStyle w:val="Catagory"/>
                <w:rFonts w:cs="Arial"/>
                <w:sz w:val="28"/>
                <w:szCs w:val="28"/>
                <w:rtl/>
              </w:rPr>
              <w:t xml:space="preserve">(برامج النقود مقابل عمل، </w:t>
            </w:r>
            <w:r w:rsidR="00464A5F" w:rsidRPr="00FE65C1">
              <w:rPr>
                <w:rStyle w:val="Catagory"/>
                <w:rFonts w:cs="Arial"/>
                <w:sz w:val="28"/>
                <w:szCs w:val="28"/>
                <w:rtl/>
              </w:rPr>
              <w:t>نقود خاصة لـتأمين المأوى، وسبل العيش، والحاجات القطاعات على اختلافها).</w:t>
            </w:r>
          </w:p>
          <w:p w:rsidR="00464A5F" w:rsidRPr="00FE65C1" w:rsidRDefault="00464A5F"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تتمتع الجمعيات الوطنية بفرق عمل ومتطوعين لديهم خبرة في مجال تنفيذ برامج التحويلات النقدية.</w:t>
            </w:r>
          </w:p>
          <w:p w:rsidR="00464A5F" w:rsidRPr="00FE65C1" w:rsidRDefault="00AE4E60"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 xml:space="preserve">تتمتع الجمعيات الوطنية </w:t>
            </w:r>
            <w:r w:rsidR="009D50ED">
              <w:rPr>
                <w:rStyle w:val="Catagory"/>
                <w:rFonts w:cs="Arial"/>
                <w:sz w:val="28"/>
                <w:szCs w:val="28"/>
                <w:rtl/>
              </w:rPr>
              <w:t>بخبرة مع مقدمي الخدمات الوطنيين</w:t>
            </w:r>
            <w:r w:rsidRPr="00FE65C1">
              <w:rPr>
                <w:rStyle w:val="Catagory"/>
                <w:rFonts w:cs="Arial"/>
                <w:sz w:val="28"/>
                <w:szCs w:val="28"/>
                <w:rtl/>
              </w:rPr>
              <w:t xml:space="preserve"> كشركات التحويل النقدي.</w:t>
            </w:r>
          </w:p>
          <w:p w:rsidR="00751BD8" w:rsidRPr="00FE65C1" w:rsidRDefault="00C83006"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التمكن من توثيق كل تجارب التحويلات النقدية التي نفذت حتى الساعة.</w:t>
            </w:r>
          </w:p>
          <w:p w:rsidR="00C83006" w:rsidRPr="00FE65C1" w:rsidRDefault="00C83006"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 xml:space="preserve">المجتمعات منظمة وتشاركية. </w:t>
            </w:r>
          </w:p>
          <w:p w:rsidR="00C83006" w:rsidRPr="00FE65C1" w:rsidRDefault="00C83006"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تتوفر المعلومات الثانوية الموثوقة.</w:t>
            </w:r>
          </w:p>
          <w:p w:rsidR="00C83006" w:rsidRPr="00FE65C1" w:rsidRDefault="00C83006"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 xml:space="preserve">توفير الاتحاد الدولي لجمعيات الصليب الأحمر </w:t>
            </w:r>
            <w:r w:rsidRPr="00FE65C1">
              <w:rPr>
                <w:rStyle w:val="Catagory"/>
                <w:rFonts w:cs="Arial"/>
                <w:sz w:val="28"/>
                <w:szCs w:val="28"/>
                <w:rtl/>
              </w:rPr>
              <w:lastRenderedPageBreak/>
              <w:t>والهلال الأحمر والشركاء من المجتمع الوطني الدعم الفني اللازم.</w:t>
            </w:r>
          </w:p>
          <w:p w:rsidR="00C83006" w:rsidRPr="00FE65C1" w:rsidRDefault="006A76EB"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تبادل التجارب والمعرفة بين الجمعيات الوطنية والمنظمات الأنسانية الأخرى.</w:t>
            </w:r>
          </w:p>
          <w:p w:rsidR="0095502A" w:rsidRPr="00FE65C1" w:rsidRDefault="0095502A" w:rsidP="009D50ED">
            <w:pPr>
              <w:pStyle w:val="ListParagraph"/>
              <w:numPr>
                <w:ilvl w:val="0"/>
                <w:numId w:val="1"/>
              </w:numPr>
              <w:bidi/>
              <w:spacing w:before="40" w:after="40"/>
              <w:ind w:left="357" w:hanging="357"/>
              <w:contextualSpacing w:val="0"/>
              <w:rPr>
                <w:rStyle w:val="Catagory"/>
                <w:rFonts w:cs="Arial"/>
                <w:sz w:val="28"/>
                <w:szCs w:val="28"/>
              </w:rPr>
            </w:pPr>
            <w:r w:rsidRPr="00FE65C1">
              <w:rPr>
                <w:rStyle w:val="Catagory"/>
                <w:rFonts w:cs="Arial"/>
                <w:sz w:val="28"/>
                <w:szCs w:val="28"/>
                <w:rtl/>
              </w:rPr>
              <w:t>يتقبل المستقيدون التحويلات النقدية.</w:t>
            </w:r>
          </w:p>
          <w:p w:rsidR="00751BD8" w:rsidRPr="00FE65C1" w:rsidRDefault="0095502A" w:rsidP="009D50ED">
            <w:pPr>
              <w:pStyle w:val="ListParagraph"/>
              <w:numPr>
                <w:ilvl w:val="0"/>
                <w:numId w:val="1"/>
              </w:numPr>
              <w:bidi/>
              <w:spacing w:before="40" w:after="40"/>
              <w:ind w:left="357" w:hanging="357"/>
              <w:contextualSpacing w:val="0"/>
              <w:rPr>
                <w:rFonts w:cs="Arial"/>
                <w:sz w:val="28"/>
                <w:szCs w:val="28"/>
              </w:rPr>
            </w:pPr>
            <w:r w:rsidRPr="00FE65C1">
              <w:rPr>
                <w:rStyle w:val="Catagory"/>
                <w:rFonts w:cs="Arial"/>
                <w:sz w:val="28"/>
                <w:szCs w:val="28"/>
              </w:rPr>
              <w:t xml:space="preserve"> </w:t>
            </w:r>
            <w:r w:rsidRPr="00FE65C1">
              <w:rPr>
                <w:rStyle w:val="Catagory"/>
                <w:rFonts w:cs="Arial"/>
                <w:sz w:val="28"/>
                <w:szCs w:val="28"/>
                <w:rtl/>
              </w:rPr>
              <w:t>تقدر المجتمعات المرونة النقدية.</w:t>
            </w:r>
            <w:r w:rsidR="00751BD8" w:rsidRPr="00FE65C1">
              <w:rPr>
                <w:rStyle w:val="Catagory"/>
                <w:rFonts w:cs="Arial"/>
                <w:sz w:val="28"/>
                <w:szCs w:val="28"/>
              </w:rPr>
              <w:t xml:space="preserve"> </w:t>
            </w:r>
          </w:p>
        </w:tc>
        <w:tc>
          <w:tcPr>
            <w:tcW w:w="2506" w:type="pct"/>
            <w:shd w:val="clear" w:color="auto" w:fill="E6E6E6"/>
          </w:tcPr>
          <w:p w:rsidR="008925E2" w:rsidRPr="00FE65C1" w:rsidRDefault="008925E2" w:rsidP="009D50ED">
            <w:pPr>
              <w:pStyle w:val="ListParagraph"/>
              <w:numPr>
                <w:ilvl w:val="0"/>
                <w:numId w:val="2"/>
              </w:numPr>
              <w:bidi/>
              <w:spacing w:before="40" w:after="40"/>
              <w:ind w:left="357" w:hanging="357"/>
              <w:contextualSpacing w:val="0"/>
              <w:rPr>
                <w:rStyle w:val="Catagory"/>
                <w:rFonts w:cs="Arial"/>
                <w:b/>
                <w:sz w:val="28"/>
                <w:szCs w:val="28"/>
              </w:rPr>
            </w:pPr>
            <w:r w:rsidRPr="00FE65C1">
              <w:rPr>
                <w:rStyle w:val="Catagory"/>
                <w:rFonts w:cs="Arial"/>
                <w:b/>
                <w:sz w:val="28"/>
                <w:szCs w:val="28"/>
                <w:rtl/>
              </w:rPr>
              <w:lastRenderedPageBreak/>
              <w:t>لا تسمح قدرات مقدم خدمات مالية واحد بالاستجابة النقدية السريعة والواسعة النطاق. فلا بد من العمل مع أكثر من مقدم واحد للخدمات المالية.</w:t>
            </w:r>
          </w:p>
          <w:p w:rsidR="008925E2" w:rsidRPr="00FE65C1" w:rsidRDefault="00F95758" w:rsidP="009D50ED">
            <w:pPr>
              <w:pStyle w:val="ListParagraph"/>
              <w:numPr>
                <w:ilvl w:val="0"/>
                <w:numId w:val="2"/>
              </w:numPr>
              <w:bidi/>
              <w:spacing w:before="40" w:after="40"/>
              <w:ind w:left="357" w:hanging="357"/>
              <w:contextualSpacing w:val="0"/>
              <w:rPr>
                <w:rStyle w:val="Catagory"/>
                <w:rFonts w:cs="Arial"/>
                <w:b/>
                <w:sz w:val="28"/>
                <w:szCs w:val="28"/>
              </w:rPr>
            </w:pPr>
            <w:r w:rsidRPr="00FE65C1">
              <w:rPr>
                <w:rStyle w:val="Catagory"/>
                <w:rFonts w:cs="Arial"/>
                <w:b/>
                <w:sz w:val="28"/>
                <w:szCs w:val="28"/>
                <w:rtl/>
              </w:rPr>
              <w:t>قد تؤخر الموافقة الداخلي</w:t>
            </w:r>
            <w:r w:rsidR="00430506">
              <w:rPr>
                <w:rStyle w:val="Catagory"/>
                <w:rFonts w:cs="Arial"/>
                <w:b/>
                <w:sz w:val="28"/>
                <w:szCs w:val="28"/>
                <w:rtl/>
              </w:rPr>
              <w:t xml:space="preserve">ة عملية </w:t>
            </w:r>
            <w:r w:rsidR="00430506">
              <w:rPr>
                <w:rStyle w:val="Catagory"/>
                <w:rFonts w:cs="Arial" w:hint="cs"/>
                <w:b/>
                <w:sz w:val="28"/>
                <w:szCs w:val="28"/>
                <w:rtl/>
              </w:rPr>
              <w:t>تسليم النقود</w:t>
            </w:r>
            <w:r w:rsidRPr="00FE65C1">
              <w:rPr>
                <w:rStyle w:val="Catagory"/>
                <w:rFonts w:cs="Arial"/>
                <w:b/>
                <w:sz w:val="28"/>
                <w:szCs w:val="28"/>
                <w:rtl/>
              </w:rPr>
              <w:t xml:space="preserve"> على نطاق واسع. ولا بد من النظر في هذه المسألة عند تحديث التدابير التشغيلية </w:t>
            </w:r>
            <w:r w:rsidR="00A30EF8">
              <w:rPr>
                <w:rStyle w:val="Catagory"/>
                <w:rFonts w:cs="Arial" w:hint="cs"/>
                <w:b/>
                <w:sz w:val="28"/>
                <w:szCs w:val="28"/>
                <w:rtl/>
              </w:rPr>
              <w:t>المعيارية.</w:t>
            </w:r>
          </w:p>
          <w:p w:rsidR="0021091F" w:rsidRPr="00FE65C1" w:rsidRDefault="0021091F" w:rsidP="009D50ED">
            <w:pPr>
              <w:pStyle w:val="ListParagraph"/>
              <w:numPr>
                <w:ilvl w:val="0"/>
                <w:numId w:val="2"/>
              </w:numPr>
              <w:bidi/>
              <w:spacing w:before="40" w:after="40"/>
              <w:ind w:left="357" w:hanging="357"/>
              <w:contextualSpacing w:val="0"/>
              <w:rPr>
                <w:rStyle w:val="Catagory"/>
                <w:rFonts w:cs="Arial"/>
                <w:b/>
                <w:sz w:val="28"/>
                <w:szCs w:val="28"/>
              </w:rPr>
            </w:pPr>
            <w:r w:rsidRPr="00FE65C1">
              <w:rPr>
                <w:rStyle w:val="Catagory"/>
                <w:rFonts w:cs="Arial"/>
                <w:b/>
                <w:sz w:val="28"/>
                <w:szCs w:val="28"/>
                <w:rtl/>
              </w:rPr>
              <w:t>يتمتع الموظفون والمتطوعون في الجمعيات الوطنية بمهارات محدودة على صعيد برامج التحويلات النقدية. فلا بد إذاً من تنظيم دورات تدريبية في هذا الشأن.</w:t>
            </w:r>
          </w:p>
          <w:p w:rsidR="00B350C0" w:rsidRPr="00FE65C1" w:rsidRDefault="00B350C0" w:rsidP="009D50ED">
            <w:pPr>
              <w:pStyle w:val="ListParagraph"/>
              <w:numPr>
                <w:ilvl w:val="0"/>
                <w:numId w:val="5"/>
              </w:numPr>
              <w:bidi/>
              <w:spacing w:before="40" w:after="40"/>
              <w:ind w:left="357" w:hanging="357"/>
              <w:contextualSpacing w:val="0"/>
              <w:rPr>
                <w:rStyle w:val="Catagory"/>
                <w:rFonts w:cs="Arial"/>
                <w:b/>
                <w:sz w:val="28"/>
                <w:szCs w:val="28"/>
              </w:rPr>
            </w:pPr>
            <w:r w:rsidRPr="00FE65C1">
              <w:rPr>
                <w:rStyle w:val="Catagory"/>
                <w:rFonts w:cs="Arial"/>
                <w:b/>
                <w:sz w:val="28"/>
                <w:szCs w:val="28"/>
                <w:rtl/>
              </w:rPr>
              <w:t xml:space="preserve">قد تواجه الأسر المستفيدة مشاكل في عملية الوصول إلى التحويلات النقدية (التكاليف إضافية على النقل، والأمن، وطرق الوصول إلى السوق ومقدمي الخدمات المالية). لذلك يجب أخذ هذه المشاكل في الاعتبار عند وضع الخطط المتعلقة ببرامج التحويلات النقدية. </w:t>
            </w:r>
          </w:p>
          <w:p w:rsidR="00B350C0" w:rsidRPr="00FE65C1" w:rsidRDefault="00FE65C1" w:rsidP="009D50ED">
            <w:pPr>
              <w:pStyle w:val="ListParagraph"/>
              <w:numPr>
                <w:ilvl w:val="0"/>
                <w:numId w:val="5"/>
              </w:numPr>
              <w:bidi/>
              <w:spacing w:before="40" w:after="40"/>
              <w:ind w:left="357" w:hanging="357"/>
              <w:contextualSpacing w:val="0"/>
              <w:rPr>
                <w:rStyle w:val="Catagory"/>
                <w:rFonts w:cs="Arial"/>
                <w:b/>
                <w:sz w:val="28"/>
                <w:szCs w:val="28"/>
              </w:rPr>
            </w:pPr>
            <w:r>
              <w:rPr>
                <w:rStyle w:val="Catagory"/>
                <w:rFonts w:cs="Arial" w:hint="cs"/>
                <w:b/>
                <w:sz w:val="28"/>
                <w:szCs w:val="28"/>
                <w:rtl/>
              </w:rPr>
              <w:t>لا تؤخذ برامج التحويلات النقدية في الاعتبار في تقييم الجمعيات الوطنية ووضع البرامج. لذا يجب دمج برامج التحويلات النقدية في نظم وأدوات الاجمعيات الوطنية (خطة الطوارئ، استبيانات التقييم، التدابير التشغيلية ال</w:t>
            </w:r>
            <w:r w:rsidR="00A30EF8">
              <w:rPr>
                <w:rStyle w:val="Catagory"/>
                <w:rFonts w:cs="Arial" w:hint="cs"/>
                <w:b/>
                <w:sz w:val="28"/>
                <w:szCs w:val="28"/>
                <w:rtl/>
              </w:rPr>
              <w:t>معيارية</w:t>
            </w:r>
            <w:r>
              <w:rPr>
                <w:rStyle w:val="Catagory"/>
                <w:rFonts w:cs="Arial" w:hint="cs"/>
                <w:b/>
                <w:sz w:val="28"/>
                <w:szCs w:val="28"/>
                <w:rtl/>
              </w:rPr>
              <w:t>).</w:t>
            </w:r>
          </w:p>
          <w:p w:rsidR="00751BD8" w:rsidRPr="00FE65C1" w:rsidRDefault="00751BD8" w:rsidP="009D50ED">
            <w:pPr>
              <w:spacing w:before="40" w:after="40"/>
              <w:ind w:left="357"/>
              <w:jc w:val="both"/>
              <w:rPr>
                <w:rFonts w:ascii="Arial" w:hAnsi="Arial" w:cs="Arial"/>
                <w:sz w:val="28"/>
                <w:szCs w:val="28"/>
              </w:rPr>
            </w:pPr>
          </w:p>
        </w:tc>
      </w:tr>
      <w:tr w:rsidR="00751BD8" w:rsidRPr="00FE65C1" w:rsidTr="00844950">
        <w:tc>
          <w:tcPr>
            <w:tcW w:w="2494" w:type="pct"/>
            <w:tcBorders>
              <w:bottom w:val="single" w:sz="4" w:space="0" w:color="auto"/>
            </w:tcBorders>
            <w:shd w:val="clear" w:color="auto" w:fill="DC281E"/>
          </w:tcPr>
          <w:p w:rsidR="00751BD8" w:rsidRPr="00FE65C1" w:rsidRDefault="00751BD8" w:rsidP="009D50ED">
            <w:pPr>
              <w:spacing w:before="120"/>
              <w:jc w:val="both"/>
              <w:rPr>
                <w:rFonts w:ascii="Arial" w:hAnsi="Arial" w:cs="Arial"/>
                <w:b/>
                <w:bCs/>
                <w:color w:val="FFFFFF" w:themeColor="background1"/>
                <w:sz w:val="28"/>
                <w:szCs w:val="28"/>
              </w:rPr>
            </w:pPr>
            <w:r w:rsidRPr="00FE65C1">
              <w:rPr>
                <w:rFonts w:ascii="Arial" w:hAnsi="Arial" w:cs="Arial"/>
                <w:sz w:val="28"/>
                <w:szCs w:val="28"/>
              </w:rPr>
              <w:lastRenderedPageBreak/>
              <w:br w:type="page"/>
            </w:r>
            <w:r w:rsidRPr="00FE65C1">
              <w:rPr>
                <w:rFonts w:ascii="Arial" w:hAnsi="Arial" w:cs="Arial"/>
                <w:b/>
                <w:bCs/>
                <w:color w:val="FFFFFF" w:themeColor="background1"/>
                <w:sz w:val="28"/>
                <w:szCs w:val="28"/>
                <w:rtl/>
              </w:rPr>
              <w:t>الفرص</w:t>
            </w:r>
          </w:p>
        </w:tc>
        <w:tc>
          <w:tcPr>
            <w:tcW w:w="2506" w:type="pct"/>
            <w:tcBorders>
              <w:bottom w:val="single" w:sz="4" w:space="0" w:color="auto"/>
            </w:tcBorders>
            <w:shd w:val="clear" w:color="auto" w:fill="DC281E"/>
          </w:tcPr>
          <w:p w:rsidR="00751BD8" w:rsidRPr="00FE65C1" w:rsidRDefault="00751BD8" w:rsidP="009D50ED">
            <w:pPr>
              <w:spacing w:before="120"/>
              <w:jc w:val="both"/>
              <w:rPr>
                <w:rFonts w:ascii="Arial" w:hAnsi="Arial" w:cs="Arial"/>
                <w:b/>
                <w:bCs/>
                <w:color w:val="FFFFFF" w:themeColor="background1"/>
                <w:sz w:val="28"/>
                <w:szCs w:val="28"/>
              </w:rPr>
            </w:pPr>
            <w:r w:rsidRPr="00FE65C1">
              <w:rPr>
                <w:rFonts w:ascii="Arial" w:hAnsi="Arial" w:cs="Arial"/>
                <w:b/>
                <w:bCs/>
                <w:color w:val="FFFFFF" w:themeColor="background1"/>
                <w:sz w:val="28"/>
                <w:szCs w:val="28"/>
                <w:rtl/>
              </w:rPr>
              <w:t>التحديات</w:t>
            </w:r>
          </w:p>
        </w:tc>
      </w:tr>
      <w:tr w:rsidR="00751BD8" w:rsidRPr="00FE65C1" w:rsidTr="00844950">
        <w:tc>
          <w:tcPr>
            <w:tcW w:w="2494" w:type="pct"/>
            <w:shd w:val="clear" w:color="auto" w:fill="A6A6A6"/>
          </w:tcPr>
          <w:p w:rsidR="0069126E" w:rsidRDefault="0069126E" w:rsidP="009D50ED">
            <w:pPr>
              <w:pStyle w:val="ListParagraph"/>
              <w:numPr>
                <w:ilvl w:val="0"/>
                <w:numId w:val="4"/>
              </w:numPr>
              <w:bidi/>
              <w:spacing w:before="40" w:after="40"/>
              <w:ind w:left="357" w:hanging="357"/>
              <w:contextualSpacing w:val="0"/>
              <w:rPr>
                <w:rStyle w:val="Catagory"/>
                <w:rFonts w:cs="Arial"/>
                <w:sz w:val="28"/>
                <w:szCs w:val="28"/>
              </w:rPr>
            </w:pPr>
            <w:r>
              <w:rPr>
                <w:rStyle w:val="Catagory"/>
                <w:rFonts w:cs="Arial" w:hint="cs"/>
                <w:sz w:val="28"/>
                <w:szCs w:val="28"/>
                <w:rtl/>
              </w:rPr>
              <w:t>تسمح برامج التحويلات المالية بتوسيع قاعدة الخيارات المتاحة أمام المستفيدين.</w:t>
            </w:r>
          </w:p>
          <w:p w:rsidR="00ED6649" w:rsidRDefault="00ED6649" w:rsidP="009D50ED">
            <w:pPr>
              <w:pStyle w:val="ListParagraph"/>
              <w:numPr>
                <w:ilvl w:val="0"/>
                <w:numId w:val="4"/>
              </w:numPr>
              <w:bidi/>
              <w:spacing w:before="40" w:after="40"/>
              <w:ind w:left="357" w:hanging="357"/>
              <w:contextualSpacing w:val="0"/>
              <w:rPr>
                <w:rStyle w:val="Catagory"/>
                <w:rFonts w:cs="Arial"/>
                <w:sz w:val="28"/>
                <w:szCs w:val="28"/>
              </w:rPr>
            </w:pPr>
            <w:r>
              <w:rPr>
                <w:rStyle w:val="Catagory"/>
                <w:rFonts w:cs="Arial" w:hint="cs"/>
                <w:sz w:val="28"/>
                <w:szCs w:val="28"/>
                <w:rtl/>
              </w:rPr>
              <w:t>تضمن برامج التحويلات النقدية فعالية التكلفة على صعيد تقديم المساعدة الإنسانية.</w:t>
            </w:r>
          </w:p>
          <w:p w:rsidR="00ED6649" w:rsidRDefault="00ED6649" w:rsidP="009D50ED">
            <w:pPr>
              <w:pStyle w:val="ListParagraph"/>
              <w:numPr>
                <w:ilvl w:val="0"/>
                <w:numId w:val="4"/>
              </w:numPr>
              <w:bidi/>
              <w:spacing w:before="40" w:after="40"/>
              <w:ind w:left="357" w:hanging="357"/>
              <w:contextualSpacing w:val="0"/>
              <w:rPr>
                <w:rStyle w:val="Catagory"/>
                <w:rFonts w:cs="Arial"/>
                <w:sz w:val="28"/>
                <w:szCs w:val="28"/>
              </w:rPr>
            </w:pPr>
            <w:r>
              <w:rPr>
                <w:rStyle w:val="Catagory"/>
                <w:rFonts w:cs="Arial" w:hint="cs"/>
                <w:sz w:val="28"/>
                <w:szCs w:val="28"/>
                <w:rtl/>
              </w:rPr>
              <w:t>يسمح وضع النظم والتدابير</w:t>
            </w:r>
            <w:r w:rsidR="009D50ED">
              <w:rPr>
                <w:rStyle w:val="Catagory"/>
                <w:rFonts w:cs="Arial" w:hint="cs"/>
                <w:sz w:val="28"/>
                <w:szCs w:val="28"/>
                <w:rtl/>
              </w:rPr>
              <w:t xml:space="preserve"> </w:t>
            </w:r>
            <w:r>
              <w:rPr>
                <w:rStyle w:val="Catagory"/>
                <w:rFonts w:cs="Arial" w:hint="cs"/>
                <w:sz w:val="28"/>
                <w:szCs w:val="28"/>
                <w:rtl/>
              </w:rPr>
              <w:t>ذات الصلة بتسريع تطبيق برامج التحويلات النقدية.</w:t>
            </w:r>
          </w:p>
          <w:p w:rsidR="00ED6649" w:rsidRDefault="00601ADE" w:rsidP="009D50ED">
            <w:pPr>
              <w:pStyle w:val="ListParagraph"/>
              <w:numPr>
                <w:ilvl w:val="0"/>
                <w:numId w:val="4"/>
              </w:numPr>
              <w:bidi/>
              <w:spacing w:before="40" w:after="40"/>
              <w:ind w:left="357" w:hanging="357"/>
              <w:contextualSpacing w:val="0"/>
              <w:rPr>
                <w:rStyle w:val="Catagory"/>
                <w:rFonts w:cs="Arial"/>
                <w:sz w:val="28"/>
                <w:szCs w:val="28"/>
              </w:rPr>
            </w:pPr>
            <w:r>
              <w:rPr>
                <w:rStyle w:val="Catagory"/>
                <w:rFonts w:cs="Arial" w:hint="cs"/>
                <w:sz w:val="28"/>
                <w:szCs w:val="28"/>
                <w:rtl/>
              </w:rPr>
              <w:t>للمجتمع الوطني القدرة على الريادة في مجال برامج التحويلات النقدية على صعيد الوطن والـ"حركة".</w:t>
            </w:r>
          </w:p>
          <w:p w:rsidR="00250220" w:rsidRDefault="00250220" w:rsidP="009D50ED">
            <w:pPr>
              <w:pStyle w:val="ListParagraph"/>
              <w:numPr>
                <w:ilvl w:val="0"/>
                <w:numId w:val="4"/>
              </w:numPr>
              <w:bidi/>
              <w:spacing w:before="40" w:after="40"/>
              <w:ind w:left="357" w:hanging="357"/>
              <w:contextualSpacing w:val="0"/>
              <w:rPr>
                <w:rStyle w:val="Catagory"/>
                <w:rFonts w:cs="Arial"/>
                <w:sz w:val="28"/>
                <w:szCs w:val="28"/>
              </w:rPr>
            </w:pPr>
            <w:r>
              <w:rPr>
                <w:rStyle w:val="Catagory"/>
                <w:rFonts w:cs="Arial" w:hint="cs"/>
                <w:sz w:val="28"/>
                <w:szCs w:val="28"/>
                <w:rtl/>
              </w:rPr>
              <w:t>يمكن لبرامج التحويلات النقدية أن تؤدي إلى تحسين المستوى المهني لل</w:t>
            </w:r>
            <w:r w:rsidR="00115CFB">
              <w:rPr>
                <w:rStyle w:val="Catagory"/>
                <w:rFonts w:cs="Arial" w:hint="cs"/>
                <w:sz w:val="28"/>
                <w:szCs w:val="28"/>
                <w:rtl/>
              </w:rPr>
              <w:t xml:space="preserve">عاملين والمتطوعين </w:t>
            </w:r>
            <w:r>
              <w:rPr>
                <w:rStyle w:val="Catagory"/>
                <w:rFonts w:cs="Arial" w:hint="cs"/>
                <w:sz w:val="28"/>
                <w:szCs w:val="28"/>
                <w:rtl/>
              </w:rPr>
              <w:t>في المجتمع الوطني</w:t>
            </w:r>
            <w:r w:rsidR="00F92CA1">
              <w:rPr>
                <w:rStyle w:val="Catagory"/>
                <w:rFonts w:cs="Arial" w:hint="cs"/>
                <w:sz w:val="28"/>
                <w:szCs w:val="28"/>
                <w:rtl/>
              </w:rPr>
              <w:t>.</w:t>
            </w:r>
          </w:p>
          <w:p w:rsidR="00F92CA1" w:rsidRDefault="00F92CA1" w:rsidP="009D50ED">
            <w:pPr>
              <w:pStyle w:val="ListParagraph"/>
              <w:numPr>
                <w:ilvl w:val="0"/>
                <w:numId w:val="4"/>
              </w:numPr>
              <w:bidi/>
              <w:spacing w:before="40" w:after="40"/>
              <w:ind w:left="357" w:hanging="357"/>
              <w:contextualSpacing w:val="0"/>
              <w:rPr>
                <w:rStyle w:val="Catagory"/>
                <w:rFonts w:cs="Arial"/>
                <w:sz w:val="28"/>
                <w:szCs w:val="28"/>
              </w:rPr>
            </w:pPr>
            <w:r>
              <w:rPr>
                <w:rStyle w:val="Catagory"/>
                <w:rFonts w:cs="Arial" w:hint="cs"/>
                <w:sz w:val="28"/>
                <w:szCs w:val="28"/>
                <w:rtl/>
              </w:rPr>
              <w:t>قد تسمح برامج التحويلات النقدية بتعزيز وصول المجتمع الوطني إلى بيانات الرصد.</w:t>
            </w:r>
          </w:p>
          <w:p w:rsidR="00F92CA1" w:rsidRPr="00FE65C1" w:rsidRDefault="00F92CA1" w:rsidP="009D50ED">
            <w:pPr>
              <w:pStyle w:val="ListParagraph"/>
              <w:numPr>
                <w:ilvl w:val="0"/>
                <w:numId w:val="4"/>
              </w:numPr>
              <w:bidi/>
              <w:spacing w:before="40" w:after="40"/>
              <w:ind w:left="357" w:hanging="357"/>
              <w:contextualSpacing w:val="0"/>
              <w:rPr>
                <w:rStyle w:val="Catagory"/>
                <w:rFonts w:cs="Arial"/>
                <w:sz w:val="28"/>
                <w:szCs w:val="28"/>
              </w:rPr>
            </w:pPr>
            <w:r>
              <w:rPr>
                <w:rStyle w:val="Catagory"/>
                <w:rFonts w:cs="Arial" w:hint="cs"/>
                <w:sz w:val="28"/>
                <w:szCs w:val="28"/>
                <w:rtl/>
              </w:rPr>
              <w:t>قد تزيد برامج التحويلات النقدية من فرص جمع التبرعات.</w:t>
            </w:r>
          </w:p>
          <w:p w:rsidR="00751BD8" w:rsidRPr="00FE65C1" w:rsidRDefault="00751BD8" w:rsidP="009D50ED">
            <w:pPr>
              <w:pStyle w:val="ListParagraph"/>
              <w:numPr>
                <w:ilvl w:val="0"/>
                <w:numId w:val="4"/>
              </w:numPr>
              <w:spacing w:before="40" w:after="40"/>
              <w:ind w:left="357" w:hanging="357"/>
              <w:contextualSpacing w:val="0"/>
              <w:rPr>
                <w:rFonts w:cs="Arial"/>
                <w:sz w:val="28"/>
                <w:szCs w:val="28"/>
              </w:rPr>
            </w:pPr>
          </w:p>
        </w:tc>
        <w:tc>
          <w:tcPr>
            <w:tcW w:w="2506" w:type="pct"/>
            <w:shd w:val="clear" w:color="auto" w:fill="E6E6E6"/>
          </w:tcPr>
          <w:p w:rsidR="00DE1CD2" w:rsidRDefault="008A61C3" w:rsidP="009D50ED">
            <w:pPr>
              <w:pStyle w:val="ListParagraph"/>
              <w:numPr>
                <w:ilvl w:val="0"/>
                <w:numId w:val="3"/>
              </w:numPr>
              <w:bidi/>
              <w:spacing w:before="40" w:after="40"/>
              <w:ind w:left="357" w:hanging="357"/>
              <w:contextualSpacing w:val="0"/>
              <w:rPr>
                <w:rStyle w:val="Catagory"/>
                <w:rFonts w:cs="Arial"/>
                <w:sz w:val="28"/>
                <w:szCs w:val="28"/>
              </w:rPr>
            </w:pPr>
            <w:bookmarkStart w:id="0" w:name="_GoBack"/>
            <w:r>
              <w:rPr>
                <w:rStyle w:val="Catagory"/>
                <w:rFonts w:cs="Arial" w:hint="cs"/>
                <w:sz w:val="28"/>
                <w:szCs w:val="28"/>
                <w:rtl/>
              </w:rPr>
              <w:t>احتمالية تغيير مسار الموارد</w:t>
            </w:r>
            <w:r w:rsidRPr="008A61C3">
              <w:rPr>
                <w:rStyle w:val="Catagory"/>
                <w:rFonts w:cs="Arial"/>
                <w:sz w:val="28"/>
                <w:szCs w:val="28"/>
                <w:rtl/>
              </w:rPr>
              <w:t xml:space="preserve"> - </w:t>
            </w:r>
            <w:r w:rsidRPr="008A61C3">
              <w:rPr>
                <w:rStyle w:val="Catagory"/>
                <w:rFonts w:cs="Arial" w:hint="eastAsia"/>
                <w:sz w:val="28"/>
                <w:szCs w:val="28"/>
                <w:rtl/>
              </w:rPr>
              <w:t>داخليا</w:t>
            </w:r>
            <w:r w:rsidR="009D50ED">
              <w:rPr>
                <w:rStyle w:val="Catagory"/>
                <w:rFonts w:cs="Arial" w:hint="cs"/>
                <w:sz w:val="28"/>
                <w:szCs w:val="28"/>
                <w:rtl/>
              </w:rPr>
              <w:t>ً</w:t>
            </w:r>
            <w:r w:rsidRPr="008A61C3">
              <w:rPr>
                <w:rStyle w:val="Catagory"/>
                <w:rFonts w:cs="Arial"/>
                <w:sz w:val="28"/>
                <w:szCs w:val="28"/>
                <w:rtl/>
              </w:rPr>
              <w:t xml:space="preserve"> / </w:t>
            </w:r>
            <w:r w:rsidRPr="008A61C3">
              <w:rPr>
                <w:rStyle w:val="Catagory"/>
                <w:rFonts w:cs="Arial" w:hint="eastAsia"/>
                <w:sz w:val="28"/>
                <w:szCs w:val="28"/>
                <w:rtl/>
              </w:rPr>
              <w:t>خارجيا</w:t>
            </w:r>
            <w:r w:rsidR="009D50ED">
              <w:rPr>
                <w:rStyle w:val="Catagory"/>
                <w:rFonts w:cs="Arial" w:hint="cs"/>
                <w:sz w:val="28"/>
                <w:szCs w:val="28"/>
                <w:rtl/>
              </w:rPr>
              <w:t>ً</w:t>
            </w:r>
          </w:p>
          <w:p w:rsidR="008A61C3" w:rsidRDefault="009D50ED" w:rsidP="009D50ED">
            <w:pPr>
              <w:pStyle w:val="ListParagraph"/>
              <w:numPr>
                <w:ilvl w:val="0"/>
                <w:numId w:val="3"/>
              </w:numPr>
              <w:bidi/>
              <w:spacing w:before="40" w:after="40"/>
              <w:ind w:left="357" w:hanging="357"/>
              <w:contextualSpacing w:val="0"/>
              <w:rPr>
                <w:rStyle w:val="Catagory"/>
                <w:rFonts w:cs="Arial"/>
                <w:sz w:val="28"/>
                <w:szCs w:val="28"/>
              </w:rPr>
            </w:pPr>
            <w:r>
              <w:rPr>
                <w:rStyle w:val="Catagory"/>
                <w:rFonts w:cs="Arial" w:hint="cs"/>
                <w:sz w:val="28"/>
                <w:szCs w:val="28"/>
                <w:rtl/>
              </w:rPr>
              <w:t xml:space="preserve">احتمالية </w:t>
            </w:r>
            <w:r w:rsidR="00DE1CD2">
              <w:rPr>
                <w:rStyle w:val="Catagory"/>
                <w:rFonts w:cs="Arial" w:hint="cs"/>
                <w:sz w:val="28"/>
                <w:szCs w:val="28"/>
                <w:rtl/>
              </w:rPr>
              <w:t>فقدان امكانية الرصد على نطاق المجتمع الوطني</w:t>
            </w:r>
            <w:r w:rsidR="008A61C3" w:rsidRPr="008A61C3">
              <w:rPr>
                <w:rStyle w:val="Catagory"/>
                <w:rFonts w:cs="Arial"/>
                <w:sz w:val="28"/>
                <w:szCs w:val="28"/>
              </w:rPr>
              <w:t>.</w:t>
            </w:r>
          </w:p>
          <w:p w:rsidR="00086586" w:rsidRDefault="00086586" w:rsidP="009D50ED">
            <w:pPr>
              <w:pStyle w:val="ListParagraph"/>
              <w:numPr>
                <w:ilvl w:val="0"/>
                <w:numId w:val="3"/>
              </w:numPr>
              <w:bidi/>
              <w:spacing w:before="40" w:after="40"/>
              <w:ind w:left="357" w:hanging="357"/>
              <w:contextualSpacing w:val="0"/>
              <w:rPr>
                <w:rStyle w:val="Catagory"/>
                <w:rFonts w:cs="Arial"/>
                <w:sz w:val="28"/>
                <w:szCs w:val="28"/>
              </w:rPr>
            </w:pPr>
            <w:r>
              <w:rPr>
                <w:rStyle w:val="Catagory"/>
                <w:rFonts w:cs="Arial" w:hint="cs"/>
                <w:sz w:val="28"/>
                <w:szCs w:val="28"/>
                <w:rtl/>
              </w:rPr>
              <w:t>قد تزيد برامج التحويلات النق</w:t>
            </w:r>
            <w:r w:rsidR="009D50ED">
              <w:rPr>
                <w:rStyle w:val="Catagory"/>
                <w:rFonts w:cs="Arial" w:hint="cs"/>
                <w:sz w:val="28"/>
                <w:szCs w:val="28"/>
                <w:rtl/>
              </w:rPr>
              <w:t>دية من انعدام الأمن على مستوى الأ</w:t>
            </w:r>
            <w:r>
              <w:rPr>
                <w:rStyle w:val="Catagory"/>
                <w:rFonts w:cs="Arial" w:hint="cs"/>
                <w:sz w:val="28"/>
                <w:szCs w:val="28"/>
                <w:rtl/>
              </w:rPr>
              <w:t>سر المستفيدة.</w:t>
            </w:r>
          </w:p>
          <w:p w:rsidR="00086586" w:rsidRDefault="0020143E" w:rsidP="009D50ED">
            <w:pPr>
              <w:pStyle w:val="ListParagraph"/>
              <w:numPr>
                <w:ilvl w:val="0"/>
                <w:numId w:val="3"/>
              </w:numPr>
              <w:bidi/>
              <w:spacing w:before="40" w:after="40"/>
              <w:ind w:left="357" w:hanging="357"/>
              <w:contextualSpacing w:val="0"/>
              <w:rPr>
                <w:rStyle w:val="Catagory"/>
                <w:rFonts w:cs="Arial"/>
                <w:sz w:val="28"/>
                <w:szCs w:val="28"/>
              </w:rPr>
            </w:pPr>
            <w:r>
              <w:rPr>
                <w:rStyle w:val="Catagory"/>
                <w:rFonts w:cs="Arial" w:hint="cs"/>
                <w:sz w:val="28"/>
                <w:szCs w:val="28"/>
                <w:rtl/>
              </w:rPr>
              <w:t>قد لا يتمتع مقدمو الخدمات المالية بالقدرة اللازمة لتسليم التحويلات النقدية.</w:t>
            </w:r>
          </w:p>
          <w:p w:rsidR="00751BD8" w:rsidRPr="00FE65C1" w:rsidRDefault="00052356" w:rsidP="009D50ED">
            <w:pPr>
              <w:pStyle w:val="ListParagraph"/>
              <w:numPr>
                <w:ilvl w:val="0"/>
                <w:numId w:val="3"/>
              </w:numPr>
              <w:bidi/>
              <w:spacing w:before="40" w:after="40"/>
              <w:ind w:left="357" w:hanging="357"/>
              <w:contextualSpacing w:val="0"/>
              <w:rPr>
                <w:rFonts w:cs="Arial"/>
                <w:sz w:val="28"/>
                <w:szCs w:val="28"/>
              </w:rPr>
            </w:pPr>
            <w:r>
              <w:rPr>
                <w:rStyle w:val="Catagory"/>
                <w:rFonts w:cs="Arial" w:hint="cs"/>
                <w:sz w:val="28"/>
                <w:szCs w:val="28"/>
                <w:rtl/>
              </w:rPr>
              <w:t>قد لا يحتفظ المجتمع الوطني بالموظفين والمتطوعين الذين يتمتعون بالخبرة اللازمة في مجال برامج التحويلات النقدية.</w:t>
            </w:r>
            <w:bookmarkEnd w:id="0"/>
          </w:p>
        </w:tc>
      </w:tr>
    </w:tbl>
    <w:p w:rsidR="000B6DBB" w:rsidRPr="00FE65C1" w:rsidRDefault="003D38D1" w:rsidP="009D50ED">
      <w:pPr>
        <w:bidi/>
        <w:jc w:val="both"/>
        <w:rPr>
          <w:rFonts w:ascii="Arial" w:hAnsi="Arial" w:cs="Arial"/>
          <w:sz w:val="28"/>
          <w:szCs w:val="28"/>
        </w:rPr>
      </w:pPr>
      <w:r w:rsidRPr="00FE65C1">
        <w:rPr>
          <w:rFonts w:ascii="Arial" w:hAnsi="Arial" w:cs="Arial"/>
          <w:sz w:val="28"/>
          <w:szCs w:val="28"/>
          <w:rtl/>
        </w:rPr>
        <w:t xml:space="preserve"> </w:t>
      </w:r>
    </w:p>
    <w:sectPr w:rsidR="000B6DBB" w:rsidRPr="00FE65C1" w:rsidSect="00871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FB0"/>
    <w:multiLevelType w:val="hybridMultilevel"/>
    <w:tmpl w:val="B2B07C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7DF36CB"/>
    <w:multiLevelType w:val="hybridMultilevel"/>
    <w:tmpl w:val="7DC0BF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A3B10E0"/>
    <w:multiLevelType w:val="hybridMultilevel"/>
    <w:tmpl w:val="A45E33B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E5F48892">
      <w:numFmt w:val="bullet"/>
      <w:lvlText w:val=""/>
      <w:lvlJc w:val="left"/>
      <w:pPr>
        <w:ind w:left="1800" w:hanging="360"/>
      </w:pPr>
      <w:rPr>
        <w:rFonts w:ascii="Wingdings" w:eastAsiaTheme="minorHAnsi" w:hAnsi="Wingdings" w:cstheme="minorBidi"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4DCC5A04"/>
    <w:multiLevelType w:val="hybridMultilevel"/>
    <w:tmpl w:val="49C6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620044"/>
    <w:multiLevelType w:val="hybridMultilevel"/>
    <w:tmpl w:val="E3024B4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6DBB"/>
    <w:rsid w:val="00052356"/>
    <w:rsid w:val="00057FC5"/>
    <w:rsid w:val="00086586"/>
    <w:rsid w:val="000B6DBB"/>
    <w:rsid w:val="00115CFB"/>
    <w:rsid w:val="0020143E"/>
    <w:rsid w:val="0021091F"/>
    <w:rsid w:val="00250220"/>
    <w:rsid w:val="003D38D1"/>
    <w:rsid w:val="00430506"/>
    <w:rsid w:val="00464A5F"/>
    <w:rsid w:val="004F5AF8"/>
    <w:rsid w:val="005E547A"/>
    <w:rsid w:val="00601ADE"/>
    <w:rsid w:val="0069126E"/>
    <w:rsid w:val="006A76EB"/>
    <w:rsid w:val="0070116C"/>
    <w:rsid w:val="00751BD8"/>
    <w:rsid w:val="007E56DF"/>
    <w:rsid w:val="00806D24"/>
    <w:rsid w:val="008444E1"/>
    <w:rsid w:val="00863443"/>
    <w:rsid w:val="00871C1C"/>
    <w:rsid w:val="008925E2"/>
    <w:rsid w:val="008A61C3"/>
    <w:rsid w:val="0095502A"/>
    <w:rsid w:val="00981972"/>
    <w:rsid w:val="009D50ED"/>
    <w:rsid w:val="00A30EF8"/>
    <w:rsid w:val="00AA628C"/>
    <w:rsid w:val="00AD3B22"/>
    <w:rsid w:val="00AE4E60"/>
    <w:rsid w:val="00B350C0"/>
    <w:rsid w:val="00B74725"/>
    <w:rsid w:val="00B86FCC"/>
    <w:rsid w:val="00C83006"/>
    <w:rsid w:val="00DE1CD2"/>
    <w:rsid w:val="00ED6649"/>
    <w:rsid w:val="00F92CA1"/>
    <w:rsid w:val="00F95758"/>
    <w:rsid w:val="00FA5316"/>
    <w:rsid w:val="00FE65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BD8"/>
    <w:pPr>
      <w:spacing w:after="0" w:line="240" w:lineRule="auto"/>
    </w:pPr>
    <w:rPr>
      <w:rFonts w:ascii="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51BD8"/>
    <w:pPr>
      <w:spacing w:after="240" w:line="240" w:lineRule="auto"/>
      <w:ind w:left="720"/>
      <w:contextualSpacing/>
      <w:jc w:val="both"/>
    </w:pPr>
    <w:rPr>
      <w:rFonts w:ascii="Arial" w:eastAsiaTheme="minorHAnsi" w:hAnsi="Arial"/>
      <w:sz w:val="20"/>
    </w:rPr>
  </w:style>
  <w:style w:type="character" w:customStyle="1" w:styleId="Catagory">
    <w:name w:val="Catagory"/>
    <w:basedOn w:val="DefaultParagraphFont"/>
    <w:uiPriority w:val="1"/>
    <w:qFormat/>
    <w:rsid w:val="00751BD8"/>
    <w:rPr>
      <w:sz w:val="10"/>
      <w:szCs w:val="10"/>
    </w:rPr>
  </w:style>
  <w:style w:type="character" w:customStyle="1" w:styleId="ListParagraphChar">
    <w:name w:val="List Paragraph Char"/>
    <w:basedOn w:val="DefaultParagraphFont"/>
    <w:link w:val="ListParagraph"/>
    <w:uiPriority w:val="34"/>
    <w:rsid w:val="00751BD8"/>
    <w:rPr>
      <w:rFonts w:ascii="Arial" w:eastAsiaTheme="minorHAnsi" w:hAnsi="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40</cp:revision>
  <dcterms:created xsi:type="dcterms:W3CDTF">2015-12-13T15:51:00Z</dcterms:created>
  <dcterms:modified xsi:type="dcterms:W3CDTF">2015-12-20T17:54:00Z</dcterms:modified>
</cp:coreProperties>
</file>