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409" w:rsidRPr="00136672" w:rsidRDefault="000D2468" w:rsidP="000D2468">
      <w:pPr>
        <w:bidi/>
        <w:rPr>
          <w:rFonts w:ascii="Arial" w:hAnsi="Arial" w:cs="Arial"/>
          <w:b/>
          <w:bCs/>
          <w:sz w:val="28"/>
          <w:szCs w:val="28"/>
          <w:rtl/>
          <w:lang w:bidi="ar-LB"/>
        </w:rPr>
      </w:pPr>
      <w:r w:rsidRPr="00136672">
        <w:rPr>
          <w:rFonts w:ascii="Arial" w:hAnsi="Arial" w:cs="Arial"/>
          <w:b/>
          <w:bCs/>
          <w:sz w:val="28"/>
          <w:szCs w:val="28"/>
          <w:rtl/>
          <w:lang w:bidi="ar-LB"/>
        </w:rPr>
        <w:t>نموذج التدابير التشغيلية المعيارية في مجال برامج التحويلات النقدية</w:t>
      </w:r>
    </w:p>
    <w:p w:rsidR="000D2468" w:rsidRPr="00136672" w:rsidRDefault="000D2468" w:rsidP="00C938A6">
      <w:pPr>
        <w:bidi/>
        <w:rPr>
          <w:rFonts w:ascii="Arial" w:hAnsi="Arial" w:cs="Arial"/>
          <w:sz w:val="28"/>
          <w:szCs w:val="28"/>
          <w:rtl/>
          <w:lang w:bidi="ar-LB"/>
        </w:rPr>
      </w:pPr>
      <w:r w:rsidRPr="00136672">
        <w:rPr>
          <w:rFonts w:ascii="Arial" w:hAnsi="Arial" w:cs="Arial"/>
          <w:sz w:val="28"/>
          <w:szCs w:val="28"/>
          <w:rtl/>
          <w:lang w:bidi="ar-LB"/>
        </w:rPr>
        <w:t>التدابير التشغيلية المعيارية هي أداة لدعم عملية البرمجة بفعالية. وتسمح هذه التدابير التي تدخل في إطار نشاطات التأهب، بالوصول إلى استجابة ا</w:t>
      </w:r>
      <w:r w:rsidR="00C938A6" w:rsidRPr="00136672">
        <w:rPr>
          <w:rFonts w:ascii="Arial" w:hAnsi="Arial" w:cs="Arial"/>
          <w:sz w:val="28"/>
          <w:szCs w:val="28"/>
          <w:rtl/>
          <w:lang w:bidi="ar-LB"/>
        </w:rPr>
        <w:t xml:space="preserve">فضل من حيث التنسيق، إذ يكون كل أفراد "الحركة" على بينة من مهامهم ومسؤولياتهم. وتولى عملية وضع هذه التدابير نفس الأهمية التي تتسم بها الوثيقة النهائية. </w:t>
      </w:r>
    </w:p>
    <w:p w:rsidR="00D05D97" w:rsidRPr="00136672" w:rsidRDefault="00D05D97" w:rsidP="00D05D97">
      <w:pPr>
        <w:bidi/>
        <w:rPr>
          <w:rFonts w:ascii="Arial" w:hAnsi="Arial" w:cs="Arial"/>
          <w:sz w:val="28"/>
          <w:szCs w:val="28"/>
          <w:rtl/>
          <w:lang w:bidi="ar-LB"/>
        </w:rPr>
      </w:pPr>
      <w:r w:rsidRPr="00136672">
        <w:rPr>
          <w:rFonts w:ascii="Arial" w:hAnsi="Arial" w:cs="Arial"/>
          <w:sz w:val="28"/>
          <w:szCs w:val="28"/>
          <w:rtl/>
          <w:lang w:bidi="ar-LB"/>
        </w:rPr>
        <w:t>وفيما تقع مسؤولية التقييم وتصميم البرامج وتنفيذها على عاتق قسم إدارة المخاطر أو فريق الاستجابة للطوارئ، لا يمكن تطبيق برامج التحويلات النقدية من دون اضطلاع أفراد قسمي الشؤون اللوجسيتية والمالية بمسؤولياتهم ومهامهم.</w:t>
      </w:r>
      <w:r w:rsidR="004D2DAC" w:rsidRPr="00136672">
        <w:rPr>
          <w:rFonts w:ascii="Arial" w:hAnsi="Arial" w:cs="Arial"/>
          <w:sz w:val="28"/>
          <w:szCs w:val="28"/>
          <w:rtl/>
          <w:lang w:bidi="ar-LB"/>
        </w:rPr>
        <w:t xml:space="preserve"> وهذا يعني أن وضع التدابير التشغيلية المعيارية في مجال برامج التحويلات النقدية يتطلب الاشراف والارشاد من فريق عمل فني يمثل </w:t>
      </w:r>
      <w:r w:rsidR="004E012C" w:rsidRPr="00136672">
        <w:rPr>
          <w:rFonts w:ascii="Arial" w:hAnsi="Arial" w:cs="Arial"/>
          <w:sz w:val="28"/>
          <w:szCs w:val="28"/>
          <w:rtl/>
          <w:lang w:bidi="ar-LB"/>
        </w:rPr>
        <w:t>كل الأقسام الرئيسية المعنية في الجمعية الوطنية. بذلك، يجتمع أعضاء هذا الفريق لمناقشة طرق العمل والموافقة عليها، ووضع برامج التحويلات النقدية بالإجماع.</w:t>
      </w:r>
      <w:r w:rsidR="00B90B34" w:rsidRPr="00136672">
        <w:rPr>
          <w:rFonts w:ascii="Arial" w:hAnsi="Arial" w:cs="Arial"/>
          <w:sz w:val="28"/>
          <w:szCs w:val="28"/>
          <w:rtl/>
          <w:lang w:bidi="ar-LB"/>
        </w:rPr>
        <w:t xml:space="preserve"> وي</w:t>
      </w:r>
      <w:r w:rsidR="004E012C" w:rsidRPr="00136672">
        <w:rPr>
          <w:rFonts w:ascii="Arial" w:hAnsi="Arial" w:cs="Arial"/>
          <w:sz w:val="28"/>
          <w:szCs w:val="28"/>
          <w:rtl/>
          <w:lang w:bidi="ar-LB"/>
        </w:rPr>
        <w:t xml:space="preserve">عتبر </w:t>
      </w:r>
      <w:r w:rsidR="00B90B34" w:rsidRPr="00136672">
        <w:rPr>
          <w:rFonts w:ascii="Arial" w:hAnsi="Arial" w:cs="Arial"/>
          <w:sz w:val="28"/>
          <w:szCs w:val="28"/>
          <w:rtl/>
          <w:lang w:bidi="ar-LB"/>
        </w:rPr>
        <w:t>تعميم هذه التدابير ونشرها خطوة مهمة في إطار نشاطات التأهب في الجمعية الوطنية.</w:t>
      </w:r>
    </w:p>
    <w:p w:rsidR="00B90B34" w:rsidRPr="00136672" w:rsidRDefault="00B90B34" w:rsidP="00B90B34">
      <w:pPr>
        <w:pStyle w:val="ListParagraph"/>
        <w:numPr>
          <w:ilvl w:val="0"/>
          <w:numId w:val="1"/>
        </w:numPr>
        <w:bidi/>
        <w:rPr>
          <w:rFonts w:ascii="Arial" w:hAnsi="Arial" w:cs="Arial"/>
          <w:sz w:val="28"/>
          <w:szCs w:val="28"/>
          <w:lang w:bidi="ar-LB"/>
        </w:rPr>
      </w:pPr>
      <w:r w:rsidRPr="00136672">
        <w:rPr>
          <w:rFonts w:ascii="Arial" w:hAnsi="Arial" w:cs="Arial"/>
          <w:sz w:val="28"/>
          <w:szCs w:val="28"/>
          <w:rtl/>
          <w:lang w:bidi="ar-LB"/>
        </w:rPr>
        <w:t>معلومات اساسية</w:t>
      </w:r>
    </w:p>
    <w:p w:rsidR="00B90B34" w:rsidRPr="00136672" w:rsidRDefault="00B90B34" w:rsidP="00FA7E92">
      <w:pPr>
        <w:pStyle w:val="ListParagraph"/>
        <w:numPr>
          <w:ilvl w:val="0"/>
          <w:numId w:val="2"/>
        </w:numPr>
        <w:bidi/>
        <w:rPr>
          <w:rFonts w:ascii="Arial" w:hAnsi="Arial" w:cs="Arial"/>
          <w:sz w:val="28"/>
          <w:szCs w:val="28"/>
          <w:rtl/>
          <w:lang w:bidi="ar-LB"/>
        </w:rPr>
      </w:pPr>
      <w:r w:rsidRPr="00136672">
        <w:rPr>
          <w:rFonts w:ascii="Arial" w:hAnsi="Arial" w:cs="Arial"/>
          <w:sz w:val="28"/>
          <w:szCs w:val="28"/>
          <w:rtl/>
          <w:lang w:bidi="ar-LB"/>
        </w:rPr>
        <w:t>العنوان: التدابير التشغيلية المعيارية في مجال برامج التحويلات النقدية لـ (أدخل اسم البلد، أو المقاطعة، أو الاستجابة ب</w:t>
      </w:r>
      <w:r w:rsidR="00FA7E92" w:rsidRPr="00136672">
        <w:rPr>
          <w:rFonts w:ascii="Arial" w:hAnsi="Arial" w:cs="Arial"/>
          <w:sz w:val="28"/>
          <w:szCs w:val="28"/>
          <w:rtl/>
          <w:lang w:bidi="ar-LB"/>
        </w:rPr>
        <w:t>أدق صورة ممكنة.</w:t>
      </w:r>
    </w:p>
    <w:p w:rsidR="00FA7E92" w:rsidRPr="00136672" w:rsidRDefault="00FA7E92" w:rsidP="00FA7E92">
      <w:pPr>
        <w:pStyle w:val="ListParagraph"/>
        <w:numPr>
          <w:ilvl w:val="0"/>
          <w:numId w:val="2"/>
        </w:numPr>
        <w:bidi/>
        <w:rPr>
          <w:rFonts w:ascii="Arial" w:hAnsi="Arial" w:cs="Arial"/>
          <w:sz w:val="28"/>
          <w:szCs w:val="28"/>
          <w:lang w:bidi="ar-LB"/>
        </w:rPr>
      </w:pPr>
      <w:r w:rsidRPr="00136672">
        <w:rPr>
          <w:rFonts w:ascii="Arial" w:hAnsi="Arial" w:cs="Arial"/>
          <w:sz w:val="28"/>
          <w:szCs w:val="28"/>
          <w:rtl/>
          <w:lang w:bidi="ar-LB"/>
        </w:rPr>
        <w:t>التاريخ: (تحديد التاريخ النهائي في حال القيام باي تحديثات أو تعديلات).</w:t>
      </w:r>
    </w:p>
    <w:p w:rsidR="00FA7E92" w:rsidRPr="00136672" w:rsidRDefault="00FA7E92" w:rsidP="00FA7E92">
      <w:pPr>
        <w:pStyle w:val="ListParagraph"/>
        <w:numPr>
          <w:ilvl w:val="0"/>
          <w:numId w:val="2"/>
        </w:numPr>
        <w:bidi/>
        <w:rPr>
          <w:rFonts w:ascii="Arial" w:hAnsi="Arial" w:cs="Arial"/>
          <w:sz w:val="28"/>
          <w:szCs w:val="28"/>
          <w:lang w:bidi="ar-LB"/>
        </w:rPr>
      </w:pPr>
      <w:r w:rsidRPr="00136672">
        <w:rPr>
          <w:rFonts w:ascii="Arial" w:hAnsi="Arial" w:cs="Arial"/>
          <w:sz w:val="28"/>
          <w:szCs w:val="28"/>
          <w:rtl/>
          <w:lang w:bidi="ar-LB"/>
        </w:rPr>
        <w:t>للاتصال: (تحديد أسماء، ومهام الشخاص الذين يمكن الاتصال بهم و</w:t>
      </w:r>
      <w:r w:rsidR="00DF6555" w:rsidRPr="00136672">
        <w:rPr>
          <w:rFonts w:ascii="Arial" w:hAnsi="Arial" w:cs="Arial"/>
          <w:sz w:val="28"/>
          <w:szCs w:val="28"/>
          <w:rtl/>
          <w:lang w:bidi="ar-LB"/>
        </w:rPr>
        <w:t>س</w:t>
      </w:r>
      <w:r w:rsidRPr="00136672">
        <w:rPr>
          <w:rFonts w:ascii="Arial" w:hAnsi="Arial" w:cs="Arial"/>
          <w:sz w:val="28"/>
          <w:szCs w:val="28"/>
          <w:rtl/>
          <w:lang w:bidi="ar-LB"/>
        </w:rPr>
        <w:t>ائر المعلومات الرئيسية للاتصال).</w:t>
      </w:r>
    </w:p>
    <w:p w:rsidR="00DF6555" w:rsidRPr="00136672" w:rsidRDefault="00DF6555" w:rsidP="00DF6555">
      <w:pPr>
        <w:pStyle w:val="ListParagraph"/>
        <w:numPr>
          <w:ilvl w:val="0"/>
          <w:numId w:val="2"/>
        </w:numPr>
        <w:bidi/>
        <w:rPr>
          <w:rFonts w:ascii="Arial" w:hAnsi="Arial" w:cs="Arial"/>
          <w:sz w:val="28"/>
          <w:szCs w:val="28"/>
          <w:lang w:bidi="ar-LB"/>
        </w:rPr>
      </w:pPr>
      <w:r w:rsidRPr="00136672">
        <w:rPr>
          <w:rFonts w:ascii="Arial" w:hAnsi="Arial" w:cs="Arial"/>
          <w:sz w:val="28"/>
          <w:szCs w:val="28"/>
          <w:rtl/>
          <w:lang w:bidi="ar-LB"/>
        </w:rPr>
        <w:t>الهدف من التدابير التشغيلية المعيارية:</w:t>
      </w:r>
    </w:p>
    <w:p w:rsidR="00FA7E92" w:rsidRPr="00136672" w:rsidRDefault="00593A4F" w:rsidP="00593A4F">
      <w:pPr>
        <w:bidi/>
        <w:rPr>
          <w:rFonts w:ascii="Arial" w:hAnsi="Arial" w:cs="Arial"/>
          <w:sz w:val="28"/>
          <w:szCs w:val="28"/>
          <w:rtl/>
          <w:lang w:bidi="ar-LB"/>
        </w:rPr>
      </w:pPr>
      <w:r w:rsidRPr="00136672">
        <w:rPr>
          <w:rFonts w:ascii="Arial" w:hAnsi="Arial" w:cs="Arial"/>
          <w:sz w:val="28"/>
          <w:szCs w:val="28"/>
          <w:rtl/>
          <w:lang w:bidi="ar-LB"/>
        </w:rPr>
        <w:t>مثلاً</w:t>
      </w:r>
    </w:p>
    <w:p w:rsidR="00593A4F" w:rsidRPr="00136672" w:rsidRDefault="00593A4F" w:rsidP="00593A4F">
      <w:pPr>
        <w:pStyle w:val="ListParagraph"/>
        <w:numPr>
          <w:ilvl w:val="0"/>
          <w:numId w:val="2"/>
        </w:numPr>
        <w:bidi/>
        <w:rPr>
          <w:rFonts w:ascii="Arial" w:hAnsi="Arial" w:cs="Arial"/>
          <w:sz w:val="28"/>
          <w:szCs w:val="28"/>
          <w:lang w:bidi="ar-LB"/>
        </w:rPr>
      </w:pPr>
      <w:r w:rsidRPr="00136672">
        <w:rPr>
          <w:rFonts w:ascii="Arial" w:hAnsi="Arial" w:cs="Arial"/>
          <w:sz w:val="28"/>
          <w:szCs w:val="28"/>
          <w:rtl/>
          <w:lang w:bidi="ar-LB"/>
        </w:rPr>
        <w:t>تحديد أدوار ومسؤوليات الموظفين في الجمعية الوطنية المعينين بالاستجابة النقدية في حالات الطوارئ.</w:t>
      </w:r>
    </w:p>
    <w:p w:rsidR="00593A4F" w:rsidRPr="00136672" w:rsidRDefault="00593A4F" w:rsidP="00593A4F">
      <w:pPr>
        <w:pStyle w:val="ListParagraph"/>
        <w:numPr>
          <w:ilvl w:val="0"/>
          <w:numId w:val="2"/>
        </w:numPr>
        <w:bidi/>
        <w:rPr>
          <w:rFonts w:ascii="Arial" w:hAnsi="Arial" w:cs="Arial"/>
          <w:sz w:val="28"/>
          <w:szCs w:val="28"/>
          <w:lang w:bidi="ar-LB"/>
        </w:rPr>
      </w:pPr>
      <w:r w:rsidRPr="00136672">
        <w:rPr>
          <w:rFonts w:ascii="Arial" w:hAnsi="Arial" w:cs="Arial"/>
          <w:sz w:val="28"/>
          <w:szCs w:val="28"/>
          <w:rtl/>
          <w:lang w:bidi="ar-LB"/>
        </w:rPr>
        <w:t xml:space="preserve">تسهيل تنفيذ برامج التحويلات النقدية ودعمها عبر تحديد أدوار ومسؤوليات الموظفين في قسمي الشؤون الإدارية واللوجيستية المعنيين ببرامج التحويلات النقدية، وتحديد العمليات والمتطلبات الدنيا للتوثيق. </w:t>
      </w:r>
    </w:p>
    <w:p w:rsidR="00593A4F" w:rsidRPr="00136672" w:rsidRDefault="00593A4F" w:rsidP="00593A4F">
      <w:pPr>
        <w:pStyle w:val="ListParagraph"/>
        <w:numPr>
          <w:ilvl w:val="0"/>
          <w:numId w:val="2"/>
        </w:numPr>
        <w:bidi/>
        <w:rPr>
          <w:rFonts w:ascii="Arial" w:hAnsi="Arial" w:cs="Arial"/>
          <w:sz w:val="28"/>
          <w:szCs w:val="28"/>
          <w:lang w:bidi="ar-LB"/>
        </w:rPr>
      </w:pPr>
      <w:r w:rsidRPr="00136672">
        <w:rPr>
          <w:rFonts w:ascii="Arial" w:hAnsi="Arial" w:cs="Arial"/>
          <w:sz w:val="28"/>
          <w:szCs w:val="28"/>
          <w:rtl/>
          <w:lang w:bidi="ar-LB"/>
        </w:rPr>
        <w:t xml:space="preserve">تقديم لمحة حول </w:t>
      </w:r>
      <w:r w:rsidR="00E429BB" w:rsidRPr="00136672">
        <w:rPr>
          <w:rFonts w:ascii="Arial" w:hAnsi="Arial" w:cs="Arial"/>
          <w:sz w:val="28"/>
          <w:szCs w:val="28"/>
          <w:rtl/>
          <w:lang w:bidi="ar-LB"/>
        </w:rPr>
        <w:t>كيفية إدارة برامج التحويلات النقدية في حالات الطوارئ.</w:t>
      </w:r>
    </w:p>
    <w:p w:rsidR="00E429BB" w:rsidRPr="00136672" w:rsidRDefault="00E429BB" w:rsidP="00E429BB">
      <w:pPr>
        <w:bidi/>
        <w:rPr>
          <w:rFonts w:ascii="Arial" w:hAnsi="Arial" w:cs="Arial"/>
          <w:sz w:val="28"/>
          <w:szCs w:val="28"/>
          <w:rtl/>
          <w:lang w:bidi="ar-LB"/>
        </w:rPr>
      </w:pPr>
      <w:r w:rsidRPr="00136672">
        <w:rPr>
          <w:rFonts w:ascii="Arial" w:hAnsi="Arial" w:cs="Arial"/>
          <w:sz w:val="28"/>
          <w:szCs w:val="28"/>
          <w:rtl/>
          <w:lang w:bidi="ar-LB"/>
        </w:rPr>
        <w:t>الجهات المستهدفة: تحديد الجهات من جمعيات الصليب الأحمر والهلال الأحمر التي توجه إليها التدابير التشغيلية المعيارية.</w:t>
      </w:r>
    </w:p>
    <w:p w:rsidR="00E429BB" w:rsidRPr="00136672" w:rsidRDefault="00E429BB" w:rsidP="00E429BB">
      <w:pPr>
        <w:bidi/>
        <w:rPr>
          <w:rFonts w:ascii="Arial" w:hAnsi="Arial" w:cs="Arial"/>
          <w:sz w:val="28"/>
          <w:szCs w:val="28"/>
          <w:rtl/>
          <w:lang w:bidi="ar-LB"/>
        </w:rPr>
      </w:pPr>
      <w:r w:rsidRPr="00136672">
        <w:rPr>
          <w:rFonts w:ascii="Arial" w:hAnsi="Arial" w:cs="Arial"/>
          <w:sz w:val="28"/>
          <w:szCs w:val="28"/>
          <w:rtl/>
          <w:lang w:bidi="ar-LB"/>
        </w:rPr>
        <w:t>مثلاً:</w:t>
      </w:r>
    </w:p>
    <w:p w:rsidR="00E429BB" w:rsidRPr="00136672" w:rsidRDefault="00E429BB" w:rsidP="00E429BB">
      <w:pPr>
        <w:pStyle w:val="ListParagraph"/>
        <w:numPr>
          <w:ilvl w:val="0"/>
          <w:numId w:val="2"/>
        </w:numPr>
        <w:bidi/>
        <w:rPr>
          <w:rFonts w:ascii="Arial" w:hAnsi="Arial" w:cs="Arial"/>
          <w:sz w:val="28"/>
          <w:szCs w:val="28"/>
          <w:lang w:bidi="ar-LB"/>
        </w:rPr>
      </w:pPr>
      <w:r w:rsidRPr="00136672">
        <w:rPr>
          <w:rFonts w:ascii="Arial" w:hAnsi="Arial" w:cs="Arial"/>
          <w:sz w:val="28"/>
          <w:szCs w:val="28"/>
          <w:rtl/>
          <w:lang w:bidi="ar-LB"/>
        </w:rPr>
        <w:t>اللجنة الدولية للصليب الأحمر:</w:t>
      </w:r>
      <w:r w:rsidR="003553A4" w:rsidRPr="00136672">
        <w:rPr>
          <w:rFonts w:ascii="Arial" w:hAnsi="Arial" w:cs="Arial"/>
          <w:sz w:val="28"/>
          <w:szCs w:val="28"/>
          <w:rtl/>
          <w:lang w:bidi="ar-LB"/>
        </w:rPr>
        <w:t xml:space="preserve"> موظفو أقسام الشؤون الإدارية، واللوجيستية، والأمن الاقتصادي </w:t>
      </w:r>
      <w:r w:rsidR="00025F22" w:rsidRPr="00136672">
        <w:rPr>
          <w:rFonts w:ascii="Arial" w:hAnsi="Arial" w:cs="Arial"/>
          <w:sz w:val="28"/>
          <w:szCs w:val="28"/>
          <w:rtl/>
          <w:lang w:bidi="ar-LB"/>
        </w:rPr>
        <w:t>المعنيي</w:t>
      </w:r>
      <w:r w:rsidR="003553A4" w:rsidRPr="00136672">
        <w:rPr>
          <w:rFonts w:ascii="Arial" w:hAnsi="Arial" w:cs="Arial"/>
          <w:sz w:val="28"/>
          <w:szCs w:val="28"/>
          <w:rtl/>
          <w:lang w:bidi="ar-LB"/>
        </w:rPr>
        <w:t>ن ببرامج التحويلات النقدية على المستوى القطري.</w:t>
      </w:r>
    </w:p>
    <w:p w:rsidR="003553A4" w:rsidRPr="00136672" w:rsidRDefault="003553A4" w:rsidP="003553A4">
      <w:pPr>
        <w:pStyle w:val="ListParagraph"/>
        <w:numPr>
          <w:ilvl w:val="0"/>
          <w:numId w:val="2"/>
        </w:numPr>
        <w:bidi/>
        <w:rPr>
          <w:rFonts w:ascii="Arial" w:hAnsi="Arial" w:cs="Arial"/>
          <w:sz w:val="28"/>
          <w:szCs w:val="28"/>
          <w:lang w:bidi="ar-LB"/>
        </w:rPr>
      </w:pPr>
      <w:r w:rsidRPr="00136672">
        <w:rPr>
          <w:rFonts w:ascii="Arial" w:hAnsi="Arial" w:cs="Arial"/>
          <w:sz w:val="28"/>
          <w:szCs w:val="28"/>
          <w:rtl/>
          <w:lang w:bidi="ar-LB"/>
        </w:rPr>
        <w:lastRenderedPageBreak/>
        <w:t xml:space="preserve">الاتحاد الدولي لجمعيات الصليب الأحمر والهلال الأحمر: </w:t>
      </w:r>
      <w:r w:rsidR="00CE0ECD" w:rsidRPr="00136672">
        <w:rPr>
          <w:rFonts w:ascii="Arial" w:hAnsi="Arial" w:cs="Arial"/>
          <w:sz w:val="28"/>
          <w:szCs w:val="28"/>
          <w:rtl/>
          <w:lang w:bidi="ar-LB"/>
        </w:rPr>
        <w:t>الموظفون المعنيون بحالات الطوارئ لاسيما على صعيد اتخاذ القرارات الخاصة بالبرامج والشؤون اللوجيستية، والمالية، والقانونية، والأمنية، بمن فيهم مدراء العمليات والمشاريع.</w:t>
      </w:r>
    </w:p>
    <w:p w:rsidR="00CE0ECD" w:rsidRPr="00136672" w:rsidRDefault="00CE0ECD" w:rsidP="00CE0ECD">
      <w:pPr>
        <w:pStyle w:val="ListParagraph"/>
        <w:numPr>
          <w:ilvl w:val="0"/>
          <w:numId w:val="2"/>
        </w:numPr>
        <w:bidi/>
        <w:rPr>
          <w:rFonts w:ascii="Arial" w:hAnsi="Arial" w:cs="Arial"/>
          <w:sz w:val="28"/>
          <w:szCs w:val="28"/>
          <w:lang w:bidi="ar-LB"/>
        </w:rPr>
      </w:pPr>
      <w:r w:rsidRPr="00136672">
        <w:rPr>
          <w:rFonts w:ascii="Arial" w:hAnsi="Arial" w:cs="Arial"/>
          <w:sz w:val="28"/>
          <w:szCs w:val="28"/>
          <w:rtl/>
          <w:lang w:bidi="ar-LB"/>
        </w:rPr>
        <w:t xml:space="preserve">الجمعية الوطنية: </w:t>
      </w:r>
      <w:r w:rsidR="00025F22" w:rsidRPr="00136672">
        <w:rPr>
          <w:rFonts w:ascii="Arial" w:hAnsi="Arial" w:cs="Arial"/>
          <w:sz w:val="28"/>
          <w:szCs w:val="28"/>
          <w:rtl/>
          <w:lang w:bidi="ar-LB"/>
        </w:rPr>
        <w:t>الموظفون والمتطوعون المعنيون ببرامج التحويلات النقدية، وفي المراكز الرئيسية الوطنية، وفرق إدارة الكوارث وغيرها من الأقسام والوحدات المعنية بتصميم البرامج والاستجابة.</w:t>
      </w:r>
    </w:p>
    <w:p w:rsidR="00627B0D" w:rsidRPr="00136672" w:rsidRDefault="00627B0D" w:rsidP="00627B0D">
      <w:pPr>
        <w:pStyle w:val="ListParagraph"/>
        <w:bidi/>
        <w:rPr>
          <w:rFonts w:ascii="Arial" w:hAnsi="Arial" w:cs="Arial"/>
          <w:sz w:val="28"/>
          <w:szCs w:val="28"/>
          <w:lang w:bidi="ar-LB"/>
        </w:rPr>
      </w:pPr>
    </w:p>
    <w:p w:rsidR="00BF02D6" w:rsidRPr="00136672" w:rsidRDefault="00F6198A" w:rsidP="00BF02D6">
      <w:pPr>
        <w:pStyle w:val="ListParagraph"/>
        <w:numPr>
          <w:ilvl w:val="0"/>
          <w:numId w:val="1"/>
        </w:numPr>
        <w:bidi/>
        <w:rPr>
          <w:rFonts w:ascii="Arial" w:hAnsi="Arial" w:cs="Arial"/>
          <w:sz w:val="28"/>
          <w:szCs w:val="28"/>
          <w:lang w:bidi="ar-LB"/>
        </w:rPr>
      </w:pPr>
      <w:r w:rsidRPr="00136672">
        <w:rPr>
          <w:rFonts w:ascii="Arial" w:hAnsi="Arial" w:cs="Arial"/>
          <w:sz w:val="28"/>
          <w:szCs w:val="28"/>
          <w:rtl/>
          <w:lang w:bidi="ar-LB"/>
        </w:rPr>
        <w:t xml:space="preserve"> لمحة عن برامج التحويلات النقدية على المستوى الوطني</w:t>
      </w:r>
    </w:p>
    <w:p w:rsidR="00627B0D" w:rsidRPr="00136672" w:rsidRDefault="00627B0D" w:rsidP="00627B0D">
      <w:pPr>
        <w:pStyle w:val="ListParagraph"/>
        <w:numPr>
          <w:ilvl w:val="0"/>
          <w:numId w:val="2"/>
        </w:numPr>
        <w:bidi/>
        <w:rPr>
          <w:rFonts w:ascii="Arial" w:hAnsi="Arial" w:cs="Arial"/>
          <w:sz w:val="28"/>
          <w:szCs w:val="28"/>
          <w:lang w:bidi="ar-LB"/>
        </w:rPr>
      </w:pPr>
      <w:r w:rsidRPr="00136672">
        <w:rPr>
          <w:rFonts w:ascii="Arial" w:hAnsi="Arial" w:cs="Arial"/>
          <w:sz w:val="28"/>
          <w:szCs w:val="28"/>
          <w:rtl/>
          <w:lang w:bidi="ar-LB"/>
        </w:rPr>
        <w:t>تقديم لمحة عامة حول الأنواع المختلفة للتحويلات النقدية</w:t>
      </w:r>
    </w:p>
    <w:p w:rsidR="00627B0D" w:rsidRPr="00136672" w:rsidRDefault="00881FE9" w:rsidP="00071D81">
      <w:pPr>
        <w:pStyle w:val="ListParagraph"/>
        <w:numPr>
          <w:ilvl w:val="0"/>
          <w:numId w:val="2"/>
        </w:numPr>
        <w:bidi/>
        <w:rPr>
          <w:rFonts w:ascii="Arial" w:hAnsi="Arial" w:cs="Arial"/>
          <w:sz w:val="28"/>
          <w:szCs w:val="28"/>
          <w:lang w:bidi="ar-LB"/>
        </w:rPr>
      </w:pPr>
      <w:r w:rsidRPr="00136672">
        <w:rPr>
          <w:rFonts w:ascii="Arial" w:hAnsi="Arial" w:cs="Arial"/>
          <w:sz w:val="28"/>
          <w:szCs w:val="28"/>
          <w:rtl/>
          <w:lang w:bidi="ar-LB"/>
        </w:rPr>
        <w:t>برامج التحويلات النقدية هي آلية فعالة ومرنة لإنقاذ الأرزاح، وتأمين سبل العيش، و</w:t>
      </w:r>
      <w:r w:rsidR="00EB4E28" w:rsidRPr="00136672">
        <w:rPr>
          <w:rFonts w:ascii="Arial" w:hAnsi="Arial" w:cs="Arial"/>
          <w:sz w:val="28"/>
          <w:szCs w:val="28"/>
          <w:rtl/>
          <w:lang w:bidi="ar-LB"/>
        </w:rPr>
        <w:t>مواجهة الكوارث والنز</w:t>
      </w:r>
      <w:r w:rsidRPr="00136672">
        <w:rPr>
          <w:rFonts w:ascii="Arial" w:hAnsi="Arial" w:cs="Arial"/>
          <w:sz w:val="28"/>
          <w:szCs w:val="28"/>
          <w:rtl/>
          <w:lang w:bidi="ar-LB"/>
        </w:rPr>
        <w:t xml:space="preserve">اعات. </w:t>
      </w:r>
      <w:r w:rsidR="005E3833" w:rsidRPr="00136672">
        <w:rPr>
          <w:rFonts w:ascii="Arial" w:hAnsi="Arial" w:cs="Arial"/>
          <w:sz w:val="28"/>
          <w:szCs w:val="28"/>
          <w:rtl/>
          <w:lang w:bidi="ar-LB"/>
        </w:rPr>
        <w:t xml:space="preserve">وهي عبارة عن مساعدات مبنية على التحويلات النقدية أو القسائم التي تهدف إلى مساعدة السكان المتضررين من الأزمات الإنسانية. وتختلف برامج التحويلات النقدية باختلاف السياقات. </w:t>
      </w:r>
      <w:r w:rsidR="004A4CCD" w:rsidRPr="00136672">
        <w:rPr>
          <w:rFonts w:ascii="Arial" w:hAnsi="Arial" w:cs="Arial"/>
          <w:sz w:val="28"/>
          <w:szCs w:val="28"/>
          <w:rtl/>
          <w:lang w:bidi="ar-LB"/>
        </w:rPr>
        <w:t>وتطبيق هذه البرامج كبديل لل</w:t>
      </w:r>
      <w:r w:rsidR="005E3833" w:rsidRPr="00136672">
        <w:rPr>
          <w:rFonts w:ascii="Arial" w:hAnsi="Arial" w:cs="Arial"/>
          <w:sz w:val="28"/>
          <w:szCs w:val="28"/>
          <w:rtl/>
          <w:lang w:bidi="ar-LB"/>
        </w:rPr>
        <w:t>مساعدات العينية</w:t>
      </w:r>
      <w:r w:rsidR="004A4CCD" w:rsidRPr="00136672">
        <w:rPr>
          <w:rFonts w:ascii="Arial" w:hAnsi="Arial" w:cs="Arial"/>
          <w:sz w:val="28"/>
          <w:szCs w:val="28"/>
          <w:rtl/>
          <w:lang w:bidi="ar-LB"/>
        </w:rPr>
        <w:t xml:space="preserve"> أو لاستكمالها. </w:t>
      </w:r>
      <w:r w:rsidR="00071D81" w:rsidRPr="00136672">
        <w:rPr>
          <w:rFonts w:ascii="Arial" w:hAnsi="Arial" w:cs="Arial"/>
          <w:sz w:val="28"/>
          <w:szCs w:val="28"/>
          <w:rtl/>
        </w:rPr>
        <w:t xml:space="preserve">ولا تصنف برامج التحويلات النقدية على أنها قطاعاً بحد ذاته، بل هي مجرد أداة تسمح بالوصول إلى أهداف محددة في سياقات وقطاعات معينة. </w:t>
      </w:r>
    </w:p>
    <w:p w:rsidR="00F6198A" w:rsidRPr="00136672" w:rsidRDefault="00627B0D" w:rsidP="00F6198A">
      <w:pPr>
        <w:bidi/>
        <w:ind w:left="360"/>
        <w:rPr>
          <w:rFonts w:ascii="Arial" w:hAnsi="Arial" w:cs="Arial"/>
          <w:sz w:val="28"/>
          <w:szCs w:val="28"/>
          <w:rtl/>
          <w:lang w:bidi="ar-LB"/>
        </w:rPr>
      </w:pPr>
      <w:r w:rsidRPr="00136672">
        <w:rPr>
          <w:rFonts w:ascii="Arial" w:hAnsi="Arial" w:cs="Arial"/>
          <w:sz w:val="28"/>
          <w:szCs w:val="28"/>
          <w:rtl/>
          <w:lang w:bidi="ar-LB"/>
        </w:rPr>
        <w:t>الأنواع المختلفة للتحويلات النقدية</w:t>
      </w:r>
    </w:p>
    <w:p w:rsidR="00F6198A" w:rsidRPr="00136672" w:rsidRDefault="00F6198A" w:rsidP="00F6198A">
      <w:pPr>
        <w:bidi/>
        <w:ind w:left="360"/>
        <w:rPr>
          <w:rFonts w:ascii="Arial" w:hAnsi="Arial" w:cs="Arial"/>
          <w:sz w:val="28"/>
          <w:szCs w:val="28"/>
          <w:rtl/>
          <w:lang w:bidi="ar-LB"/>
        </w:rPr>
      </w:pPr>
      <w:r w:rsidRPr="00136672">
        <w:rPr>
          <w:rFonts w:ascii="Arial" w:hAnsi="Arial" w:cs="Arial"/>
          <w:sz w:val="28"/>
          <w:szCs w:val="28"/>
          <w:rtl/>
          <w:lang w:bidi="ar-LB"/>
        </w:rPr>
        <w:t>التحويلات النقدية غير المشروطة</w:t>
      </w:r>
      <w:r w:rsidR="003A1A4D" w:rsidRPr="00136672">
        <w:rPr>
          <w:rFonts w:ascii="Arial" w:hAnsi="Arial" w:cs="Arial"/>
          <w:sz w:val="28"/>
          <w:szCs w:val="28"/>
          <w:rtl/>
          <w:lang w:bidi="ar-LB"/>
        </w:rPr>
        <w:t>:</w:t>
      </w:r>
      <w:r w:rsidRPr="00136672">
        <w:rPr>
          <w:rFonts w:ascii="Arial" w:hAnsi="Arial" w:cs="Arial"/>
          <w:sz w:val="28"/>
          <w:szCs w:val="28"/>
          <w:rtl/>
          <w:lang w:bidi="ar-LB"/>
        </w:rPr>
        <w:t xml:space="preserve"> تقدّم التحويلات النقدية غير المشروطة من دون شروط حول كيفية استخدام الأموال. لكن يُفترض في حال كان قد جرى تحديد الحاجات الأساسية من خلال التقييم، بأن تستخدم لتلبية هذه الحاجات. وإن تمّ تحديد سبل العيش أو الأنشطة الإنتاجية كحاجة، فإن النقود الموزّعة ستستخدم لذلك.</w:t>
      </w:r>
    </w:p>
    <w:p w:rsidR="003A1A4D" w:rsidRPr="00136672" w:rsidRDefault="00EA6D52" w:rsidP="00EA6D52">
      <w:pPr>
        <w:bidi/>
        <w:ind w:left="360"/>
        <w:rPr>
          <w:rFonts w:ascii="Arial" w:hAnsi="Arial" w:cs="Arial"/>
          <w:sz w:val="28"/>
          <w:szCs w:val="28"/>
          <w:rtl/>
          <w:lang w:bidi="ar-LB"/>
        </w:rPr>
      </w:pPr>
      <w:r w:rsidRPr="00136672">
        <w:rPr>
          <w:rFonts w:ascii="Arial" w:hAnsi="Arial" w:cs="Arial"/>
          <w:sz w:val="28"/>
          <w:szCs w:val="28"/>
          <w:rtl/>
          <w:lang w:bidi="ar-LB"/>
        </w:rPr>
        <w:t>التحويلات النقدية المشروطة: تقدّم التحويلات النقدية المشروطة* مقابل قيام المستلمين بشيء ما (مثل إعادة بناء منازلهم، زرع البذور، حراثة الأرض، تعزيز/تجديد سبل العيش).</w:t>
      </w:r>
    </w:p>
    <w:p w:rsidR="0032079E" w:rsidRPr="00136672" w:rsidRDefault="0032079E" w:rsidP="0032079E">
      <w:pPr>
        <w:bidi/>
        <w:ind w:left="360"/>
        <w:rPr>
          <w:rFonts w:ascii="Arial" w:hAnsi="Arial" w:cs="Arial"/>
          <w:sz w:val="28"/>
          <w:szCs w:val="28"/>
          <w:lang w:bidi="ar-LB"/>
        </w:rPr>
      </w:pPr>
      <w:r w:rsidRPr="00136672">
        <w:rPr>
          <w:rFonts w:ascii="Arial" w:hAnsi="Arial" w:cs="Arial"/>
          <w:sz w:val="28"/>
          <w:szCs w:val="28"/>
          <w:rtl/>
          <w:lang w:bidi="ar-LB"/>
        </w:rPr>
        <w:t>النقود مقابل العمل: دفع</w:t>
      </w:r>
      <w:r w:rsidRPr="00136672">
        <w:rPr>
          <w:rFonts w:ascii="Arial" w:hAnsi="Arial" w:cs="Arial"/>
          <w:sz w:val="28"/>
          <w:szCs w:val="28"/>
          <w:lang w:bidi="ar-LB"/>
        </w:rPr>
        <w:t xml:space="preserve"> </w:t>
      </w:r>
      <w:r w:rsidRPr="00136672">
        <w:rPr>
          <w:rFonts w:ascii="Arial" w:hAnsi="Arial" w:cs="Arial"/>
          <w:sz w:val="28"/>
          <w:szCs w:val="28"/>
          <w:rtl/>
          <w:lang w:bidi="ar-LB"/>
        </w:rPr>
        <w:t>الأموال</w:t>
      </w:r>
      <w:r w:rsidRPr="00136672">
        <w:rPr>
          <w:rFonts w:ascii="Arial" w:hAnsi="Arial" w:cs="Arial"/>
          <w:sz w:val="28"/>
          <w:szCs w:val="28"/>
          <w:lang w:bidi="ar-LB"/>
        </w:rPr>
        <w:t xml:space="preserve"> </w:t>
      </w:r>
      <w:r w:rsidRPr="00136672">
        <w:rPr>
          <w:rFonts w:ascii="Arial" w:hAnsi="Arial" w:cs="Arial"/>
          <w:sz w:val="28"/>
          <w:szCs w:val="28"/>
          <w:rtl/>
          <w:lang w:bidi="ar-LB"/>
        </w:rPr>
        <w:t>مقابل</w:t>
      </w:r>
      <w:r w:rsidRPr="00136672">
        <w:rPr>
          <w:rFonts w:ascii="Arial" w:hAnsi="Arial" w:cs="Arial"/>
          <w:sz w:val="28"/>
          <w:szCs w:val="28"/>
          <w:lang w:bidi="ar-LB"/>
        </w:rPr>
        <w:t xml:space="preserve"> </w:t>
      </w:r>
      <w:r w:rsidRPr="00136672">
        <w:rPr>
          <w:rFonts w:ascii="Arial" w:hAnsi="Arial" w:cs="Arial"/>
          <w:sz w:val="28"/>
          <w:szCs w:val="28"/>
          <w:rtl/>
          <w:lang w:bidi="ar-LB"/>
        </w:rPr>
        <w:t>العمل</w:t>
      </w:r>
      <w:r w:rsidRPr="00136672">
        <w:rPr>
          <w:rFonts w:ascii="Arial" w:hAnsi="Arial" w:cs="Arial"/>
          <w:sz w:val="28"/>
          <w:szCs w:val="28"/>
          <w:lang w:bidi="ar-LB"/>
        </w:rPr>
        <w:t xml:space="preserve"> </w:t>
      </w:r>
      <w:r w:rsidRPr="00136672">
        <w:rPr>
          <w:rFonts w:ascii="Arial" w:hAnsi="Arial" w:cs="Arial"/>
          <w:sz w:val="28"/>
          <w:szCs w:val="28"/>
          <w:rtl/>
          <w:lang w:bidi="ar-LB"/>
        </w:rPr>
        <w:t>على</w:t>
      </w:r>
      <w:r w:rsidRPr="00136672">
        <w:rPr>
          <w:rFonts w:ascii="Arial" w:hAnsi="Arial" w:cs="Arial"/>
          <w:sz w:val="28"/>
          <w:szCs w:val="28"/>
          <w:lang w:bidi="ar-LB"/>
        </w:rPr>
        <w:t xml:space="preserve"> </w:t>
      </w:r>
      <w:r w:rsidRPr="00136672">
        <w:rPr>
          <w:rFonts w:ascii="Arial" w:hAnsi="Arial" w:cs="Arial"/>
          <w:sz w:val="28"/>
          <w:szCs w:val="28"/>
          <w:rtl/>
          <w:lang w:bidi="ar-LB"/>
        </w:rPr>
        <w:t>برامج</w:t>
      </w:r>
      <w:r w:rsidRPr="00136672">
        <w:rPr>
          <w:rFonts w:ascii="Arial" w:hAnsi="Arial" w:cs="Arial"/>
          <w:sz w:val="28"/>
          <w:szCs w:val="28"/>
          <w:lang w:bidi="ar-LB"/>
        </w:rPr>
        <w:t xml:space="preserve"> </w:t>
      </w:r>
      <w:r w:rsidRPr="00136672">
        <w:rPr>
          <w:rFonts w:ascii="Arial" w:hAnsi="Arial" w:cs="Arial"/>
          <w:sz w:val="28"/>
          <w:szCs w:val="28"/>
          <w:rtl/>
          <w:lang w:bidi="ar-LB"/>
        </w:rPr>
        <w:t>مجتمعية</w:t>
      </w:r>
      <w:r w:rsidRPr="00136672">
        <w:rPr>
          <w:rFonts w:ascii="Arial" w:hAnsi="Arial" w:cs="Arial"/>
          <w:sz w:val="28"/>
          <w:szCs w:val="28"/>
          <w:lang w:bidi="ar-LB"/>
        </w:rPr>
        <w:t xml:space="preserve"> </w:t>
      </w:r>
      <w:r w:rsidRPr="00136672">
        <w:rPr>
          <w:rFonts w:ascii="Arial" w:hAnsi="Arial" w:cs="Arial"/>
          <w:sz w:val="28"/>
          <w:szCs w:val="28"/>
          <w:rtl/>
          <w:lang w:bidi="ar-LB"/>
        </w:rPr>
        <w:t>أو</w:t>
      </w:r>
      <w:r w:rsidRPr="00136672">
        <w:rPr>
          <w:rFonts w:ascii="Arial" w:hAnsi="Arial" w:cs="Arial"/>
          <w:sz w:val="28"/>
          <w:szCs w:val="28"/>
          <w:lang w:bidi="ar-LB"/>
        </w:rPr>
        <w:t xml:space="preserve"> </w:t>
      </w:r>
      <w:r w:rsidRPr="00136672">
        <w:rPr>
          <w:rFonts w:ascii="Arial" w:hAnsi="Arial" w:cs="Arial"/>
          <w:sz w:val="28"/>
          <w:szCs w:val="28"/>
          <w:rtl/>
          <w:lang w:bidi="ar-LB"/>
        </w:rPr>
        <w:t>عامة</w:t>
      </w:r>
      <w:r w:rsidRPr="00136672">
        <w:rPr>
          <w:rFonts w:ascii="Arial" w:hAnsi="Arial" w:cs="Arial"/>
          <w:sz w:val="28"/>
          <w:szCs w:val="28"/>
          <w:lang w:bidi="ar-LB"/>
        </w:rPr>
        <w:t xml:space="preserve"> </w:t>
      </w:r>
      <w:r w:rsidRPr="00136672">
        <w:rPr>
          <w:rFonts w:ascii="Arial" w:hAnsi="Arial" w:cs="Arial"/>
          <w:sz w:val="28"/>
          <w:szCs w:val="28"/>
          <w:rtl/>
          <w:lang w:bidi="ar-LB"/>
        </w:rPr>
        <w:t>ستحسّن أو</w:t>
      </w:r>
      <w:r w:rsidRPr="00136672">
        <w:rPr>
          <w:rFonts w:ascii="Arial" w:hAnsi="Arial" w:cs="Arial"/>
          <w:sz w:val="28"/>
          <w:szCs w:val="28"/>
          <w:lang w:bidi="ar-LB"/>
        </w:rPr>
        <w:t xml:space="preserve"> </w:t>
      </w:r>
      <w:r w:rsidRPr="00136672">
        <w:rPr>
          <w:rFonts w:ascii="Arial" w:hAnsi="Arial" w:cs="Arial"/>
          <w:sz w:val="28"/>
          <w:szCs w:val="28"/>
          <w:rtl/>
          <w:lang w:bidi="ar-LB"/>
        </w:rPr>
        <w:t>تعيد</w:t>
      </w:r>
      <w:r w:rsidRPr="00136672">
        <w:rPr>
          <w:rFonts w:ascii="Arial" w:hAnsi="Arial" w:cs="Arial"/>
          <w:sz w:val="28"/>
          <w:szCs w:val="28"/>
          <w:lang w:bidi="ar-LB"/>
        </w:rPr>
        <w:t xml:space="preserve"> </w:t>
      </w:r>
      <w:r w:rsidRPr="00136672">
        <w:rPr>
          <w:rFonts w:ascii="Arial" w:hAnsi="Arial" w:cs="Arial"/>
          <w:sz w:val="28"/>
          <w:szCs w:val="28"/>
          <w:rtl/>
          <w:lang w:bidi="ar-LB"/>
        </w:rPr>
        <w:t>تأهيل</w:t>
      </w:r>
      <w:r w:rsidRPr="00136672">
        <w:rPr>
          <w:rFonts w:ascii="Arial" w:hAnsi="Arial" w:cs="Arial"/>
          <w:sz w:val="28"/>
          <w:szCs w:val="28"/>
          <w:lang w:bidi="ar-LB"/>
        </w:rPr>
        <w:t xml:space="preserve"> </w:t>
      </w:r>
      <w:r w:rsidRPr="00136672">
        <w:rPr>
          <w:rFonts w:ascii="Arial" w:hAnsi="Arial" w:cs="Arial"/>
          <w:sz w:val="28"/>
          <w:szCs w:val="28"/>
          <w:rtl/>
          <w:lang w:bidi="ar-LB"/>
        </w:rPr>
        <w:t>خدمات</w:t>
      </w:r>
      <w:r w:rsidRPr="00136672">
        <w:rPr>
          <w:rFonts w:ascii="Arial" w:hAnsi="Arial" w:cs="Arial"/>
          <w:sz w:val="28"/>
          <w:szCs w:val="28"/>
          <w:lang w:bidi="ar-LB"/>
        </w:rPr>
        <w:t xml:space="preserve"> </w:t>
      </w:r>
      <w:r w:rsidRPr="00136672">
        <w:rPr>
          <w:rFonts w:ascii="Arial" w:hAnsi="Arial" w:cs="Arial"/>
          <w:sz w:val="28"/>
          <w:szCs w:val="28"/>
          <w:rtl/>
          <w:lang w:bidi="ar-LB"/>
        </w:rPr>
        <w:t>المجتمع</w:t>
      </w:r>
      <w:r w:rsidRPr="00136672">
        <w:rPr>
          <w:rFonts w:ascii="Arial" w:hAnsi="Arial" w:cs="Arial"/>
          <w:sz w:val="28"/>
          <w:szCs w:val="28"/>
          <w:lang w:bidi="ar-LB"/>
        </w:rPr>
        <w:t xml:space="preserve"> </w:t>
      </w:r>
      <w:r w:rsidRPr="00136672">
        <w:rPr>
          <w:rFonts w:ascii="Arial" w:hAnsi="Arial" w:cs="Arial"/>
          <w:sz w:val="28"/>
          <w:szCs w:val="28"/>
          <w:rtl/>
          <w:lang w:bidi="ar-LB"/>
        </w:rPr>
        <w:t>أو</w:t>
      </w:r>
      <w:r w:rsidRPr="00136672">
        <w:rPr>
          <w:rFonts w:ascii="Arial" w:hAnsi="Arial" w:cs="Arial"/>
          <w:sz w:val="28"/>
          <w:szCs w:val="28"/>
          <w:lang w:bidi="ar-LB"/>
        </w:rPr>
        <w:t xml:space="preserve"> </w:t>
      </w:r>
      <w:r w:rsidRPr="00136672">
        <w:rPr>
          <w:rFonts w:ascii="Arial" w:hAnsi="Arial" w:cs="Arial"/>
          <w:sz w:val="28"/>
          <w:szCs w:val="28"/>
          <w:rtl/>
          <w:lang w:bidi="ar-LB"/>
        </w:rPr>
        <w:t>بنيته</w:t>
      </w:r>
      <w:r w:rsidRPr="00136672">
        <w:rPr>
          <w:rFonts w:ascii="Arial" w:hAnsi="Arial" w:cs="Arial"/>
          <w:sz w:val="28"/>
          <w:szCs w:val="28"/>
          <w:lang w:bidi="ar-LB"/>
        </w:rPr>
        <w:t xml:space="preserve"> </w:t>
      </w:r>
      <w:r w:rsidRPr="00136672">
        <w:rPr>
          <w:rFonts w:ascii="Arial" w:hAnsi="Arial" w:cs="Arial"/>
          <w:sz w:val="28"/>
          <w:szCs w:val="28"/>
          <w:rtl/>
          <w:lang w:bidi="ar-LB"/>
        </w:rPr>
        <w:t>التحتية</w:t>
      </w:r>
      <w:r w:rsidRPr="00136672">
        <w:rPr>
          <w:rFonts w:ascii="Arial" w:hAnsi="Arial" w:cs="Arial"/>
          <w:sz w:val="28"/>
          <w:szCs w:val="28"/>
          <w:lang w:bidi="ar-LB"/>
        </w:rPr>
        <w:t xml:space="preserve">. </w:t>
      </w:r>
      <w:r w:rsidRPr="00136672">
        <w:rPr>
          <w:rFonts w:ascii="Arial" w:hAnsi="Arial" w:cs="Arial"/>
          <w:sz w:val="28"/>
          <w:szCs w:val="28"/>
          <w:rtl/>
          <w:lang w:bidi="ar-LB"/>
        </w:rPr>
        <w:t>وينبغي</w:t>
      </w:r>
      <w:r w:rsidRPr="00136672">
        <w:rPr>
          <w:rFonts w:ascii="Arial" w:hAnsi="Arial" w:cs="Arial"/>
          <w:sz w:val="28"/>
          <w:szCs w:val="28"/>
          <w:lang w:bidi="ar-LB"/>
        </w:rPr>
        <w:t xml:space="preserve"> </w:t>
      </w:r>
      <w:r w:rsidRPr="00136672">
        <w:rPr>
          <w:rFonts w:ascii="Arial" w:hAnsi="Arial" w:cs="Arial"/>
          <w:sz w:val="28"/>
          <w:szCs w:val="28"/>
          <w:rtl/>
          <w:lang w:bidi="ar-LB"/>
        </w:rPr>
        <w:t>أن</w:t>
      </w:r>
      <w:r w:rsidRPr="00136672">
        <w:rPr>
          <w:rFonts w:ascii="Arial" w:hAnsi="Arial" w:cs="Arial"/>
          <w:sz w:val="28"/>
          <w:szCs w:val="28"/>
          <w:lang w:bidi="ar-LB"/>
        </w:rPr>
        <w:t xml:space="preserve"> </w:t>
      </w:r>
      <w:r w:rsidRPr="00136672">
        <w:rPr>
          <w:rFonts w:ascii="Arial" w:hAnsi="Arial" w:cs="Arial"/>
          <w:sz w:val="28"/>
          <w:szCs w:val="28"/>
          <w:rtl/>
          <w:lang w:bidi="ar-LB"/>
        </w:rPr>
        <w:t>تغطي</w:t>
      </w:r>
    </w:p>
    <w:p w:rsidR="00EA6D52" w:rsidRPr="00136672" w:rsidRDefault="0032079E" w:rsidP="0032079E">
      <w:pPr>
        <w:bidi/>
        <w:ind w:left="360"/>
        <w:rPr>
          <w:rFonts w:ascii="Arial" w:hAnsi="Arial" w:cs="Arial"/>
          <w:sz w:val="28"/>
          <w:szCs w:val="28"/>
          <w:rtl/>
          <w:lang w:bidi="ar-LB"/>
        </w:rPr>
      </w:pPr>
      <w:r w:rsidRPr="00136672">
        <w:rPr>
          <w:rFonts w:ascii="Arial" w:hAnsi="Arial" w:cs="Arial"/>
          <w:sz w:val="28"/>
          <w:szCs w:val="28"/>
          <w:rtl/>
          <w:lang w:bidi="ar-LB"/>
        </w:rPr>
        <w:t>الأجور</w:t>
      </w:r>
      <w:r w:rsidRPr="00136672">
        <w:rPr>
          <w:rFonts w:ascii="Arial" w:hAnsi="Arial" w:cs="Arial"/>
          <w:sz w:val="28"/>
          <w:szCs w:val="28"/>
          <w:lang w:bidi="ar-LB"/>
        </w:rPr>
        <w:t xml:space="preserve"> </w:t>
      </w:r>
      <w:r w:rsidRPr="00136672">
        <w:rPr>
          <w:rFonts w:ascii="Arial" w:hAnsi="Arial" w:cs="Arial"/>
          <w:sz w:val="28"/>
          <w:szCs w:val="28"/>
          <w:rtl/>
          <w:lang w:bidi="ar-LB"/>
        </w:rPr>
        <w:t>الحاجات</w:t>
      </w:r>
      <w:r w:rsidRPr="00136672">
        <w:rPr>
          <w:rFonts w:ascii="Arial" w:hAnsi="Arial" w:cs="Arial"/>
          <w:sz w:val="28"/>
          <w:szCs w:val="28"/>
          <w:lang w:bidi="ar-LB"/>
        </w:rPr>
        <w:t xml:space="preserve"> </w:t>
      </w:r>
      <w:r w:rsidRPr="00136672">
        <w:rPr>
          <w:rFonts w:ascii="Arial" w:hAnsi="Arial" w:cs="Arial"/>
          <w:sz w:val="28"/>
          <w:szCs w:val="28"/>
          <w:rtl/>
          <w:lang w:bidi="ar-LB"/>
        </w:rPr>
        <w:t>الأساسية،</w:t>
      </w:r>
      <w:r w:rsidRPr="00136672">
        <w:rPr>
          <w:rFonts w:ascii="Arial" w:hAnsi="Arial" w:cs="Arial"/>
          <w:sz w:val="28"/>
          <w:szCs w:val="28"/>
          <w:lang w:bidi="ar-LB"/>
        </w:rPr>
        <w:t xml:space="preserve"> </w:t>
      </w:r>
      <w:r w:rsidRPr="00136672">
        <w:rPr>
          <w:rFonts w:ascii="Arial" w:hAnsi="Arial" w:cs="Arial"/>
          <w:sz w:val="28"/>
          <w:szCs w:val="28"/>
          <w:rtl/>
          <w:lang w:bidi="ar-LB"/>
        </w:rPr>
        <w:t>لكنها</w:t>
      </w:r>
      <w:r w:rsidRPr="00136672">
        <w:rPr>
          <w:rFonts w:ascii="Arial" w:hAnsi="Arial" w:cs="Arial"/>
          <w:sz w:val="28"/>
          <w:szCs w:val="28"/>
          <w:lang w:bidi="ar-LB"/>
        </w:rPr>
        <w:t xml:space="preserve"> </w:t>
      </w:r>
      <w:r w:rsidRPr="00136672">
        <w:rPr>
          <w:rFonts w:ascii="Arial" w:hAnsi="Arial" w:cs="Arial"/>
          <w:sz w:val="28"/>
          <w:szCs w:val="28"/>
          <w:rtl/>
          <w:lang w:bidi="ar-LB"/>
        </w:rPr>
        <w:t>تقل</w:t>
      </w:r>
      <w:r w:rsidRPr="00136672">
        <w:rPr>
          <w:rFonts w:ascii="Arial" w:hAnsi="Arial" w:cs="Arial"/>
          <w:sz w:val="28"/>
          <w:szCs w:val="28"/>
          <w:lang w:bidi="ar-LB"/>
        </w:rPr>
        <w:t xml:space="preserve"> </w:t>
      </w:r>
      <w:r w:rsidRPr="00136672">
        <w:rPr>
          <w:rFonts w:ascii="Arial" w:hAnsi="Arial" w:cs="Arial"/>
          <w:sz w:val="28"/>
          <w:szCs w:val="28"/>
          <w:rtl/>
          <w:lang w:bidi="ar-LB"/>
        </w:rPr>
        <w:t>قليلاً</w:t>
      </w:r>
      <w:r w:rsidRPr="00136672">
        <w:rPr>
          <w:rFonts w:ascii="Arial" w:hAnsi="Arial" w:cs="Arial"/>
          <w:sz w:val="28"/>
          <w:szCs w:val="28"/>
          <w:lang w:bidi="ar-LB"/>
        </w:rPr>
        <w:t xml:space="preserve"> </w:t>
      </w:r>
      <w:r w:rsidRPr="00136672">
        <w:rPr>
          <w:rFonts w:ascii="Arial" w:hAnsi="Arial" w:cs="Arial"/>
          <w:sz w:val="28"/>
          <w:szCs w:val="28"/>
          <w:rtl/>
          <w:lang w:bidi="ar-LB"/>
        </w:rPr>
        <w:t>عن</w:t>
      </w:r>
      <w:r w:rsidRPr="00136672">
        <w:rPr>
          <w:rFonts w:ascii="Arial" w:hAnsi="Arial" w:cs="Arial"/>
          <w:sz w:val="28"/>
          <w:szCs w:val="28"/>
          <w:lang w:bidi="ar-LB"/>
        </w:rPr>
        <w:t xml:space="preserve"> </w:t>
      </w:r>
      <w:r w:rsidRPr="00136672">
        <w:rPr>
          <w:rFonts w:ascii="Arial" w:hAnsi="Arial" w:cs="Arial"/>
          <w:sz w:val="28"/>
          <w:szCs w:val="28"/>
          <w:rtl/>
          <w:lang w:bidi="ar-LB"/>
        </w:rPr>
        <w:t>مستويات</w:t>
      </w:r>
      <w:r w:rsidRPr="00136672">
        <w:rPr>
          <w:rFonts w:ascii="Arial" w:hAnsi="Arial" w:cs="Arial"/>
          <w:sz w:val="28"/>
          <w:szCs w:val="28"/>
          <w:lang w:bidi="ar-LB"/>
        </w:rPr>
        <w:t xml:space="preserve"> </w:t>
      </w:r>
      <w:r w:rsidRPr="00136672">
        <w:rPr>
          <w:rFonts w:ascii="Arial" w:hAnsi="Arial" w:cs="Arial"/>
          <w:sz w:val="28"/>
          <w:szCs w:val="28"/>
          <w:rtl/>
          <w:lang w:bidi="ar-LB"/>
        </w:rPr>
        <w:t>السوق تجنباً</w:t>
      </w:r>
      <w:r w:rsidRPr="00136672">
        <w:rPr>
          <w:rFonts w:ascii="Arial" w:hAnsi="Arial" w:cs="Arial"/>
          <w:sz w:val="28"/>
          <w:szCs w:val="28"/>
          <w:lang w:bidi="ar-LB"/>
        </w:rPr>
        <w:t xml:space="preserve"> </w:t>
      </w:r>
      <w:r w:rsidRPr="00136672">
        <w:rPr>
          <w:rFonts w:ascii="Arial" w:hAnsi="Arial" w:cs="Arial"/>
          <w:sz w:val="28"/>
          <w:szCs w:val="28"/>
          <w:rtl/>
          <w:lang w:bidi="ar-LB"/>
        </w:rPr>
        <w:t>للتنافس</w:t>
      </w:r>
      <w:r w:rsidRPr="00136672">
        <w:rPr>
          <w:rFonts w:ascii="Arial" w:hAnsi="Arial" w:cs="Arial"/>
          <w:sz w:val="28"/>
          <w:szCs w:val="28"/>
          <w:lang w:bidi="ar-LB"/>
        </w:rPr>
        <w:t xml:space="preserve"> </w:t>
      </w:r>
      <w:r w:rsidRPr="00136672">
        <w:rPr>
          <w:rFonts w:ascii="Arial" w:hAnsi="Arial" w:cs="Arial"/>
          <w:sz w:val="28"/>
          <w:szCs w:val="28"/>
          <w:rtl/>
          <w:lang w:bidi="ar-LB"/>
        </w:rPr>
        <w:t>مع</w:t>
      </w:r>
      <w:r w:rsidRPr="00136672">
        <w:rPr>
          <w:rFonts w:ascii="Arial" w:hAnsi="Arial" w:cs="Arial"/>
          <w:sz w:val="28"/>
          <w:szCs w:val="28"/>
          <w:lang w:bidi="ar-LB"/>
        </w:rPr>
        <w:t xml:space="preserve"> </w:t>
      </w:r>
      <w:r w:rsidRPr="00136672">
        <w:rPr>
          <w:rFonts w:ascii="Arial" w:hAnsi="Arial" w:cs="Arial"/>
          <w:sz w:val="28"/>
          <w:szCs w:val="28"/>
          <w:rtl/>
          <w:lang w:bidi="ar-LB"/>
        </w:rPr>
        <w:t>سوق</w:t>
      </w:r>
      <w:r w:rsidRPr="00136672">
        <w:rPr>
          <w:rFonts w:ascii="Arial" w:hAnsi="Arial" w:cs="Arial"/>
          <w:sz w:val="28"/>
          <w:szCs w:val="28"/>
          <w:lang w:bidi="ar-LB"/>
        </w:rPr>
        <w:t xml:space="preserve"> </w:t>
      </w:r>
      <w:r w:rsidRPr="00136672">
        <w:rPr>
          <w:rFonts w:ascii="Arial" w:hAnsi="Arial" w:cs="Arial"/>
          <w:sz w:val="28"/>
          <w:szCs w:val="28"/>
          <w:rtl/>
          <w:lang w:bidi="ar-LB"/>
        </w:rPr>
        <w:t>العمل</w:t>
      </w:r>
      <w:r w:rsidRPr="00136672">
        <w:rPr>
          <w:rFonts w:ascii="Arial" w:hAnsi="Arial" w:cs="Arial"/>
          <w:sz w:val="28"/>
          <w:szCs w:val="28"/>
          <w:lang w:bidi="ar-LB"/>
        </w:rPr>
        <w:t>.</w:t>
      </w:r>
    </w:p>
    <w:p w:rsidR="0032079E" w:rsidRPr="00136672" w:rsidRDefault="0032079E" w:rsidP="0032079E">
      <w:pPr>
        <w:bidi/>
        <w:ind w:left="360"/>
        <w:rPr>
          <w:rFonts w:ascii="Arial" w:hAnsi="Arial" w:cs="Arial"/>
          <w:sz w:val="28"/>
          <w:szCs w:val="28"/>
          <w:lang w:bidi="ar-LB"/>
        </w:rPr>
      </w:pPr>
      <w:r w:rsidRPr="00136672">
        <w:rPr>
          <w:rFonts w:ascii="Arial" w:hAnsi="Arial" w:cs="Arial"/>
          <w:sz w:val="28"/>
          <w:szCs w:val="28"/>
          <w:rtl/>
          <w:lang w:bidi="ar-LB"/>
        </w:rPr>
        <w:t>قسائم نقدية: هي قسائم ذات قيمة محددة ويمكن أن تحدد خدمة وسلعة ما أو مجموعة من السلع التي بالإمكان استبدالها بها. وبمحض الاختيار، يمكن للقسيمة أن تعطي المستلم حرية اختيار ما سيشتريه بقسيمته. وتوجد أيضاً قسائم موحّدة (لها قيمة نقدية وسلعية). ويمكن استبدال القسائم في محلات تجارية يجري اختيارها مسبقاً، مع تجار/مقدمي خدمات محددين أو في معارض منظمة خصيصاً لهذه الغاية.</w:t>
      </w:r>
    </w:p>
    <w:p w:rsidR="0032079E" w:rsidRPr="00136672" w:rsidRDefault="0032079E" w:rsidP="0032079E">
      <w:pPr>
        <w:bidi/>
        <w:ind w:left="360"/>
        <w:rPr>
          <w:rFonts w:ascii="Arial" w:hAnsi="Arial" w:cs="Arial"/>
          <w:sz w:val="28"/>
          <w:szCs w:val="28"/>
          <w:lang w:bidi="ar-LB"/>
        </w:rPr>
      </w:pPr>
      <w:r w:rsidRPr="00136672">
        <w:rPr>
          <w:rFonts w:ascii="Arial" w:hAnsi="Arial" w:cs="Arial"/>
          <w:sz w:val="28"/>
          <w:szCs w:val="28"/>
          <w:rtl/>
          <w:lang w:bidi="ar-LB"/>
        </w:rPr>
        <w:t>قسائم السلع أو النقود: تشترط قسائم السلع السلعة (وكميتها/وزنها) أو الخدمة التي يمكن للمستلم أن يستبدلها بها. أما القسائم النقدية فهي ذات قيمة محددة</w:t>
      </w:r>
    </w:p>
    <w:p w:rsidR="0032079E" w:rsidRPr="00136672" w:rsidRDefault="0032079E" w:rsidP="0032079E">
      <w:pPr>
        <w:bidi/>
        <w:ind w:left="360"/>
        <w:rPr>
          <w:rFonts w:ascii="Arial" w:hAnsi="Arial" w:cs="Arial"/>
          <w:sz w:val="28"/>
          <w:szCs w:val="28"/>
          <w:lang w:bidi="ar-LB"/>
        </w:rPr>
      </w:pPr>
      <w:r w:rsidRPr="00136672">
        <w:rPr>
          <w:rFonts w:ascii="Arial" w:hAnsi="Arial" w:cs="Arial"/>
          <w:sz w:val="28"/>
          <w:szCs w:val="28"/>
          <w:rtl/>
          <w:lang w:bidi="ar-LB"/>
        </w:rPr>
        <w:lastRenderedPageBreak/>
        <w:t>ويمكن أن تحدد خدمة وسلعة ما أو مجموعة من السلع التي بالإمكان استبدالها بها. وبمحض الاختيار، يمكن للقسيمة أن تعطي المستلم حرية اختيار ما سيشتريه بقسيمته. وتوجد أيضاً قسائم موحّدة (لها قيمة نقدية وسلعية). ويمكن استبدال القسائم في محلات تجارية يجري اختيارها مسبقاً، مع تجار/مقدمي خدمات محددين أو في معارض منظمة خصيصاً لهذه الغاية.</w:t>
      </w:r>
    </w:p>
    <w:p w:rsidR="0032079E" w:rsidRPr="00136672" w:rsidRDefault="002A35D6" w:rsidP="0032079E">
      <w:pPr>
        <w:bidi/>
        <w:ind w:left="360"/>
        <w:rPr>
          <w:rFonts w:ascii="Arial" w:hAnsi="Arial" w:cs="Arial"/>
          <w:sz w:val="28"/>
          <w:szCs w:val="28"/>
          <w:rtl/>
          <w:lang w:bidi="ar-LB"/>
        </w:rPr>
      </w:pPr>
      <w:r w:rsidRPr="00136672">
        <w:rPr>
          <w:rFonts w:ascii="Arial" w:hAnsi="Arial" w:cs="Arial"/>
          <w:sz w:val="28"/>
          <w:szCs w:val="28"/>
          <w:rtl/>
          <w:lang w:bidi="ar-LB"/>
        </w:rPr>
        <w:t xml:space="preserve">المعارض: تقديم السلع التي يحتاج إليها المستفيدين عبر تنظيم معرض يسمح باستبدال القسائم بالسلع. ويسمح المعرض بحصول المستفيدين على السلع الزراعية كالبذور والمواشي وعلى سبل العيش الأساسية والمواد التي تستخدم في المأوى. </w:t>
      </w:r>
      <w:r w:rsidR="00600784" w:rsidRPr="00136672">
        <w:rPr>
          <w:rFonts w:ascii="Arial" w:hAnsi="Arial" w:cs="Arial"/>
          <w:sz w:val="28"/>
          <w:szCs w:val="28"/>
          <w:rtl/>
          <w:lang w:bidi="ar-LB"/>
        </w:rPr>
        <w:t xml:space="preserve">بذلك، تقدم المعارض فرصة اختيار المنتجات التي تحرص اللجنة الدولية للصليب الأحمر على جودتها. </w:t>
      </w:r>
    </w:p>
    <w:p w:rsidR="00071D81" w:rsidRPr="00136672" w:rsidRDefault="00071D81" w:rsidP="00071D81">
      <w:pPr>
        <w:bidi/>
        <w:ind w:left="360"/>
        <w:rPr>
          <w:rFonts w:ascii="Arial" w:hAnsi="Arial" w:cs="Arial"/>
          <w:sz w:val="28"/>
          <w:szCs w:val="28"/>
          <w:rtl/>
          <w:lang w:bidi="ar-LB"/>
        </w:rPr>
      </w:pPr>
      <w:r w:rsidRPr="00136672">
        <w:rPr>
          <w:rFonts w:ascii="Arial" w:hAnsi="Arial" w:cs="Arial"/>
          <w:sz w:val="28"/>
          <w:szCs w:val="28"/>
          <w:rtl/>
          <w:lang w:bidi="ar-LB"/>
        </w:rPr>
        <w:t>الخبرة في مجال برامج التحويلات النقدية</w:t>
      </w:r>
    </w:p>
    <w:p w:rsidR="00071D81" w:rsidRPr="00136672" w:rsidRDefault="00071D81" w:rsidP="00071D81">
      <w:pPr>
        <w:pStyle w:val="ListParagraph"/>
        <w:numPr>
          <w:ilvl w:val="0"/>
          <w:numId w:val="2"/>
        </w:numPr>
        <w:bidi/>
        <w:rPr>
          <w:rFonts w:ascii="Arial" w:hAnsi="Arial" w:cs="Arial"/>
          <w:sz w:val="28"/>
          <w:szCs w:val="28"/>
          <w:lang w:bidi="ar-LB"/>
        </w:rPr>
      </w:pPr>
      <w:r w:rsidRPr="00136672">
        <w:rPr>
          <w:rFonts w:ascii="Arial" w:hAnsi="Arial" w:cs="Arial"/>
          <w:sz w:val="28"/>
          <w:szCs w:val="28"/>
          <w:rtl/>
          <w:lang w:bidi="ar-LB"/>
        </w:rPr>
        <w:t>تقديم لمحة حول خبرة الجمعية الوطنية على صعيد تطبيق برامج التحويلات النقدية  على المستوى القطري و/أو في سياق معين. وتحديد:</w:t>
      </w:r>
    </w:p>
    <w:p w:rsidR="00071D81" w:rsidRPr="00136672" w:rsidRDefault="00071D81" w:rsidP="00071D81">
      <w:pPr>
        <w:pStyle w:val="ListParagraph"/>
        <w:numPr>
          <w:ilvl w:val="1"/>
          <w:numId w:val="2"/>
        </w:numPr>
        <w:bidi/>
        <w:rPr>
          <w:rFonts w:ascii="Arial" w:hAnsi="Arial" w:cs="Arial"/>
          <w:sz w:val="28"/>
          <w:szCs w:val="28"/>
          <w:lang w:bidi="ar-LB"/>
        </w:rPr>
      </w:pPr>
      <w:r w:rsidRPr="00136672">
        <w:rPr>
          <w:rFonts w:ascii="Arial" w:hAnsi="Arial" w:cs="Arial"/>
          <w:sz w:val="28"/>
          <w:szCs w:val="28"/>
          <w:rtl/>
          <w:lang w:bidi="ar-LB"/>
        </w:rPr>
        <w:t>التواريخ</w:t>
      </w:r>
    </w:p>
    <w:p w:rsidR="00071D81" w:rsidRPr="00136672" w:rsidRDefault="00071D81" w:rsidP="00071D81">
      <w:pPr>
        <w:pStyle w:val="ListParagraph"/>
        <w:numPr>
          <w:ilvl w:val="1"/>
          <w:numId w:val="2"/>
        </w:numPr>
        <w:bidi/>
        <w:rPr>
          <w:rFonts w:ascii="Arial" w:hAnsi="Arial" w:cs="Arial"/>
          <w:sz w:val="28"/>
          <w:szCs w:val="28"/>
          <w:lang w:bidi="ar-LB"/>
        </w:rPr>
      </w:pPr>
      <w:r w:rsidRPr="00136672">
        <w:rPr>
          <w:rFonts w:ascii="Arial" w:hAnsi="Arial" w:cs="Arial"/>
          <w:sz w:val="28"/>
          <w:szCs w:val="28"/>
          <w:rtl/>
          <w:lang w:bidi="ar-LB"/>
        </w:rPr>
        <w:t>الأنواع المستخدمة</w:t>
      </w:r>
    </w:p>
    <w:p w:rsidR="00071D81" w:rsidRPr="00136672" w:rsidRDefault="00071D81" w:rsidP="00071D81">
      <w:pPr>
        <w:pStyle w:val="ListParagraph"/>
        <w:numPr>
          <w:ilvl w:val="1"/>
          <w:numId w:val="2"/>
        </w:numPr>
        <w:bidi/>
        <w:rPr>
          <w:rFonts w:ascii="Arial" w:hAnsi="Arial" w:cs="Arial"/>
          <w:sz w:val="28"/>
          <w:szCs w:val="28"/>
          <w:lang w:bidi="ar-LB"/>
        </w:rPr>
      </w:pPr>
      <w:r w:rsidRPr="00136672">
        <w:rPr>
          <w:rFonts w:ascii="Arial" w:hAnsi="Arial" w:cs="Arial"/>
          <w:sz w:val="28"/>
          <w:szCs w:val="28"/>
          <w:rtl/>
          <w:lang w:bidi="ar-LB"/>
        </w:rPr>
        <w:t>الآليات</w:t>
      </w:r>
    </w:p>
    <w:p w:rsidR="00071D81" w:rsidRPr="00136672" w:rsidRDefault="00071D81" w:rsidP="00071D81">
      <w:pPr>
        <w:pStyle w:val="ListParagraph"/>
        <w:numPr>
          <w:ilvl w:val="1"/>
          <w:numId w:val="2"/>
        </w:numPr>
        <w:bidi/>
        <w:rPr>
          <w:rFonts w:ascii="Arial" w:hAnsi="Arial" w:cs="Arial"/>
          <w:sz w:val="28"/>
          <w:szCs w:val="28"/>
          <w:lang w:bidi="ar-LB"/>
        </w:rPr>
      </w:pPr>
      <w:r w:rsidRPr="00136672">
        <w:rPr>
          <w:rFonts w:ascii="Arial" w:hAnsi="Arial" w:cs="Arial"/>
          <w:sz w:val="28"/>
          <w:szCs w:val="28"/>
          <w:rtl/>
          <w:lang w:bidi="ar-LB"/>
        </w:rPr>
        <w:t>عدد الأشخاص المستهدفين</w:t>
      </w:r>
    </w:p>
    <w:p w:rsidR="00071D81" w:rsidRPr="00136672" w:rsidRDefault="00071D81" w:rsidP="00071D81">
      <w:pPr>
        <w:pStyle w:val="ListParagraph"/>
        <w:numPr>
          <w:ilvl w:val="1"/>
          <w:numId w:val="2"/>
        </w:numPr>
        <w:bidi/>
        <w:rPr>
          <w:rFonts w:ascii="Arial" w:hAnsi="Arial" w:cs="Arial"/>
          <w:sz w:val="28"/>
          <w:szCs w:val="28"/>
          <w:lang w:bidi="ar-LB"/>
        </w:rPr>
      </w:pPr>
      <w:r w:rsidRPr="00136672">
        <w:rPr>
          <w:rFonts w:ascii="Arial" w:hAnsi="Arial" w:cs="Arial"/>
          <w:sz w:val="28"/>
          <w:szCs w:val="28"/>
          <w:rtl/>
          <w:lang w:bidi="ar-LB"/>
        </w:rPr>
        <w:t xml:space="preserve">الدروس المستقاة </w:t>
      </w:r>
    </w:p>
    <w:p w:rsidR="00071D81" w:rsidRPr="00136672" w:rsidRDefault="00071D81" w:rsidP="00071D81">
      <w:pPr>
        <w:pStyle w:val="ListParagraph"/>
        <w:numPr>
          <w:ilvl w:val="0"/>
          <w:numId w:val="1"/>
        </w:numPr>
        <w:bidi/>
        <w:rPr>
          <w:rFonts w:ascii="Arial" w:hAnsi="Arial" w:cs="Arial"/>
          <w:sz w:val="28"/>
          <w:szCs w:val="28"/>
          <w:lang w:bidi="ar-LB"/>
        </w:rPr>
      </w:pPr>
      <w:r w:rsidRPr="00136672">
        <w:rPr>
          <w:rFonts w:ascii="Arial" w:hAnsi="Arial" w:cs="Arial"/>
          <w:sz w:val="28"/>
          <w:szCs w:val="28"/>
          <w:rtl/>
          <w:lang w:bidi="ar-LB"/>
        </w:rPr>
        <w:t>المهام والمسؤوليات بحسب برامج التحويلات النقدية</w:t>
      </w:r>
    </w:p>
    <w:p w:rsidR="00071D81" w:rsidRPr="00136672" w:rsidRDefault="00071D81" w:rsidP="00071D81">
      <w:pPr>
        <w:pStyle w:val="ListParagraph"/>
        <w:numPr>
          <w:ilvl w:val="0"/>
          <w:numId w:val="2"/>
        </w:numPr>
        <w:bidi/>
        <w:rPr>
          <w:rFonts w:ascii="Arial" w:hAnsi="Arial" w:cs="Arial"/>
          <w:sz w:val="28"/>
          <w:szCs w:val="28"/>
          <w:lang w:bidi="ar-LB"/>
        </w:rPr>
      </w:pPr>
      <w:r w:rsidRPr="00136672">
        <w:rPr>
          <w:rFonts w:ascii="Arial" w:hAnsi="Arial" w:cs="Arial"/>
          <w:sz w:val="28"/>
          <w:szCs w:val="28"/>
          <w:rtl/>
          <w:lang w:bidi="ar-LB"/>
        </w:rPr>
        <w:t>تحديد المهام والمسؤوليات (بحسب الأقسام، الوحدات، المراكز الرئيسية، الفروع).</w:t>
      </w:r>
    </w:p>
    <w:p w:rsidR="00071D81" w:rsidRPr="00136672" w:rsidRDefault="00071D81" w:rsidP="007850C0">
      <w:pPr>
        <w:pStyle w:val="ListParagraph"/>
        <w:numPr>
          <w:ilvl w:val="0"/>
          <w:numId w:val="2"/>
        </w:numPr>
        <w:bidi/>
        <w:rPr>
          <w:rFonts w:ascii="Arial" w:hAnsi="Arial" w:cs="Arial"/>
          <w:sz w:val="28"/>
          <w:szCs w:val="28"/>
          <w:lang w:bidi="ar-LB"/>
        </w:rPr>
      </w:pPr>
      <w:r w:rsidRPr="00136672">
        <w:rPr>
          <w:rFonts w:ascii="Arial" w:hAnsi="Arial" w:cs="Arial"/>
          <w:sz w:val="28"/>
          <w:szCs w:val="28"/>
          <w:rtl/>
          <w:lang w:bidi="ar-LB"/>
        </w:rPr>
        <w:t>وضع لائحة ب</w:t>
      </w:r>
      <w:r w:rsidR="007850C0" w:rsidRPr="00136672">
        <w:rPr>
          <w:rFonts w:ascii="Arial" w:hAnsi="Arial" w:cs="Arial"/>
          <w:sz w:val="28"/>
          <w:szCs w:val="28"/>
          <w:rtl/>
          <w:lang w:bidi="ar-LB"/>
        </w:rPr>
        <w:t xml:space="preserve">وظائف </w:t>
      </w:r>
      <w:r w:rsidRPr="00136672">
        <w:rPr>
          <w:rFonts w:ascii="Arial" w:hAnsi="Arial" w:cs="Arial"/>
          <w:sz w:val="28"/>
          <w:szCs w:val="28"/>
          <w:rtl/>
          <w:lang w:bidi="ar-LB"/>
        </w:rPr>
        <w:t>الأقسام المختلفة عند تطبيق برامج التحويلات النقدية بشكل عام.</w:t>
      </w:r>
    </w:p>
    <w:p w:rsidR="00071D81" w:rsidRPr="00136672" w:rsidRDefault="00071D81" w:rsidP="005B3BF1">
      <w:pPr>
        <w:pStyle w:val="ListParagraph"/>
        <w:numPr>
          <w:ilvl w:val="0"/>
          <w:numId w:val="2"/>
        </w:numPr>
        <w:bidi/>
        <w:rPr>
          <w:rFonts w:ascii="Arial" w:hAnsi="Arial" w:cs="Arial"/>
          <w:sz w:val="28"/>
          <w:szCs w:val="28"/>
          <w:lang w:bidi="ar-LB"/>
        </w:rPr>
      </w:pPr>
      <w:r w:rsidRPr="00136672">
        <w:rPr>
          <w:rFonts w:ascii="Arial" w:hAnsi="Arial" w:cs="Arial"/>
          <w:sz w:val="28"/>
          <w:szCs w:val="28"/>
          <w:rtl/>
          <w:lang w:bidi="ar-LB"/>
        </w:rPr>
        <w:t xml:space="preserve">زيادة </w:t>
      </w:r>
      <w:r w:rsidR="005B3BF1" w:rsidRPr="00136672">
        <w:rPr>
          <w:rFonts w:ascii="Arial" w:hAnsi="Arial" w:cs="Arial"/>
          <w:sz w:val="28"/>
          <w:szCs w:val="28"/>
          <w:rtl/>
          <w:lang w:bidi="ar-LB"/>
        </w:rPr>
        <w:t>صف لكل جهة فاعلة إضافية</w:t>
      </w:r>
    </w:p>
    <w:p w:rsidR="00934276" w:rsidRPr="00136672" w:rsidRDefault="00934276" w:rsidP="00934276">
      <w:pPr>
        <w:pStyle w:val="ListParagraph"/>
        <w:numPr>
          <w:ilvl w:val="0"/>
          <w:numId w:val="2"/>
        </w:numPr>
        <w:bidi/>
        <w:rPr>
          <w:rFonts w:ascii="Arial" w:hAnsi="Arial" w:cs="Arial"/>
          <w:sz w:val="28"/>
          <w:szCs w:val="28"/>
          <w:lang w:bidi="ar-LB"/>
        </w:rPr>
      </w:pPr>
      <w:r w:rsidRPr="00136672">
        <w:rPr>
          <w:rFonts w:ascii="Arial" w:hAnsi="Arial" w:cs="Arial"/>
          <w:sz w:val="28"/>
          <w:szCs w:val="28"/>
          <w:rtl/>
          <w:lang w:bidi="ar-LB"/>
        </w:rPr>
        <w:t>يمكن الحصول على مثال عن التدابير التشغيلية المعيارية للاتحاد الدولي لجمعيات الصليب الأحمر والهلال الأحمر في نهاية هذه الوثيقة.</w:t>
      </w:r>
    </w:p>
    <w:tbl>
      <w:tblPr>
        <w:tblStyle w:val="TableGrid"/>
        <w:bidiVisual/>
        <w:tblW w:w="0" w:type="auto"/>
        <w:tblLook w:val="04A0"/>
      </w:tblPr>
      <w:tblGrid>
        <w:gridCol w:w="4791"/>
        <w:gridCol w:w="4785"/>
      </w:tblGrid>
      <w:tr w:rsidR="00934276" w:rsidRPr="00136672" w:rsidTr="00934276">
        <w:tc>
          <w:tcPr>
            <w:tcW w:w="4927" w:type="dxa"/>
            <w:tcBorders>
              <w:bottom w:val="single" w:sz="4" w:space="0" w:color="auto"/>
            </w:tcBorders>
            <w:shd w:val="clear" w:color="auto" w:fill="DC281E"/>
          </w:tcPr>
          <w:p w:rsidR="00934276" w:rsidRPr="00136672" w:rsidRDefault="00934276" w:rsidP="0044240A">
            <w:pPr>
              <w:spacing w:before="120"/>
              <w:jc w:val="center"/>
              <w:rPr>
                <w:rFonts w:ascii="Arial" w:hAnsi="Arial" w:cs="Arial"/>
                <w:i/>
                <w:color w:val="FFFFFF" w:themeColor="background1"/>
                <w:sz w:val="28"/>
                <w:szCs w:val="28"/>
              </w:rPr>
            </w:pPr>
            <w:r w:rsidRPr="00136672">
              <w:rPr>
                <w:rFonts w:ascii="Arial" w:hAnsi="Arial" w:cs="Arial"/>
                <w:b/>
                <w:color w:val="FFFFFF" w:themeColor="background1"/>
                <w:sz w:val="28"/>
                <w:szCs w:val="28"/>
                <w:rtl/>
              </w:rPr>
              <w:t>الوظائف</w:t>
            </w:r>
          </w:p>
        </w:tc>
        <w:tc>
          <w:tcPr>
            <w:tcW w:w="4927" w:type="dxa"/>
            <w:tcBorders>
              <w:bottom w:val="single" w:sz="4" w:space="0" w:color="auto"/>
            </w:tcBorders>
            <w:shd w:val="clear" w:color="auto" w:fill="DC281E"/>
          </w:tcPr>
          <w:p w:rsidR="00934276" w:rsidRPr="00136672" w:rsidRDefault="00934276" w:rsidP="0044240A">
            <w:pPr>
              <w:spacing w:before="120"/>
              <w:jc w:val="center"/>
              <w:rPr>
                <w:rFonts w:ascii="Arial" w:hAnsi="Arial" w:cs="Arial"/>
                <w:i/>
                <w:color w:val="FFFFFF" w:themeColor="background1"/>
                <w:sz w:val="28"/>
                <w:szCs w:val="28"/>
              </w:rPr>
            </w:pPr>
            <w:r w:rsidRPr="00136672">
              <w:rPr>
                <w:rFonts w:ascii="Arial" w:hAnsi="Arial" w:cs="Arial"/>
                <w:b/>
                <w:color w:val="FFFFFF" w:themeColor="background1"/>
                <w:sz w:val="28"/>
                <w:szCs w:val="28"/>
                <w:rtl/>
              </w:rPr>
              <w:t>المهام (برامج التحويلات النقدية)</w:t>
            </w:r>
          </w:p>
        </w:tc>
      </w:tr>
      <w:tr w:rsidR="00934276" w:rsidRPr="00136672" w:rsidTr="00934276">
        <w:tc>
          <w:tcPr>
            <w:tcW w:w="4927" w:type="dxa"/>
            <w:shd w:val="clear" w:color="auto" w:fill="A6A6A6"/>
          </w:tcPr>
          <w:p w:rsidR="00934276" w:rsidRPr="00136672" w:rsidRDefault="00934276" w:rsidP="00985356">
            <w:pPr>
              <w:pStyle w:val="Heading3"/>
              <w:keepNext w:val="0"/>
              <w:bidi/>
              <w:spacing w:before="20" w:after="20"/>
              <w:outlineLvl w:val="2"/>
              <w:rPr>
                <w:sz w:val="28"/>
                <w:szCs w:val="28"/>
                <w:rtl/>
              </w:rPr>
            </w:pPr>
            <w:r w:rsidRPr="00136672">
              <w:rPr>
                <w:sz w:val="28"/>
                <w:szCs w:val="28"/>
                <w:rtl/>
              </w:rPr>
              <w:t>البرامج</w:t>
            </w:r>
          </w:p>
          <w:p w:rsidR="00934276" w:rsidRPr="00136672" w:rsidRDefault="00934276" w:rsidP="00985356">
            <w:pPr>
              <w:bidi/>
              <w:rPr>
                <w:rFonts w:ascii="Arial" w:hAnsi="Arial" w:cs="Arial"/>
                <w:sz w:val="28"/>
                <w:szCs w:val="28"/>
                <w:lang w:val="en-GB"/>
              </w:rPr>
            </w:pPr>
            <w:r w:rsidRPr="00136672">
              <w:rPr>
                <w:rFonts w:ascii="Arial" w:hAnsi="Arial" w:cs="Arial"/>
                <w:sz w:val="28"/>
                <w:szCs w:val="28"/>
                <w:rtl/>
                <w:lang w:val="en-GB"/>
              </w:rPr>
              <w:t>(التوا</w:t>
            </w:r>
            <w:r w:rsidR="00985356" w:rsidRPr="00136672">
              <w:rPr>
                <w:rFonts w:ascii="Arial" w:hAnsi="Arial" w:cs="Arial"/>
                <w:sz w:val="28"/>
                <w:szCs w:val="28"/>
                <w:rtl/>
                <w:lang w:val="en-GB"/>
              </w:rPr>
              <w:t xml:space="preserve">صل، التخطيط، المراقبة، التتبع، </w:t>
            </w:r>
            <w:r w:rsidRPr="00136672">
              <w:rPr>
                <w:rFonts w:ascii="Arial" w:hAnsi="Arial" w:cs="Arial"/>
                <w:sz w:val="28"/>
                <w:szCs w:val="28"/>
                <w:rtl/>
                <w:lang w:val="en-GB"/>
              </w:rPr>
              <w:t>إعداد التقارير)</w:t>
            </w:r>
          </w:p>
          <w:p w:rsidR="00934276" w:rsidRPr="00136672" w:rsidRDefault="00934276" w:rsidP="00985356">
            <w:pPr>
              <w:bidi/>
              <w:spacing w:before="20" w:after="20"/>
              <w:rPr>
                <w:rFonts w:ascii="Arial" w:hAnsi="Arial" w:cs="Arial"/>
                <w:i/>
                <w:sz w:val="28"/>
                <w:szCs w:val="28"/>
              </w:rPr>
            </w:pPr>
          </w:p>
        </w:tc>
        <w:tc>
          <w:tcPr>
            <w:tcW w:w="4927" w:type="dxa"/>
            <w:shd w:val="clear" w:color="auto" w:fill="F3F3F3"/>
          </w:tcPr>
          <w:p w:rsidR="00934276" w:rsidRPr="00136672" w:rsidRDefault="00934276" w:rsidP="0044240A">
            <w:pPr>
              <w:spacing w:before="20" w:after="20"/>
              <w:rPr>
                <w:rFonts w:ascii="Arial" w:hAnsi="Arial" w:cs="Arial"/>
                <w:i/>
                <w:sz w:val="28"/>
                <w:szCs w:val="28"/>
              </w:rPr>
            </w:pPr>
          </w:p>
        </w:tc>
      </w:tr>
      <w:tr w:rsidR="00934276" w:rsidRPr="00136672" w:rsidTr="00934276">
        <w:tc>
          <w:tcPr>
            <w:tcW w:w="4927" w:type="dxa"/>
            <w:shd w:val="clear" w:color="auto" w:fill="A6A6A6"/>
          </w:tcPr>
          <w:p w:rsidR="00934276" w:rsidRPr="00136672" w:rsidRDefault="00934276" w:rsidP="00985356">
            <w:pPr>
              <w:bidi/>
              <w:spacing w:before="20" w:after="20"/>
              <w:rPr>
                <w:rFonts w:ascii="Arial" w:hAnsi="Arial" w:cs="Arial"/>
                <w:i/>
                <w:sz w:val="28"/>
                <w:szCs w:val="28"/>
              </w:rPr>
            </w:pPr>
            <w:r w:rsidRPr="00136672">
              <w:rPr>
                <w:rFonts w:ascii="Arial" w:hAnsi="Arial" w:cs="Arial"/>
                <w:b/>
                <w:sz w:val="28"/>
                <w:szCs w:val="28"/>
                <w:rtl/>
              </w:rPr>
              <w:t>الشؤون اللوجيستية</w:t>
            </w:r>
          </w:p>
        </w:tc>
        <w:tc>
          <w:tcPr>
            <w:tcW w:w="4927" w:type="dxa"/>
            <w:shd w:val="clear" w:color="auto" w:fill="F3F3F3"/>
          </w:tcPr>
          <w:p w:rsidR="00934276" w:rsidRPr="00136672" w:rsidRDefault="00934276" w:rsidP="0044240A">
            <w:pPr>
              <w:spacing w:before="20" w:after="20"/>
              <w:rPr>
                <w:rFonts w:ascii="Arial" w:hAnsi="Arial" w:cs="Arial"/>
                <w:i/>
                <w:sz w:val="28"/>
                <w:szCs w:val="28"/>
              </w:rPr>
            </w:pPr>
          </w:p>
        </w:tc>
      </w:tr>
      <w:tr w:rsidR="00934276" w:rsidRPr="00136672" w:rsidTr="00934276">
        <w:tc>
          <w:tcPr>
            <w:tcW w:w="4927" w:type="dxa"/>
            <w:shd w:val="clear" w:color="auto" w:fill="A6A6A6"/>
          </w:tcPr>
          <w:p w:rsidR="00934276" w:rsidRPr="00136672" w:rsidRDefault="00934276" w:rsidP="00985356">
            <w:pPr>
              <w:bidi/>
              <w:spacing w:before="20" w:after="20"/>
              <w:rPr>
                <w:rFonts w:ascii="Arial" w:hAnsi="Arial" w:cs="Arial"/>
                <w:i/>
                <w:sz w:val="28"/>
                <w:szCs w:val="28"/>
              </w:rPr>
            </w:pPr>
            <w:r w:rsidRPr="00136672">
              <w:rPr>
                <w:rFonts w:ascii="Arial" w:hAnsi="Arial" w:cs="Arial"/>
                <w:b/>
                <w:sz w:val="28"/>
                <w:szCs w:val="28"/>
                <w:rtl/>
              </w:rPr>
              <w:t>الشؤون المالية</w:t>
            </w:r>
          </w:p>
        </w:tc>
        <w:tc>
          <w:tcPr>
            <w:tcW w:w="4927" w:type="dxa"/>
            <w:shd w:val="clear" w:color="auto" w:fill="F3F3F3"/>
          </w:tcPr>
          <w:p w:rsidR="00934276" w:rsidRPr="00136672" w:rsidRDefault="00934276" w:rsidP="0044240A">
            <w:pPr>
              <w:spacing w:before="20" w:after="20"/>
              <w:rPr>
                <w:rFonts w:ascii="Arial" w:hAnsi="Arial" w:cs="Arial"/>
                <w:i/>
                <w:sz w:val="28"/>
                <w:szCs w:val="28"/>
              </w:rPr>
            </w:pPr>
          </w:p>
        </w:tc>
      </w:tr>
      <w:tr w:rsidR="00934276" w:rsidRPr="00136672" w:rsidTr="00934276">
        <w:tc>
          <w:tcPr>
            <w:tcW w:w="4927" w:type="dxa"/>
            <w:shd w:val="clear" w:color="auto" w:fill="A6A6A6"/>
          </w:tcPr>
          <w:p w:rsidR="00934276" w:rsidRPr="00136672" w:rsidRDefault="00934276" w:rsidP="00985356">
            <w:pPr>
              <w:bidi/>
              <w:spacing w:before="20" w:after="20"/>
              <w:rPr>
                <w:rFonts w:ascii="Arial" w:hAnsi="Arial" w:cs="Arial"/>
                <w:i/>
                <w:sz w:val="28"/>
                <w:szCs w:val="28"/>
              </w:rPr>
            </w:pPr>
            <w:r w:rsidRPr="00136672">
              <w:rPr>
                <w:rFonts w:ascii="Arial" w:hAnsi="Arial" w:cs="Arial"/>
                <w:b/>
                <w:sz w:val="28"/>
                <w:szCs w:val="28"/>
                <w:rtl/>
                <w:lang w:val="en-GB"/>
              </w:rPr>
              <w:t>الأمن</w:t>
            </w:r>
          </w:p>
        </w:tc>
        <w:tc>
          <w:tcPr>
            <w:tcW w:w="4927" w:type="dxa"/>
            <w:shd w:val="clear" w:color="auto" w:fill="F3F3F3"/>
          </w:tcPr>
          <w:p w:rsidR="00934276" w:rsidRPr="00136672" w:rsidRDefault="00934276" w:rsidP="0044240A">
            <w:pPr>
              <w:spacing w:before="20" w:after="20"/>
              <w:rPr>
                <w:rFonts w:ascii="Arial" w:hAnsi="Arial" w:cs="Arial"/>
                <w:i/>
                <w:sz w:val="28"/>
                <w:szCs w:val="28"/>
              </w:rPr>
            </w:pPr>
          </w:p>
        </w:tc>
      </w:tr>
      <w:tr w:rsidR="00934276" w:rsidRPr="00136672" w:rsidTr="00934276">
        <w:tc>
          <w:tcPr>
            <w:tcW w:w="4927" w:type="dxa"/>
            <w:shd w:val="clear" w:color="auto" w:fill="A6A6A6"/>
          </w:tcPr>
          <w:p w:rsidR="00934276" w:rsidRPr="00136672" w:rsidRDefault="00934276" w:rsidP="00985356">
            <w:pPr>
              <w:bidi/>
              <w:spacing w:before="20" w:after="20"/>
              <w:rPr>
                <w:rFonts w:ascii="Arial" w:hAnsi="Arial" w:cs="Arial"/>
                <w:i/>
                <w:sz w:val="28"/>
                <w:szCs w:val="28"/>
              </w:rPr>
            </w:pPr>
            <w:r w:rsidRPr="00136672">
              <w:rPr>
                <w:rFonts w:ascii="Arial" w:hAnsi="Arial" w:cs="Arial"/>
                <w:b/>
                <w:sz w:val="28"/>
                <w:szCs w:val="28"/>
                <w:rtl/>
                <w:lang w:val="en-GB"/>
              </w:rPr>
              <w:t>إدارة المخاطر والتدقيق</w:t>
            </w:r>
          </w:p>
        </w:tc>
        <w:tc>
          <w:tcPr>
            <w:tcW w:w="4927" w:type="dxa"/>
            <w:shd w:val="clear" w:color="auto" w:fill="F3F3F3"/>
          </w:tcPr>
          <w:p w:rsidR="00934276" w:rsidRPr="00136672" w:rsidRDefault="00934276" w:rsidP="0044240A">
            <w:pPr>
              <w:spacing w:before="20" w:after="20"/>
              <w:rPr>
                <w:rFonts w:ascii="Arial" w:hAnsi="Arial" w:cs="Arial"/>
                <w:i/>
                <w:sz w:val="28"/>
                <w:szCs w:val="28"/>
              </w:rPr>
            </w:pPr>
          </w:p>
        </w:tc>
      </w:tr>
      <w:tr w:rsidR="00934276" w:rsidRPr="00136672" w:rsidTr="00934276">
        <w:tc>
          <w:tcPr>
            <w:tcW w:w="4927" w:type="dxa"/>
            <w:shd w:val="clear" w:color="auto" w:fill="A6A6A6"/>
          </w:tcPr>
          <w:p w:rsidR="00934276" w:rsidRPr="00136672" w:rsidRDefault="00934276" w:rsidP="00985356">
            <w:pPr>
              <w:bidi/>
              <w:spacing w:before="20" w:after="20"/>
              <w:rPr>
                <w:rFonts w:ascii="Arial" w:hAnsi="Arial" w:cs="Arial"/>
                <w:i/>
                <w:sz w:val="28"/>
                <w:szCs w:val="28"/>
              </w:rPr>
            </w:pPr>
            <w:r w:rsidRPr="00136672">
              <w:rPr>
                <w:rFonts w:ascii="Arial" w:hAnsi="Arial" w:cs="Arial"/>
                <w:b/>
                <w:sz w:val="28"/>
                <w:szCs w:val="28"/>
                <w:rtl/>
                <w:lang w:val="en-GB"/>
              </w:rPr>
              <w:t>الشؤون القانونية</w:t>
            </w:r>
          </w:p>
        </w:tc>
        <w:tc>
          <w:tcPr>
            <w:tcW w:w="4927" w:type="dxa"/>
            <w:shd w:val="clear" w:color="auto" w:fill="F3F3F3"/>
          </w:tcPr>
          <w:p w:rsidR="00934276" w:rsidRPr="00136672" w:rsidRDefault="00934276" w:rsidP="0044240A">
            <w:pPr>
              <w:spacing w:before="20" w:after="20"/>
              <w:rPr>
                <w:rFonts w:ascii="Arial" w:hAnsi="Arial" w:cs="Arial"/>
                <w:i/>
                <w:sz w:val="28"/>
                <w:szCs w:val="28"/>
              </w:rPr>
            </w:pPr>
          </w:p>
        </w:tc>
      </w:tr>
      <w:tr w:rsidR="00934276" w:rsidRPr="00136672" w:rsidTr="00934276">
        <w:tc>
          <w:tcPr>
            <w:tcW w:w="4927" w:type="dxa"/>
            <w:shd w:val="clear" w:color="auto" w:fill="A6A6A6"/>
          </w:tcPr>
          <w:p w:rsidR="00934276" w:rsidRPr="00136672" w:rsidRDefault="00934276" w:rsidP="00985356">
            <w:pPr>
              <w:bidi/>
              <w:spacing w:before="20" w:after="20"/>
              <w:rPr>
                <w:rFonts w:ascii="Arial" w:hAnsi="Arial" w:cs="Arial"/>
                <w:i/>
                <w:sz w:val="28"/>
                <w:szCs w:val="28"/>
              </w:rPr>
            </w:pPr>
            <w:r w:rsidRPr="00136672">
              <w:rPr>
                <w:rFonts w:ascii="Arial" w:hAnsi="Arial" w:cs="Arial"/>
                <w:b/>
                <w:sz w:val="28"/>
                <w:szCs w:val="28"/>
                <w:rtl/>
                <w:lang w:val="en-GB"/>
              </w:rPr>
              <w:lastRenderedPageBreak/>
              <w:t>تكنولوجيا المعلومات والاتصالات</w:t>
            </w:r>
          </w:p>
        </w:tc>
        <w:tc>
          <w:tcPr>
            <w:tcW w:w="4927" w:type="dxa"/>
            <w:shd w:val="clear" w:color="auto" w:fill="F3F3F3"/>
          </w:tcPr>
          <w:p w:rsidR="00934276" w:rsidRPr="00136672" w:rsidRDefault="00934276" w:rsidP="0044240A">
            <w:pPr>
              <w:spacing w:before="20" w:after="20"/>
              <w:rPr>
                <w:rFonts w:ascii="Arial" w:hAnsi="Arial" w:cs="Arial"/>
                <w:i/>
                <w:sz w:val="28"/>
                <w:szCs w:val="28"/>
              </w:rPr>
            </w:pPr>
          </w:p>
        </w:tc>
      </w:tr>
      <w:tr w:rsidR="00934276" w:rsidRPr="00136672" w:rsidTr="00934276">
        <w:tc>
          <w:tcPr>
            <w:tcW w:w="4927" w:type="dxa"/>
            <w:shd w:val="clear" w:color="auto" w:fill="A6A6A6"/>
          </w:tcPr>
          <w:p w:rsidR="00934276" w:rsidRPr="00136672" w:rsidRDefault="00934276" w:rsidP="00985356">
            <w:pPr>
              <w:bidi/>
              <w:spacing w:before="20" w:after="20"/>
              <w:rPr>
                <w:rFonts w:ascii="Arial" w:hAnsi="Arial" w:cs="Arial"/>
                <w:i/>
                <w:sz w:val="28"/>
                <w:szCs w:val="28"/>
              </w:rPr>
            </w:pPr>
            <w:r w:rsidRPr="00136672">
              <w:rPr>
                <w:rFonts w:ascii="Arial" w:hAnsi="Arial" w:cs="Arial"/>
                <w:b/>
                <w:sz w:val="28"/>
                <w:szCs w:val="28"/>
                <w:rtl/>
                <w:lang w:val="en-GB"/>
              </w:rPr>
              <w:t>تعبئة الموارد</w:t>
            </w:r>
          </w:p>
        </w:tc>
        <w:tc>
          <w:tcPr>
            <w:tcW w:w="4927" w:type="dxa"/>
            <w:shd w:val="clear" w:color="auto" w:fill="F3F3F3"/>
          </w:tcPr>
          <w:p w:rsidR="00934276" w:rsidRPr="00136672" w:rsidRDefault="00934276" w:rsidP="0044240A">
            <w:pPr>
              <w:spacing w:before="20" w:after="20"/>
              <w:rPr>
                <w:rFonts w:ascii="Arial" w:hAnsi="Arial" w:cs="Arial"/>
                <w:i/>
                <w:sz w:val="28"/>
                <w:szCs w:val="28"/>
              </w:rPr>
            </w:pPr>
          </w:p>
        </w:tc>
      </w:tr>
    </w:tbl>
    <w:p w:rsidR="00934276" w:rsidRPr="00136672" w:rsidRDefault="00934276" w:rsidP="00934276">
      <w:pPr>
        <w:pStyle w:val="ListParagraph"/>
        <w:bidi/>
        <w:rPr>
          <w:rFonts w:ascii="Arial" w:hAnsi="Arial" w:cs="Arial"/>
          <w:sz w:val="28"/>
          <w:szCs w:val="28"/>
          <w:rtl/>
          <w:lang w:bidi="ar-LB"/>
        </w:rPr>
      </w:pPr>
    </w:p>
    <w:p w:rsidR="00FD3D60" w:rsidRPr="00136672" w:rsidRDefault="00FD3D60" w:rsidP="00FD3D60">
      <w:pPr>
        <w:pStyle w:val="ListParagraph"/>
        <w:bidi/>
        <w:rPr>
          <w:rFonts w:ascii="Arial" w:hAnsi="Arial" w:cs="Arial"/>
          <w:sz w:val="28"/>
          <w:szCs w:val="28"/>
          <w:rtl/>
          <w:lang w:bidi="ar-LB"/>
        </w:rPr>
      </w:pPr>
      <w:r w:rsidRPr="00136672">
        <w:rPr>
          <w:rFonts w:ascii="Arial" w:hAnsi="Arial" w:cs="Arial"/>
          <w:sz w:val="28"/>
          <w:szCs w:val="28"/>
          <w:rtl/>
          <w:lang w:bidi="ar-LB"/>
        </w:rPr>
        <w:t xml:space="preserve">التحويلات النقدية عبر </w:t>
      </w:r>
      <w:r w:rsidR="007850C0" w:rsidRPr="00136672">
        <w:rPr>
          <w:rFonts w:ascii="Arial" w:hAnsi="Arial" w:cs="Arial"/>
          <w:sz w:val="28"/>
          <w:szCs w:val="28"/>
          <w:rtl/>
          <w:lang w:bidi="ar-LB"/>
        </w:rPr>
        <w:t>طرف ثالث</w:t>
      </w:r>
    </w:p>
    <w:p w:rsidR="007850C0" w:rsidRPr="00136672" w:rsidRDefault="007850C0" w:rsidP="007850C0">
      <w:pPr>
        <w:pStyle w:val="ListParagraph"/>
        <w:numPr>
          <w:ilvl w:val="0"/>
          <w:numId w:val="2"/>
        </w:numPr>
        <w:bidi/>
        <w:rPr>
          <w:rFonts w:ascii="Arial" w:hAnsi="Arial" w:cs="Arial"/>
          <w:sz w:val="28"/>
          <w:szCs w:val="28"/>
          <w:rtl/>
          <w:lang w:bidi="ar-LB"/>
        </w:rPr>
      </w:pPr>
      <w:r w:rsidRPr="00136672">
        <w:rPr>
          <w:rFonts w:ascii="Arial" w:hAnsi="Arial" w:cs="Arial"/>
          <w:sz w:val="28"/>
          <w:szCs w:val="28"/>
          <w:rtl/>
          <w:lang w:bidi="ar-LB"/>
        </w:rPr>
        <w:t>تحديد الوظائف الساسية التي تضطلع بها الجهات المختلفة عند تطبيق برامج التحويلات النقدية</w:t>
      </w:r>
    </w:p>
    <w:p w:rsidR="007850C0" w:rsidRPr="00136672" w:rsidRDefault="007850C0" w:rsidP="007850C0">
      <w:pPr>
        <w:pStyle w:val="ListParagraph"/>
        <w:numPr>
          <w:ilvl w:val="0"/>
          <w:numId w:val="2"/>
        </w:numPr>
        <w:bidi/>
        <w:rPr>
          <w:rFonts w:ascii="Arial" w:hAnsi="Arial" w:cs="Arial"/>
          <w:sz w:val="28"/>
          <w:szCs w:val="28"/>
          <w:lang w:bidi="ar-LB"/>
        </w:rPr>
      </w:pPr>
      <w:r w:rsidRPr="00136672">
        <w:rPr>
          <w:rFonts w:ascii="Arial" w:hAnsi="Arial" w:cs="Arial"/>
          <w:sz w:val="28"/>
          <w:szCs w:val="28"/>
          <w:rtl/>
          <w:lang w:bidi="ar-LB"/>
        </w:rPr>
        <w:t>زيادة عمود لكل جهة فاعلة إضافية. ويمكن الحصول على نموذج مكتمل في هذا الشأن على شكل جدول في الملحق (راجع التدابير التشغيلية المعيارية للجنة الدولية للصليب الأحمر والاتحاد الدولي لجمعيات الصليب الحمر والهلال الأحمر للحصول على أمثلة حول الرسوم البيانية ذات الصلة). ويمكن تعديل الوظائف الرئيسية للتناسب مع السياق.</w:t>
      </w:r>
    </w:p>
    <w:tbl>
      <w:tblPr>
        <w:tblStyle w:val="TableGrid"/>
        <w:bidiVisual/>
        <w:tblW w:w="0" w:type="auto"/>
        <w:tblLook w:val="04A0"/>
      </w:tblPr>
      <w:tblGrid>
        <w:gridCol w:w="2148"/>
        <w:gridCol w:w="2097"/>
        <w:gridCol w:w="1788"/>
        <w:gridCol w:w="1815"/>
        <w:gridCol w:w="1728"/>
      </w:tblGrid>
      <w:tr w:rsidR="007850C0" w:rsidRPr="00136672" w:rsidTr="007850C0">
        <w:tc>
          <w:tcPr>
            <w:tcW w:w="2235" w:type="dxa"/>
            <w:tcBorders>
              <w:bottom w:val="single" w:sz="4" w:space="0" w:color="auto"/>
            </w:tcBorders>
            <w:shd w:val="clear" w:color="auto" w:fill="DC281E"/>
            <w:vAlign w:val="center"/>
          </w:tcPr>
          <w:p w:rsidR="007850C0" w:rsidRPr="00136672" w:rsidRDefault="007850C0" w:rsidP="0044240A">
            <w:pPr>
              <w:pStyle w:val="Heading3"/>
              <w:spacing w:before="120"/>
              <w:jc w:val="center"/>
              <w:outlineLvl w:val="2"/>
              <w:rPr>
                <w:i/>
                <w:color w:val="FFFFFF" w:themeColor="background1"/>
                <w:sz w:val="28"/>
                <w:szCs w:val="28"/>
              </w:rPr>
            </w:pPr>
            <w:r w:rsidRPr="00136672">
              <w:rPr>
                <w:color w:val="FFFFFF" w:themeColor="background1"/>
                <w:sz w:val="28"/>
                <w:szCs w:val="28"/>
                <w:rtl/>
              </w:rPr>
              <w:t>الوظ</w:t>
            </w:r>
            <w:r w:rsidR="00DA29CC" w:rsidRPr="00136672">
              <w:rPr>
                <w:color w:val="FFFFFF" w:themeColor="background1"/>
                <w:sz w:val="28"/>
                <w:szCs w:val="28"/>
                <w:rtl/>
              </w:rPr>
              <w:t>ا</w:t>
            </w:r>
            <w:r w:rsidRPr="00136672">
              <w:rPr>
                <w:color w:val="FFFFFF" w:themeColor="background1"/>
                <w:sz w:val="28"/>
                <w:szCs w:val="28"/>
                <w:rtl/>
              </w:rPr>
              <w:t>ئف الرئيسية</w:t>
            </w:r>
          </w:p>
        </w:tc>
        <w:tc>
          <w:tcPr>
            <w:tcW w:w="2126" w:type="dxa"/>
            <w:tcBorders>
              <w:bottom w:val="single" w:sz="4" w:space="0" w:color="auto"/>
            </w:tcBorders>
            <w:shd w:val="clear" w:color="auto" w:fill="DC281E"/>
            <w:vAlign w:val="center"/>
          </w:tcPr>
          <w:p w:rsidR="007850C0" w:rsidRPr="00136672" w:rsidRDefault="007850C0" w:rsidP="007850C0">
            <w:pPr>
              <w:pStyle w:val="Heading3"/>
              <w:bidi/>
              <w:spacing w:before="120"/>
              <w:jc w:val="center"/>
              <w:outlineLvl w:val="2"/>
              <w:rPr>
                <w:i/>
                <w:color w:val="FFFFFF" w:themeColor="background1"/>
                <w:sz w:val="28"/>
                <w:szCs w:val="28"/>
              </w:rPr>
            </w:pPr>
            <w:r w:rsidRPr="00136672">
              <w:rPr>
                <w:color w:val="FFFFFF" w:themeColor="background1"/>
                <w:sz w:val="28"/>
                <w:szCs w:val="28"/>
                <w:rtl/>
              </w:rPr>
              <w:t xml:space="preserve">البرامج  </w:t>
            </w:r>
            <w:r w:rsidRPr="00136672">
              <w:rPr>
                <w:color w:val="FFFFFF" w:themeColor="background1"/>
                <w:sz w:val="28"/>
                <w:szCs w:val="28"/>
              </w:rPr>
              <w:t>DM/</w:t>
            </w:r>
            <w:proofErr w:type="spellStart"/>
            <w:r w:rsidRPr="00136672">
              <w:rPr>
                <w:color w:val="FFFFFF" w:themeColor="background1"/>
                <w:sz w:val="28"/>
                <w:szCs w:val="28"/>
              </w:rPr>
              <w:t>EcoSec</w:t>
            </w:r>
            <w:proofErr w:type="spellEnd"/>
          </w:p>
        </w:tc>
        <w:tc>
          <w:tcPr>
            <w:tcW w:w="1843" w:type="dxa"/>
            <w:tcBorders>
              <w:bottom w:val="single" w:sz="4" w:space="0" w:color="auto"/>
            </w:tcBorders>
            <w:shd w:val="clear" w:color="auto" w:fill="DC281E"/>
            <w:vAlign w:val="center"/>
          </w:tcPr>
          <w:p w:rsidR="007850C0" w:rsidRPr="00136672" w:rsidRDefault="007850C0" w:rsidP="0044240A">
            <w:pPr>
              <w:pStyle w:val="Heading3"/>
              <w:spacing w:before="120"/>
              <w:jc w:val="center"/>
              <w:outlineLvl w:val="2"/>
              <w:rPr>
                <w:i/>
                <w:color w:val="FFFFFF" w:themeColor="background1"/>
                <w:sz w:val="28"/>
                <w:szCs w:val="28"/>
              </w:rPr>
            </w:pPr>
            <w:r w:rsidRPr="00136672">
              <w:rPr>
                <w:color w:val="FFFFFF" w:themeColor="background1"/>
                <w:sz w:val="28"/>
                <w:szCs w:val="28"/>
                <w:rtl/>
              </w:rPr>
              <w:t>الشؤون اللوجيستية</w:t>
            </w:r>
          </w:p>
        </w:tc>
        <w:tc>
          <w:tcPr>
            <w:tcW w:w="1842" w:type="dxa"/>
            <w:tcBorders>
              <w:bottom w:val="single" w:sz="4" w:space="0" w:color="auto"/>
            </w:tcBorders>
            <w:shd w:val="clear" w:color="auto" w:fill="DC281E"/>
            <w:vAlign w:val="center"/>
          </w:tcPr>
          <w:p w:rsidR="007850C0" w:rsidRPr="00136672" w:rsidRDefault="007850C0" w:rsidP="0044240A">
            <w:pPr>
              <w:pStyle w:val="Heading3"/>
              <w:spacing w:before="120"/>
              <w:jc w:val="center"/>
              <w:outlineLvl w:val="2"/>
              <w:rPr>
                <w:i/>
                <w:color w:val="FFFFFF" w:themeColor="background1"/>
                <w:sz w:val="28"/>
                <w:szCs w:val="28"/>
              </w:rPr>
            </w:pPr>
            <w:r w:rsidRPr="00136672">
              <w:rPr>
                <w:color w:val="FFFFFF" w:themeColor="background1"/>
                <w:sz w:val="28"/>
                <w:szCs w:val="28"/>
                <w:rtl/>
              </w:rPr>
              <w:t>الشؤون المالية/الإدارية</w:t>
            </w:r>
          </w:p>
        </w:tc>
        <w:tc>
          <w:tcPr>
            <w:tcW w:w="1808" w:type="dxa"/>
            <w:tcBorders>
              <w:bottom w:val="single" w:sz="4" w:space="0" w:color="auto"/>
            </w:tcBorders>
            <w:shd w:val="clear" w:color="auto" w:fill="DC281E"/>
            <w:vAlign w:val="center"/>
          </w:tcPr>
          <w:p w:rsidR="007850C0" w:rsidRPr="00136672" w:rsidRDefault="007850C0" w:rsidP="0044240A">
            <w:pPr>
              <w:pStyle w:val="Heading3"/>
              <w:spacing w:before="120"/>
              <w:jc w:val="center"/>
              <w:outlineLvl w:val="2"/>
              <w:rPr>
                <w:i/>
                <w:color w:val="FFFFFF" w:themeColor="background1"/>
                <w:sz w:val="28"/>
                <w:szCs w:val="28"/>
              </w:rPr>
            </w:pPr>
            <w:r w:rsidRPr="00136672">
              <w:rPr>
                <w:color w:val="FFFFFF" w:themeColor="background1"/>
                <w:sz w:val="28"/>
                <w:szCs w:val="28"/>
                <w:rtl/>
              </w:rPr>
              <w:t>غيرها</w:t>
            </w:r>
          </w:p>
        </w:tc>
      </w:tr>
      <w:tr w:rsidR="007850C0" w:rsidRPr="00136672" w:rsidTr="007850C0">
        <w:tc>
          <w:tcPr>
            <w:tcW w:w="2235" w:type="dxa"/>
            <w:shd w:val="clear" w:color="auto" w:fill="A6A6A6"/>
          </w:tcPr>
          <w:p w:rsidR="007850C0" w:rsidRPr="00136672" w:rsidRDefault="000946DA" w:rsidP="0044240A">
            <w:pPr>
              <w:spacing w:before="20" w:after="20"/>
              <w:rPr>
                <w:rFonts w:ascii="Arial" w:hAnsi="Arial" w:cs="Arial"/>
                <w:i/>
                <w:sz w:val="28"/>
                <w:szCs w:val="28"/>
              </w:rPr>
            </w:pPr>
            <w:r w:rsidRPr="00136672">
              <w:rPr>
                <w:rFonts w:ascii="Arial" w:hAnsi="Arial" w:cs="Arial"/>
                <w:sz w:val="28"/>
                <w:szCs w:val="28"/>
                <w:rtl/>
              </w:rPr>
              <w:t>تحديد نوع البرامج</w:t>
            </w:r>
          </w:p>
        </w:tc>
        <w:tc>
          <w:tcPr>
            <w:tcW w:w="2126" w:type="dxa"/>
            <w:shd w:val="clear" w:color="auto" w:fill="F3F3F3"/>
          </w:tcPr>
          <w:p w:rsidR="007850C0" w:rsidRPr="00136672" w:rsidRDefault="007850C0" w:rsidP="0044240A">
            <w:pPr>
              <w:spacing w:before="20" w:after="20"/>
              <w:rPr>
                <w:rFonts w:ascii="Arial" w:hAnsi="Arial" w:cs="Arial"/>
                <w:i/>
                <w:sz w:val="28"/>
                <w:szCs w:val="28"/>
              </w:rPr>
            </w:pPr>
          </w:p>
        </w:tc>
        <w:tc>
          <w:tcPr>
            <w:tcW w:w="1843" w:type="dxa"/>
            <w:shd w:val="clear" w:color="auto" w:fill="F3F3F3"/>
          </w:tcPr>
          <w:p w:rsidR="007850C0" w:rsidRPr="00136672" w:rsidRDefault="007850C0" w:rsidP="0044240A">
            <w:pPr>
              <w:spacing w:before="20" w:after="20"/>
              <w:rPr>
                <w:rFonts w:ascii="Arial" w:hAnsi="Arial" w:cs="Arial"/>
                <w:i/>
                <w:sz w:val="28"/>
                <w:szCs w:val="28"/>
              </w:rPr>
            </w:pPr>
          </w:p>
        </w:tc>
        <w:tc>
          <w:tcPr>
            <w:tcW w:w="1842" w:type="dxa"/>
            <w:shd w:val="clear" w:color="auto" w:fill="F3F3F3"/>
          </w:tcPr>
          <w:p w:rsidR="007850C0" w:rsidRPr="00136672" w:rsidRDefault="007850C0" w:rsidP="0044240A">
            <w:pPr>
              <w:spacing w:before="20" w:after="20"/>
              <w:rPr>
                <w:rFonts w:ascii="Arial" w:hAnsi="Arial" w:cs="Arial"/>
                <w:i/>
                <w:sz w:val="28"/>
                <w:szCs w:val="28"/>
              </w:rPr>
            </w:pPr>
          </w:p>
        </w:tc>
        <w:tc>
          <w:tcPr>
            <w:tcW w:w="1808" w:type="dxa"/>
            <w:shd w:val="clear" w:color="auto" w:fill="F3F3F3"/>
          </w:tcPr>
          <w:p w:rsidR="007850C0" w:rsidRPr="00136672" w:rsidRDefault="007850C0" w:rsidP="0044240A">
            <w:pPr>
              <w:spacing w:before="20" w:after="20"/>
              <w:rPr>
                <w:rFonts w:ascii="Arial" w:hAnsi="Arial" w:cs="Arial"/>
                <w:i/>
                <w:sz w:val="28"/>
                <w:szCs w:val="28"/>
              </w:rPr>
            </w:pPr>
          </w:p>
        </w:tc>
      </w:tr>
      <w:tr w:rsidR="007850C0" w:rsidRPr="00136672" w:rsidTr="007850C0">
        <w:tc>
          <w:tcPr>
            <w:tcW w:w="2235" w:type="dxa"/>
            <w:shd w:val="clear" w:color="auto" w:fill="A6A6A6"/>
          </w:tcPr>
          <w:p w:rsidR="007850C0" w:rsidRPr="00136672" w:rsidRDefault="000946DA" w:rsidP="0044240A">
            <w:pPr>
              <w:spacing w:before="20" w:after="20"/>
              <w:rPr>
                <w:rFonts w:ascii="Arial" w:hAnsi="Arial" w:cs="Arial"/>
                <w:i/>
                <w:sz w:val="28"/>
                <w:szCs w:val="28"/>
              </w:rPr>
            </w:pPr>
            <w:r w:rsidRPr="00136672">
              <w:rPr>
                <w:rFonts w:ascii="Arial" w:hAnsi="Arial" w:cs="Arial"/>
                <w:sz w:val="28"/>
                <w:szCs w:val="28"/>
                <w:rtl/>
              </w:rPr>
              <w:t>تحديد قيمة التحويل النقدي</w:t>
            </w:r>
          </w:p>
        </w:tc>
        <w:tc>
          <w:tcPr>
            <w:tcW w:w="2126" w:type="dxa"/>
            <w:shd w:val="clear" w:color="auto" w:fill="F3F3F3"/>
          </w:tcPr>
          <w:p w:rsidR="007850C0" w:rsidRPr="00136672" w:rsidRDefault="007850C0" w:rsidP="0044240A">
            <w:pPr>
              <w:spacing w:before="20" w:after="20"/>
              <w:rPr>
                <w:rFonts w:ascii="Arial" w:hAnsi="Arial" w:cs="Arial"/>
                <w:i/>
                <w:sz w:val="28"/>
                <w:szCs w:val="28"/>
              </w:rPr>
            </w:pPr>
          </w:p>
        </w:tc>
        <w:tc>
          <w:tcPr>
            <w:tcW w:w="1843" w:type="dxa"/>
            <w:shd w:val="clear" w:color="auto" w:fill="F3F3F3"/>
          </w:tcPr>
          <w:p w:rsidR="007850C0" w:rsidRPr="00136672" w:rsidRDefault="007850C0" w:rsidP="0044240A">
            <w:pPr>
              <w:spacing w:before="20" w:after="20"/>
              <w:rPr>
                <w:rFonts w:ascii="Arial" w:hAnsi="Arial" w:cs="Arial"/>
                <w:i/>
                <w:sz w:val="28"/>
                <w:szCs w:val="28"/>
              </w:rPr>
            </w:pPr>
          </w:p>
        </w:tc>
        <w:tc>
          <w:tcPr>
            <w:tcW w:w="1842" w:type="dxa"/>
            <w:shd w:val="clear" w:color="auto" w:fill="F3F3F3"/>
          </w:tcPr>
          <w:p w:rsidR="007850C0" w:rsidRPr="00136672" w:rsidRDefault="007850C0" w:rsidP="0044240A">
            <w:pPr>
              <w:spacing w:before="20" w:after="20"/>
              <w:rPr>
                <w:rFonts w:ascii="Arial" w:hAnsi="Arial" w:cs="Arial"/>
                <w:i/>
                <w:sz w:val="28"/>
                <w:szCs w:val="28"/>
              </w:rPr>
            </w:pPr>
          </w:p>
        </w:tc>
        <w:tc>
          <w:tcPr>
            <w:tcW w:w="1808" w:type="dxa"/>
            <w:shd w:val="clear" w:color="auto" w:fill="F3F3F3"/>
          </w:tcPr>
          <w:p w:rsidR="007850C0" w:rsidRPr="00136672" w:rsidRDefault="007850C0" w:rsidP="0044240A">
            <w:pPr>
              <w:spacing w:before="20" w:after="20"/>
              <w:rPr>
                <w:rFonts w:ascii="Arial" w:hAnsi="Arial" w:cs="Arial"/>
                <w:i/>
                <w:sz w:val="28"/>
                <w:szCs w:val="28"/>
              </w:rPr>
            </w:pPr>
          </w:p>
        </w:tc>
      </w:tr>
      <w:tr w:rsidR="007850C0" w:rsidRPr="00136672" w:rsidTr="007850C0">
        <w:tc>
          <w:tcPr>
            <w:tcW w:w="2235" w:type="dxa"/>
            <w:shd w:val="clear" w:color="auto" w:fill="A6A6A6"/>
          </w:tcPr>
          <w:p w:rsidR="007850C0" w:rsidRPr="00136672" w:rsidRDefault="000946DA" w:rsidP="0044240A">
            <w:pPr>
              <w:spacing w:before="20" w:after="20"/>
              <w:rPr>
                <w:rFonts w:ascii="Arial" w:hAnsi="Arial" w:cs="Arial"/>
                <w:i/>
                <w:sz w:val="28"/>
                <w:szCs w:val="28"/>
              </w:rPr>
            </w:pPr>
            <w:r w:rsidRPr="00136672">
              <w:rPr>
                <w:rFonts w:ascii="Arial" w:hAnsi="Arial" w:cs="Arial"/>
                <w:sz w:val="28"/>
                <w:szCs w:val="28"/>
                <w:rtl/>
              </w:rPr>
              <w:t>تقييم السوق</w:t>
            </w:r>
          </w:p>
        </w:tc>
        <w:tc>
          <w:tcPr>
            <w:tcW w:w="2126" w:type="dxa"/>
            <w:shd w:val="clear" w:color="auto" w:fill="F3F3F3"/>
          </w:tcPr>
          <w:p w:rsidR="007850C0" w:rsidRPr="00136672" w:rsidRDefault="007850C0" w:rsidP="0044240A">
            <w:pPr>
              <w:spacing w:before="20" w:after="20"/>
              <w:rPr>
                <w:rFonts w:ascii="Arial" w:hAnsi="Arial" w:cs="Arial"/>
                <w:i/>
                <w:sz w:val="28"/>
                <w:szCs w:val="28"/>
              </w:rPr>
            </w:pPr>
          </w:p>
        </w:tc>
        <w:tc>
          <w:tcPr>
            <w:tcW w:w="1843" w:type="dxa"/>
            <w:shd w:val="clear" w:color="auto" w:fill="F3F3F3"/>
          </w:tcPr>
          <w:p w:rsidR="007850C0" w:rsidRPr="00136672" w:rsidRDefault="007850C0" w:rsidP="0044240A">
            <w:pPr>
              <w:spacing w:before="20" w:after="20"/>
              <w:rPr>
                <w:rFonts w:ascii="Arial" w:hAnsi="Arial" w:cs="Arial"/>
                <w:i/>
                <w:sz w:val="28"/>
                <w:szCs w:val="28"/>
              </w:rPr>
            </w:pPr>
          </w:p>
        </w:tc>
        <w:tc>
          <w:tcPr>
            <w:tcW w:w="1842" w:type="dxa"/>
            <w:shd w:val="clear" w:color="auto" w:fill="F3F3F3"/>
          </w:tcPr>
          <w:p w:rsidR="007850C0" w:rsidRPr="00136672" w:rsidRDefault="007850C0" w:rsidP="0044240A">
            <w:pPr>
              <w:spacing w:before="20" w:after="20"/>
              <w:rPr>
                <w:rFonts w:ascii="Arial" w:hAnsi="Arial" w:cs="Arial"/>
                <w:i/>
                <w:sz w:val="28"/>
                <w:szCs w:val="28"/>
              </w:rPr>
            </w:pPr>
          </w:p>
        </w:tc>
        <w:tc>
          <w:tcPr>
            <w:tcW w:w="1808" w:type="dxa"/>
            <w:shd w:val="clear" w:color="auto" w:fill="F3F3F3"/>
          </w:tcPr>
          <w:p w:rsidR="007850C0" w:rsidRPr="00136672" w:rsidRDefault="007850C0" w:rsidP="0044240A">
            <w:pPr>
              <w:spacing w:before="20" w:after="20"/>
              <w:rPr>
                <w:rFonts w:ascii="Arial" w:hAnsi="Arial" w:cs="Arial"/>
                <w:i/>
                <w:sz w:val="28"/>
                <w:szCs w:val="28"/>
              </w:rPr>
            </w:pPr>
          </w:p>
        </w:tc>
      </w:tr>
      <w:tr w:rsidR="007850C0" w:rsidRPr="00136672" w:rsidTr="007850C0">
        <w:tc>
          <w:tcPr>
            <w:tcW w:w="2235" w:type="dxa"/>
            <w:shd w:val="clear" w:color="auto" w:fill="A6A6A6"/>
          </w:tcPr>
          <w:p w:rsidR="007850C0" w:rsidRPr="00136672" w:rsidRDefault="000946DA" w:rsidP="0044240A">
            <w:pPr>
              <w:spacing w:before="20" w:after="20"/>
              <w:rPr>
                <w:rFonts w:ascii="Arial" w:hAnsi="Arial" w:cs="Arial"/>
                <w:i/>
                <w:sz w:val="28"/>
                <w:szCs w:val="28"/>
              </w:rPr>
            </w:pPr>
            <w:r w:rsidRPr="00136672">
              <w:rPr>
                <w:rFonts w:ascii="Arial" w:hAnsi="Arial" w:cs="Arial"/>
                <w:sz w:val="28"/>
                <w:szCs w:val="28"/>
                <w:rtl/>
              </w:rPr>
              <w:t>اختيار مقدم الخدمات المالية</w:t>
            </w:r>
          </w:p>
        </w:tc>
        <w:tc>
          <w:tcPr>
            <w:tcW w:w="2126" w:type="dxa"/>
            <w:shd w:val="clear" w:color="auto" w:fill="F3F3F3"/>
          </w:tcPr>
          <w:p w:rsidR="007850C0" w:rsidRPr="00136672" w:rsidRDefault="007850C0" w:rsidP="0044240A">
            <w:pPr>
              <w:spacing w:before="20" w:after="20"/>
              <w:rPr>
                <w:rFonts w:ascii="Arial" w:hAnsi="Arial" w:cs="Arial"/>
                <w:i/>
                <w:sz w:val="28"/>
                <w:szCs w:val="28"/>
              </w:rPr>
            </w:pPr>
          </w:p>
        </w:tc>
        <w:tc>
          <w:tcPr>
            <w:tcW w:w="1843" w:type="dxa"/>
            <w:shd w:val="clear" w:color="auto" w:fill="F3F3F3"/>
          </w:tcPr>
          <w:p w:rsidR="007850C0" w:rsidRPr="00136672" w:rsidRDefault="007850C0" w:rsidP="0044240A">
            <w:pPr>
              <w:spacing w:before="20" w:after="20"/>
              <w:rPr>
                <w:rFonts w:ascii="Arial" w:hAnsi="Arial" w:cs="Arial"/>
                <w:i/>
                <w:sz w:val="28"/>
                <w:szCs w:val="28"/>
              </w:rPr>
            </w:pPr>
          </w:p>
        </w:tc>
        <w:tc>
          <w:tcPr>
            <w:tcW w:w="1842" w:type="dxa"/>
            <w:shd w:val="clear" w:color="auto" w:fill="F3F3F3"/>
          </w:tcPr>
          <w:p w:rsidR="007850C0" w:rsidRPr="00136672" w:rsidRDefault="007850C0" w:rsidP="0044240A">
            <w:pPr>
              <w:spacing w:before="20" w:after="20"/>
              <w:rPr>
                <w:rFonts w:ascii="Arial" w:hAnsi="Arial" w:cs="Arial"/>
                <w:i/>
                <w:sz w:val="28"/>
                <w:szCs w:val="28"/>
              </w:rPr>
            </w:pPr>
          </w:p>
        </w:tc>
        <w:tc>
          <w:tcPr>
            <w:tcW w:w="1808" w:type="dxa"/>
            <w:shd w:val="clear" w:color="auto" w:fill="F3F3F3"/>
          </w:tcPr>
          <w:p w:rsidR="007850C0" w:rsidRPr="00136672" w:rsidRDefault="007850C0" w:rsidP="0044240A">
            <w:pPr>
              <w:spacing w:before="20" w:after="20"/>
              <w:rPr>
                <w:rFonts w:ascii="Arial" w:hAnsi="Arial" w:cs="Arial"/>
                <w:i/>
                <w:sz w:val="28"/>
                <w:szCs w:val="28"/>
              </w:rPr>
            </w:pPr>
          </w:p>
        </w:tc>
      </w:tr>
      <w:tr w:rsidR="007850C0" w:rsidRPr="00136672" w:rsidTr="007850C0">
        <w:tc>
          <w:tcPr>
            <w:tcW w:w="2235" w:type="dxa"/>
            <w:shd w:val="clear" w:color="auto" w:fill="A6A6A6"/>
          </w:tcPr>
          <w:p w:rsidR="007850C0" w:rsidRPr="00136672" w:rsidRDefault="000946DA" w:rsidP="0044240A">
            <w:pPr>
              <w:spacing w:before="20" w:after="20"/>
              <w:rPr>
                <w:rFonts w:ascii="Arial" w:hAnsi="Arial" w:cs="Arial"/>
                <w:i/>
                <w:sz w:val="28"/>
                <w:szCs w:val="28"/>
              </w:rPr>
            </w:pPr>
            <w:r w:rsidRPr="00136672">
              <w:rPr>
                <w:rFonts w:ascii="Arial" w:hAnsi="Arial" w:cs="Arial"/>
                <w:sz w:val="28"/>
                <w:szCs w:val="28"/>
                <w:rtl/>
              </w:rPr>
              <w:t>تحليل المخاطر</w:t>
            </w:r>
          </w:p>
        </w:tc>
        <w:tc>
          <w:tcPr>
            <w:tcW w:w="2126" w:type="dxa"/>
            <w:shd w:val="clear" w:color="auto" w:fill="F3F3F3"/>
          </w:tcPr>
          <w:p w:rsidR="007850C0" w:rsidRPr="00136672" w:rsidRDefault="007850C0" w:rsidP="0044240A">
            <w:pPr>
              <w:spacing w:before="20" w:after="20"/>
              <w:rPr>
                <w:rFonts w:ascii="Arial" w:hAnsi="Arial" w:cs="Arial"/>
                <w:i/>
                <w:sz w:val="28"/>
                <w:szCs w:val="28"/>
              </w:rPr>
            </w:pPr>
          </w:p>
        </w:tc>
        <w:tc>
          <w:tcPr>
            <w:tcW w:w="1843" w:type="dxa"/>
            <w:shd w:val="clear" w:color="auto" w:fill="F3F3F3"/>
          </w:tcPr>
          <w:p w:rsidR="007850C0" w:rsidRPr="00136672" w:rsidRDefault="007850C0" w:rsidP="0044240A">
            <w:pPr>
              <w:spacing w:before="20" w:after="20"/>
              <w:rPr>
                <w:rFonts w:ascii="Arial" w:hAnsi="Arial" w:cs="Arial"/>
                <w:i/>
                <w:sz w:val="28"/>
                <w:szCs w:val="28"/>
              </w:rPr>
            </w:pPr>
          </w:p>
        </w:tc>
        <w:tc>
          <w:tcPr>
            <w:tcW w:w="1842" w:type="dxa"/>
            <w:shd w:val="clear" w:color="auto" w:fill="F3F3F3"/>
          </w:tcPr>
          <w:p w:rsidR="007850C0" w:rsidRPr="00136672" w:rsidRDefault="007850C0" w:rsidP="0044240A">
            <w:pPr>
              <w:spacing w:before="20" w:after="20"/>
              <w:rPr>
                <w:rFonts w:ascii="Arial" w:hAnsi="Arial" w:cs="Arial"/>
                <w:i/>
                <w:sz w:val="28"/>
                <w:szCs w:val="28"/>
              </w:rPr>
            </w:pPr>
          </w:p>
        </w:tc>
        <w:tc>
          <w:tcPr>
            <w:tcW w:w="1808" w:type="dxa"/>
            <w:shd w:val="clear" w:color="auto" w:fill="F3F3F3"/>
          </w:tcPr>
          <w:p w:rsidR="007850C0" w:rsidRPr="00136672" w:rsidRDefault="007850C0" w:rsidP="0044240A">
            <w:pPr>
              <w:spacing w:before="20" w:after="20"/>
              <w:rPr>
                <w:rFonts w:ascii="Arial" w:hAnsi="Arial" w:cs="Arial"/>
                <w:i/>
                <w:sz w:val="28"/>
                <w:szCs w:val="28"/>
              </w:rPr>
            </w:pPr>
          </w:p>
        </w:tc>
      </w:tr>
      <w:tr w:rsidR="007850C0" w:rsidRPr="00136672" w:rsidTr="007850C0">
        <w:tc>
          <w:tcPr>
            <w:tcW w:w="2235" w:type="dxa"/>
            <w:shd w:val="clear" w:color="auto" w:fill="A6A6A6"/>
          </w:tcPr>
          <w:p w:rsidR="007850C0" w:rsidRPr="00136672" w:rsidRDefault="000946DA" w:rsidP="0044240A">
            <w:pPr>
              <w:spacing w:before="20" w:after="20"/>
              <w:rPr>
                <w:rFonts w:ascii="Arial" w:hAnsi="Arial" w:cs="Arial"/>
                <w:i/>
                <w:sz w:val="28"/>
                <w:szCs w:val="28"/>
              </w:rPr>
            </w:pPr>
            <w:r w:rsidRPr="00136672">
              <w:rPr>
                <w:rFonts w:ascii="Arial" w:hAnsi="Arial" w:cs="Arial"/>
                <w:sz w:val="28"/>
                <w:szCs w:val="28"/>
                <w:rtl/>
              </w:rPr>
              <w:t>تسجيل المستفيدين</w:t>
            </w:r>
          </w:p>
        </w:tc>
        <w:tc>
          <w:tcPr>
            <w:tcW w:w="2126" w:type="dxa"/>
            <w:shd w:val="clear" w:color="auto" w:fill="F3F3F3"/>
          </w:tcPr>
          <w:p w:rsidR="007850C0" w:rsidRPr="00136672" w:rsidRDefault="007850C0" w:rsidP="0044240A">
            <w:pPr>
              <w:spacing w:before="20" w:after="20"/>
              <w:rPr>
                <w:rFonts w:ascii="Arial" w:hAnsi="Arial" w:cs="Arial"/>
                <w:i/>
                <w:sz w:val="28"/>
                <w:szCs w:val="28"/>
              </w:rPr>
            </w:pPr>
          </w:p>
        </w:tc>
        <w:tc>
          <w:tcPr>
            <w:tcW w:w="1843" w:type="dxa"/>
            <w:shd w:val="clear" w:color="auto" w:fill="F3F3F3"/>
          </w:tcPr>
          <w:p w:rsidR="007850C0" w:rsidRPr="00136672" w:rsidRDefault="007850C0" w:rsidP="0044240A">
            <w:pPr>
              <w:spacing w:before="20" w:after="20"/>
              <w:rPr>
                <w:rFonts w:ascii="Arial" w:hAnsi="Arial" w:cs="Arial"/>
                <w:i/>
                <w:sz w:val="28"/>
                <w:szCs w:val="28"/>
              </w:rPr>
            </w:pPr>
          </w:p>
        </w:tc>
        <w:tc>
          <w:tcPr>
            <w:tcW w:w="1842" w:type="dxa"/>
            <w:shd w:val="clear" w:color="auto" w:fill="F3F3F3"/>
          </w:tcPr>
          <w:p w:rsidR="007850C0" w:rsidRPr="00136672" w:rsidRDefault="007850C0" w:rsidP="0044240A">
            <w:pPr>
              <w:spacing w:before="20" w:after="20"/>
              <w:rPr>
                <w:rFonts w:ascii="Arial" w:hAnsi="Arial" w:cs="Arial"/>
                <w:i/>
                <w:sz w:val="28"/>
                <w:szCs w:val="28"/>
              </w:rPr>
            </w:pPr>
          </w:p>
        </w:tc>
        <w:tc>
          <w:tcPr>
            <w:tcW w:w="1808" w:type="dxa"/>
            <w:shd w:val="clear" w:color="auto" w:fill="F3F3F3"/>
          </w:tcPr>
          <w:p w:rsidR="007850C0" w:rsidRPr="00136672" w:rsidRDefault="007850C0" w:rsidP="0044240A">
            <w:pPr>
              <w:spacing w:before="20" w:after="20"/>
              <w:rPr>
                <w:rFonts w:ascii="Arial" w:hAnsi="Arial" w:cs="Arial"/>
                <w:i/>
                <w:sz w:val="28"/>
                <w:szCs w:val="28"/>
              </w:rPr>
            </w:pPr>
          </w:p>
        </w:tc>
      </w:tr>
      <w:tr w:rsidR="007850C0" w:rsidRPr="00136672" w:rsidTr="007850C0">
        <w:tc>
          <w:tcPr>
            <w:tcW w:w="2235" w:type="dxa"/>
            <w:shd w:val="clear" w:color="auto" w:fill="A6A6A6"/>
          </w:tcPr>
          <w:p w:rsidR="007850C0" w:rsidRPr="00136672" w:rsidRDefault="000946DA" w:rsidP="0044240A">
            <w:pPr>
              <w:spacing w:before="20" w:after="20"/>
              <w:rPr>
                <w:rFonts w:ascii="Arial" w:hAnsi="Arial" w:cs="Arial"/>
                <w:i/>
                <w:sz w:val="28"/>
                <w:szCs w:val="28"/>
              </w:rPr>
            </w:pPr>
            <w:r w:rsidRPr="00136672">
              <w:rPr>
                <w:rFonts w:ascii="Arial" w:hAnsi="Arial" w:cs="Arial"/>
                <w:sz w:val="28"/>
                <w:szCs w:val="28"/>
                <w:rtl/>
              </w:rPr>
              <w:t>التعاقد مع الأطراف الثالثة</w:t>
            </w:r>
          </w:p>
        </w:tc>
        <w:tc>
          <w:tcPr>
            <w:tcW w:w="2126" w:type="dxa"/>
            <w:shd w:val="clear" w:color="auto" w:fill="F3F3F3"/>
          </w:tcPr>
          <w:p w:rsidR="007850C0" w:rsidRPr="00136672" w:rsidRDefault="007850C0" w:rsidP="0044240A">
            <w:pPr>
              <w:spacing w:before="20" w:after="20"/>
              <w:rPr>
                <w:rFonts w:ascii="Arial" w:hAnsi="Arial" w:cs="Arial"/>
                <w:i/>
                <w:sz w:val="28"/>
                <w:szCs w:val="28"/>
              </w:rPr>
            </w:pPr>
          </w:p>
        </w:tc>
        <w:tc>
          <w:tcPr>
            <w:tcW w:w="1843" w:type="dxa"/>
            <w:shd w:val="clear" w:color="auto" w:fill="F3F3F3"/>
          </w:tcPr>
          <w:p w:rsidR="007850C0" w:rsidRPr="00136672" w:rsidRDefault="007850C0" w:rsidP="0044240A">
            <w:pPr>
              <w:spacing w:before="20" w:after="20"/>
              <w:rPr>
                <w:rFonts w:ascii="Arial" w:hAnsi="Arial" w:cs="Arial"/>
                <w:i/>
                <w:sz w:val="28"/>
                <w:szCs w:val="28"/>
              </w:rPr>
            </w:pPr>
          </w:p>
        </w:tc>
        <w:tc>
          <w:tcPr>
            <w:tcW w:w="1842" w:type="dxa"/>
            <w:shd w:val="clear" w:color="auto" w:fill="F3F3F3"/>
          </w:tcPr>
          <w:p w:rsidR="007850C0" w:rsidRPr="00136672" w:rsidRDefault="007850C0" w:rsidP="0044240A">
            <w:pPr>
              <w:spacing w:before="20" w:after="20"/>
              <w:rPr>
                <w:rFonts w:ascii="Arial" w:hAnsi="Arial" w:cs="Arial"/>
                <w:i/>
                <w:sz w:val="28"/>
                <w:szCs w:val="28"/>
              </w:rPr>
            </w:pPr>
          </w:p>
        </w:tc>
        <w:tc>
          <w:tcPr>
            <w:tcW w:w="1808" w:type="dxa"/>
            <w:shd w:val="clear" w:color="auto" w:fill="F3F3F3"/>
          </w:tcPr>
          <w:p w:rsidR="007850C0" w:rsidRPr="00136672" w:rsidRDefault="007850C0" w:rsidP="0044240A">
            <w:pPr>
              <w:spacing w:before="20" w:after="20"/>
              <w:rPr>
                <w:rFonts w:ascii="Arial" w:hAnsi="Arial" w:cs="Arial"/>
                <w:i/>
                <w:sz w:val="28"/>
                <w:szCs w:val="28"/>
              </w:rPr>
            </w:pPr>
          </w:p>
        </w:tc>
      </w:tr>
      <w:tr w:rsidR="007850C0" w:rsidRPr="00136672" w:rsidTr="007850C0">
        <w:tc>
          <w:tcPr>
            <w:tcW w:w="2235" w:type="dxa"/>
            <w:shd w:val="clear" w:color="auto" w:fill="A6A6A6"/>
          </w:tcPr>
          <w:p w:rsidR="007850C0" w:rsidRPr="00136672" w:rsidRDefault="000946DA" w:rsidP="0044240A">
            <w:pPr>
              <w:spacing w:before="20" w:after="20"/>
              <w:rPr>
                <w:rFonts w:ascii="Arial" w:hAnsi="Arial" w:cs="Arial"/>
                <w:i/>
                <w:sz w:val="28"/>
                <w:szCs w:val="28"/>
              </w:rPr>
            </w:pPr>
            <w:r w:rsidRPr="00136672">
              <w:rPr>
                <w:rFonts w:ascii="Arial" w:hAnsi="Arial" w:cs="Arial"/>
                <w:sz w:val="28"/>
                <w:szCs w:val="28"/>
                <w:rtl/>
              </w:rPr>
              <w:t>التحقق من التحويلات إلى المستفيدين</w:t>
            </w:r>
          </w:p>
        </w:tc>
        <w:tc>
          <w:tcPr>
            <w:tcW w:w="2126" w:type="dxa"/>
            <w:shd w:val="clear" w:color="auto" w:fill="F3F3F3"/>
          </w:tcPr>
          <w:p w:rsidR="007850C0" w:rsidRPr="00136672" w:rsidRDefault="007850C0" w:rsidP="0044240A">
            <w:pPr>
              <w:spacing w:before="20" w:after="20"/>
              <w:rPr>
                <w:rFonts w:ascii="Arial" w:hAnsi="Arial" w:cs="Arial"/>
                <w:i/>
                <w:sz w:val="28"/>
                <w:szCs w:val="28"/>
              </w:rPr>
            </w:pPr>
          </w:p>
        </w:tc>
        <w:tc>
          <w:tcPr>
            <w:tcW w:w="1843" w:type="dxa"/>
            <w:shd w:val="clear" w:color="auto" w:fill="F3F3F3"/>
          </w:tcPr>
          <w:p w:rsidR="007850C0" w:rsidRPr="00136672" w:rsidRDefault="007850C0" w:rsidP="0044240A">
            <w:pPr>
              <w:spacing w:before="20" w:after="20"/>
              <w:rPr>
                <w:rFonts w:ascii="Arial" w:hAnsi="Arial" w:cs="Arial"/>
                <w:i/>
                <w:sz w:val="28"/>
                <w:szCs w:val="28"/>
              </w:rPr>
            </w:pPr>
          </w:p>
        </w:tc>
        <w:tc>
          <w:tcPr>
            <w:tcW w:w="1842" w:type="dxa"/>
            <w:shd w:val="clear" w:color="auto" w:fill="F3F3F3"/>
          </w:tcPr>
          <w:p w:rsidR="007850C0" w:rsidRPr="00136672" w:rsidRDefault="007850C0" w:rsidP="0044240A">
            <w:pPr>
              <w:spacing w:before="20" w:after="20"/>
              <w:rPr>
                <w:rFonts w:ascii="Arial" w:hAnsi="Arial" w:cs="Arial"/>
                <w:i/>
                <w:sz w:val="28"/>
                <w:szCs w:val="28"/>
              </w:rPr>
            </w:pPr>
          </w:p>
        </w:tc>
        <w:tc>
          <w:tcPr>
            <w:tcW w:w="1808" w:type="dxa"/>
            <w:shd w:val="clear" w:color="auto" w:fill="F3F3F3"/>
          </w:tcPr>
          <w:p w:rsidR="007850C0" w:rsidRPr="00136672" w:rsidRDefault="007850C0" w:rsidP="0044240A">
            <w:pPr>
              <w:spacing w:before="20" w:after="20"/>
              <w:rPr>
                <w:rFonts w:ascii="Arial" w:hAnsi="Arial" w:cs="Arial"/>
                <w:i/>
                <w:sz w:val="28"/>
                <w:szCs w:val="28"/>
              </w:rPr>
            </w:pPr>
          </w:p>
        </w:tc>
      </w:tr>
      <w:tr w:rsidR="007850C0" w:rsidRPr="00136672" w:rsidTr="007850C0">
        <w:tc>
          <w:tcPr>
            <w:tcW w:w="2235" w:type="dxa"/>
            <w:shd w:val="clear" w:color="auto" w:fill="A6A6A6"/>
          </w:tcPr>
          <w:p w:rsidR="007850C0" w:rsidRPr="00136672" w:rsidRDefault="000946DA" w:rsidP="0044240A">
            <w:pPr>
              <w:spacing w:before="20" w:after="20"/>
              <w:rPr>
                <w:rFonts w:ascii="Arial" w:hAnsi="Arial" w:cs="Arial"/>
                <w:i/>
                <w:sz w:val="28"/>
                <w:szCs w:val="28"/>
              </w:rPr>
            </w:pPr>
            <w:r w:rsidRPr="00136672">
              <w:rPr>
                <w:rFonts w:ascii="Arial" w:hAnsi="Arial" w:cs="Arial"/>
                <w:sz w:val="28"/>
                <w:szCs w:val="28"/>
                <w:rtl/>
              </w:rPr>
              <w:t>ملاءمة التحويلات النقدية</w:t>
            </w:r>
          </w:p>
        </w:tc>
        <w:tc>
          <w:tcPr>
            <w:tcW w:w="2126" w:type="dxa"/>
            <w:shd w:val="clear" w:color="auto" w:fill="F3F3F3"/>
          </w:tcPr>
          <w:p w:rsidR="007850C0" w:rsidRPr="00136672" w:rsidRDefault="007850C0" w:rsidP="0044240A">
            <w:pPr>
              <w:spacing w:before="20" w:after="20"/>
              <w:rPr>
                <w:rFonts w:ascii="Arial" w:hAnsi="Arial" w:cs="Arial"/>
                <w:i/>
                <w:sz w:val="28"/>
                <w:szCs w:val="28"/>
              </w:rPr>
            </w:pPr>
          </w:p>
        </w:tc>
        <w:tc>
          <w:tcPr>
            <w:tcW w:w="1843" w:type="dxa"/>
            <w:shd w:val="clear" w:color="auto" w:fill="F3F3F3"/>
          </w:tcPr>
          <w:p w:rsidR="007850C0" w:rsidRPr="00136672" w:rsidRDefault="007850C0" w:rsidP="0044240A">
            <w:pPr>
              <w:spacing w:before="20" w:after="20"/>
              <w:rPr>
                <w:rFonts w:ascii="Arial" w:hAnsi="Arial" w:cs="Arial"/>
                <w:i/>
                <w:sz w:val="28"/>
                <w:szCs w:val="28"/>
              </w:rPr>
            </w:pPr>
          </w:p>
        </w:tc>
        <w:tc>
          <w:tcPr>
            <w:tcW w:w="1842" w:type="dxa"/>
            <w:shd w:val="clear" w:color="auto" w:fill="F3F3F3"/>
          </w:tcPr>
          <w:p w:rsidR="007850C0" w:rsidRPr="00136672" w:rsidRDefault="007850C0" w:rsidP="0044240A">
            <w:pPr>
              <w:spacing w:before="20" w:after="20"/>
              <w:rPr>
                <w:rFonts w:ascii="Arial" w:hAnsi="Arial" w:cs="Arial"/>
                <w:i/>
                <w:sz w:val="28"/>
                <w:szCs w:val="28"/>
              </w:rPr>
            </w:pPr>
          </w:p>
        </w:tc>
        <w:tc>
          <w:tcPr>
            <w:tcW w:w="1808" w:type="dxa"/>
            <w:shd w:val="clear" w:color="auto" w:fill="F3F3F3"/>
          </w:tcPr>
          <w:p w:rsidR="007850C0" w:rsidRPr="00136672" w:rsidRDefault="007850C0" w:rsidP="0044240A">
            <w:pPr>
              <w:spacing w:before="20" w:after="20"/>
              <w:rPr>
                <w:rFonts w:ascii="Arial" w:hAnsi="Arial" w:cs="Arial"/>
                <w:i/>
                <w:sz w:val="28"/>
                <w:szCs w:val="28"/>
              </w:rPr>
            </w:pPr>
          </w:p>
        </w:tc>
      </w:tr>
      <w:tr w:rsidR="007850C0" w:rsidRPr="00136672" w:rsidTr="007850C0">
        <w:tc>
          <w:tcPr>
            <w:tcW w:w="2235" w:type="dxa"/>
            <w:shd w:val="clear" w:color="auto" w:fill="A6A6A6"/>
          </w:tcPr>
          <w:p w:rsidR="000946DA" w:rsidRPr="00136672" w:rsidRDefault="000946DA" w:rsidP="0044240A">
            <w:pPr>
              <w:spacing w:before="20" w:after="20"/>
              <w:rPr>
                <w:rFonts w:ascii="Arial" w:hAnsi="Arial" w:cs="Arial"/>
                <w:i/>
                <w:sz w:val="28"/>
                <w:szCs w:val="28"/>
              </w:rPr>
            </w:pPr>
            <w:r w:rsidRPr="00136672">
              <w:rPr>
                <w:rFonts w:ascii="Arial" w:hAnsi="Arial" w:cs="Arial"/>
                <w:sz w:val="28"/>
                <w:szCs w:val="28"/>
                <w:rtl/>
              </w:rPr>
              <w:t xml:space="preserve">متابعة آليات التعليق والاجابة </w:t>
            </w:r>
          </w:p>
        </w:tc>
        <w:tc>
          <w:tcPr>
            <w:tcW w:w="2126" w:type="dxa"/>
            <w:shd w:val="clear" w:color="auto" w:fill="F3F3F3"/>
          </w:tcPr>
          <w:p w:rsidR="007850C0" w:rsidRPr="00136672" w:rsidRDefault="007850C0" w:rsidP="0044240A">
            <w:pPr>
              <w:spacing w:before="20" w:after="20"/>
              <w:rPr>
                <w:rFonts w:ascii="Arial" w:hAnsi="Arial" w:cs="Arial"/>
                <w:i/>
                <w:sz w:val="28"/>
                <w:szCs w:val="28"/>
              </w:rPr>
            </w:pPr>
          </w:p>
        </w:tc>
        <w:tc>
          <w:tcPr>
            <w:tcW w:w="1843" w:type="dxa"/>
            <w:shd w:val="clear" w:color="auto" w:fill="F3F3F3"/>
          </w:tcPr>
          <w:p w:rsidR="007850C0" w:rsidRPr="00136672" w:rsidRDefault="007850C0" w:rsidP="0044240A">
            <w:pPr>
              <w:spacing w:before="20" w:after="20"/>
              <w:rPr>
                <w:rFonts w:ascii="Arial" w:hAnsi="Arial" w:cs="Arial"/>
                <w:i/>
                <w:sz w:val="28"/>
                <w:szCs w:val="28"/>
              </w:rPr>
            </w:pPr>
          </w:p>
        </w:tc>
        <w:tc>
          <w:tcPr>
            <w:tcW w:w="1842" w:type="dxa"/>
            <w:shd w:val="clear" w:color="auto" w:fill="F3F3F3"/>
          </w:tcPr>
          <w:p w:rsidR="007850C0" w:rsidRPr="00136672" w:rsidRDefault="007850C0" w:rsidP="0044240A">
            <w:pPr>
              <w:spacing w:before="20" w:after="20"/>
              <w:rPr>
                <w:rFonts w:ascii="Arial" w:hAnsi="Arial" w:cs="Arial"/>
                <w:i/>
                <w:sz w:val="28"/>
                <w:szCs w:val="28"/>
              </w:rPr>
            </w:pPr>
          </w:p>
        </w:tc>
        <w:tc>
          <w:tcPr>
            <w:tcW w:w="1808" w:type="dxa"/>
            <w:shd w:val="clear" w:color="auto" w:fill="F3F3F3"/>
          </w:tcPr>
          <w:p w:rsidR="007850C0" w:rsidRPr="00136672" w:rsidRDefault="007850C0" w:rsidP="0044240A">
            <w:pPr>
              <w:spacing w:before="20" w:after="20"/>
              <w:rPr>
                <w:rFonts w:ascii="Arial" w:hAnsi="Arial" w:cs="Arial"/>
                <w:i/>
                <w:sz w:val="28"/>
                <w:szCs w:val="28"/>
              </w:rPr>
            </w:pPr>
          </w:p>
        </w:tc>
      </w:tr>
      <w:tr w:rsidR="007850C0" w:rsidRPr="00136672" w:rsidTr="007850C0">
        <w:tc>
          <w:tcPr>
            <w:tcW w:w="2235" w:type="dxa"/>
            <w:shd w:val="clear" w:color="auto" w:fill="A6A6A6"/>
          </w:tcPr>
          <w:p w:rsidR="007850C0" w:rsidRPr="00136672" w:rsidRDefault="000946DA" w:rsidP="0044240A">
            <w:pPr>
              <w:spacing w:before="20" w:after="20"/>
              <w:rPr>
                <w:rFonts w:ascii="Arial" w:hAnsi="Arial" w:cs="Arial"/>
                <w:i/>
                <w:sz w:val="28"/>
                <w:szCs w:val="28"/>
              </w:rPr>
            </w:pPr>
            <w:r w:rsidRPr="00136672">
              <w:rPr>
                <w:rFonts w:ascii="Arial" w:hAnsi="Arial" w:cs="Arial"/>
                <w:sz w:val="28"/>
                <w:szCs w:val="28"/>
                <w:rtl/>
              </w:rPr>
              <w:t>تتبع اسعار السوق</w:t>
            </w:r>
          </w:p>
        </w:tc>
        <w:tc>
          <w:tcPr>
            <w:tcW w:w="2126" w:type="dxa"/>
            <w:shd w:val="clear" w:color="auto" w:fill="F3F3F3"/>
          </w:tcPr>
          <w:p w:rsidR="007850C0" w:rsidRPr="00136672" w:rsidRDefault="007850C0" w:rsidP="0044240A">
            <w:pPr>
              <w:spacing w:before="20" w:after="20"/>
              <w:rPr>
                <w:rFonts w:ascii="Arial" w:hAnsi="Arial" w:cs="Arial"/>
                <w:i/>
                <w:sz w:val="28"/>
                <w:szCs w:val="28"/>
              </w:rPr>
            </w:pPr>
          </w:p>
        </w:tc>
        <w:tc>
          <w:tcPr>
            <w:tcW w:w="1843" w:type="dxa"/>
            <w:shd w:val="clear" w:color="auto" w:fill="F3F3F3"/>
          </w:tcPr>
          <w:p w:rsidR="007850C0" w:rsidRPr="00136672" w:rsidRDefault="007850C0" w:rsidP="0044240A">
            <w:pPr>
              <w:spacing w:before="20" w:after="20"/>
              <w:rPr>
                <w:rFonts w:ascii="Arial" w:hAnsi="Arial" w:cs="Arial"/>
                <w:i/>
                <w:sz w:val="28"/>
                <w:szCs w:val="28"/>
              </w:rPr>
            </w:pPr>
          </w:p>
        </w:tc>
        <w:tc>
          <w:tcPr>
            <w:tcW w:w="1842" w:type="dxa"/>
            <w:shd w:val="clear" w:color="auto" w:fill="F3F3F3"/>
          </w:tcPr>
          <w:p w:rsidR="007850C0" w:rsidRPr="00136672" w:rsidRDefault="007850C0" w:rsidP="0044240A">
            <w:pPr>
              <w:spacing w:before="20" w:after="20"/>
              <w:rPr>
                <w:rFonts w:ascii="Arial" w:hAnsi="Arial" w:cs="Arial"/>
                <w:i/>
                <w:sz w:val="28"/>
                <w:szCs w:val="28"/>
              </w:rPr>
            </w:pPr>
          </w:p>
        </w:tc>
        <w:tc>
          <w:tcPr>
            <w:tcW w:w="1808" w:type="dxa"/>
            <w:shd w:val="clear" w:color="auto" w:fill="F3F3F3"/>
          </w:tcPr>
          <w:p w:rsidR="007850C0" w:rsidRPr="00136672" w:rsidRDefault="007850C0" w:rsidP="0044240A">
            <w:pPr>
              <w:spacing w:before="20" w:after="20"/>
              <w:rPr>
                <w:rFonts w:ascii="Arial" w:hAnsi="Arial" w:cs="Arial"/>
                <w:i/>
                <w:sz w:val="28"/>
                <w:szCs w:val="28"/>
              </w:rPr>
            </w:pPr>
          </w:p>
        </w:tc>
      </w:tr>
      <w:tr w:rsidR="007850C0" w:rsidRPr="00136672" w:rsidTr="007850C0">
        <w:tc>
          <w:tcPr>
            <w:tcW w:w="2235" w:type="dxa"/>
            <w:shd w:val="clear" w:color="auto" w:fill="A6A6A6"/>
          </w:tcPr>
          <w:p w:rsidR="007850C0" w:rsidRPr="00136672" w:rsidRDefault="000946DA" w:rsidP="0044240A">
            <w:pPr>
              <w:spacing w:before="20" w:after="20"/>
              <w:rPr>
                <w:rFonts w:ascii="Arial" w:hAnsi="Arial" w:cs="Arial"/>
                <w:i/>
                <w:sz w:val="28"/>
                <w:szCs w:val="28"/>
              </w:rPr>
            </w:pPr>
            <w:r w:rsidRPr="00136672">
              <w:rPr>
                <w:rFonts w:ascii="Arial" w:hAnsi="Arial" w:cs="Arial"/>
                <w:sz w:val="28"/>
                <w:szCs w:val="28"/>
                <w:rtl/>
              </w:rPr>
              <w:t>غيرها</w:t>
            </w:r>
          </w:p>
        </w:tc>
        <w:tc>
          <w:tcPr>
            <w:tcW w:w="2126" w:type="dxa"/>
            <w:shd w:val="clear" w:color="auto" w:fill="F3F3F3"/>
          </w:tcPr>
          <w:p w:rsidR="007850C0" w:rsidRPr="00136672" w:rsidRDefault="007850C0" w:rsidP="0044240A">
            <w:pPr>
              <w:spacing w:before="20" w:after="20"/>
              <w:rPr>
                <w:rFonts w:ascii="Arial" w:hAnsi="Arial" w:cs="Arial"/>
                <w:i/>
                <w:sz w:val="28"/>
                <w:szCs w:val="28"/>
              </w:rPr>
            </w:pPr>
          </w:p>
        </w:tc>
        <w:tc>
          <w:tcPr>
            <w:tcW w:w="1843" w:type="dxa"/>
            <w:shd w:val="clear" w:color="auto" w:fill="F3F3F3"/>
          </w:tcPr>
          <w:p w:rsidR="007850C0" w:rsidRPr="00136672" w:rsidRDefault="007850C0" w:rsidP="0044240A">
            <w:pPr>
              <w:spacing w:before="20" w:after="20"/>
              <w:rPr>
                <w:rFonts w:ascii="Arial" w:hAnsi="Arial" w:cs="Arial"/>
                <w:i/>
                <w:sz w:val="28"/>
                <w:szCs w:val="28"/>
              </w:rPr>
            </w:pPr>
          </w:p>
        </w:tc>
        <w:tc>
          <w:tcPr>
            <w:tcW w:w="1842" w:type="dxa"/>
            <w:shd w:val="clear" w:color="auto" w:fill="F3F3F3"/>
          </w:tcPr>
          <w:p w:rsidR="007850C0" w:rsidRPr="00136672" w:rsidRDefault="007850C0" w:rsidP="0044240A">
            <w:pPr>
              <w:spacing w:before="20" w:after="20"/>
              <w:rPr>
                <w:rFonts w:ascii="Arial" w:hAnsi="Arial" w:cs="Arial"/>
                <w:i/>
                <w:sz w:val="28"/>
                <w:szCs w:val="28"/>
              </w:rPr>
            </w:pPr>
          </w:p>
        </w:tc>
        <w:tc>
          <w:tcPr>
            <w:tcW w:w="1808" w:type="dxa"/>
            <w:shd w:val="clear" w:color="auto" w:fill="F3F3F3"/>
          </w:tcPr>
          <w:p w:rsidR="007850C0" w:rsidRPr="00136672" w:rsidRDefault="007850C0" w:rsidP="0044240A">
            <w:pPr>
              <w:spacing w:before="20" w:after="20"/>
              <w:rPr>
                <w:rFonts w:ascii="Arial" w:hAnsi="Arial" w:cs="Arial"/>
                <w:i/>
                <w:sz w:val="28"/>
                <w:szCs w:val="28"/>
              </w:rPr>
            </w:pPr>
          </w:p>
        </w:tc>
      </w:tr>
    </w:tbl>
    <w:p w:rsidR="007850C0" w:rsidRPr="00136672" w:rsidRDefault="007850C0" w:rsidP="007850C0">
      <w:pPr>
        <w:pStyle w:val="ListParagraph"/>
        <w:bidi/>
        <w:rPr>
          <w:rFonts w:ascii="Arial" w:hAnsi="Arial" w:cs="Arial"/>
          <w:sz w:val="28"/>
          <w:szCs w:val="28"/>
          <w:rtl/>
          <w:lang w:bidi="ar-LB"/>
        </w:rPr>
      </w:pPr>
    </w:p>
    <w:p w:rsidR="00071D81" w:rsidRPr="00136672" w:rsidRDefault="004E6FAB" w:rsidP="00071D81">
      <w:pPr>
        <w:bidi/>
        <w:ind w:left="360"/>
        <w:rPr>
          <w:rFonts w:ascii="Arial" w:hAnsi="Arial" w:cs="Arial"/>
          <w:sz w:val="28"/>
          <w:szCs w:val="28"/>
          <w:rtl/>
          <w:lang w:bidi="ar-LB"/>
        </w:rPr>
      </w:pPr>
      <w:r w:rsidRPr="00136672">
        <w:rPr>
          <w:rFonts w:ascii="Arial" w:hAnsi="Arial" w:cs="Arial"/>
          <w:sz w:val="28"/>
          <w:szCs w:val="28"/>
          <w:rtl/>
          <w:lang w:bidi="ar-LB"/>
        </w:rPr>
        <w:t>التحويلات النقدية المباشرة عبر الجمعية الوطنية/الاتحاد الدولي لجمعيات الصليب الحمر والهلال الأحمر/اللجنة الدولية للصليب الأحمر.</w:t>
      </w:r>
    </w:p>
    <w:p w:rsidR="00545C2D" w:rsidRPr="00136672" w:rsidRDefault="00545C2D" w:rsidP="00545C2D">
      <w:pPr>
        <w:pStyle w:val="ListParagraph"/>
        <w:numPr>
          <w:ilvl w:val="0"/>
          <w:numId w:val="2"/>
        </w:numPr>
        <w:bidi/>
        <w:rPr>
          <w:rFonts w:ascii="Arial" w:hAnsi="Arial" w:cs="Arial"/>
          <w:sz w:val="28"/>
          <w:szCs w:val="28"/>
          <w:lang w:bidi="ar-LB"/>
        </w:rPr>
      </w:pPr>
      <w:r w:rsidRPr="00136672">
        <w:rPr>
          <w:rFonts w:ascii="Arial" w:hAnsi="Arial" w:cs="Arial"/>
          <w:sz w:val="28"/>
          <w:szCs w:val="28"/>
          <w:rtl/>
          <w:lang w:bidi="ar-LB"/>
        </w:rPr>
        <w:lastRenderedPageBreak/>
        <w:t>زيادة عمود لكل جهة فاعلة إضافية. ويمكن الحصول على نموذج مكتمل في هذا الشأن على شكل جدول في الملحق (راجع التدابير التشغيلية المعيارية للجنة الدولية للصليب الأحمر والاتحاد الدولي لجمعيات الصليب الحمر والهلال الأحمر للحصول على أمثلة حول الرسوم البيانية ذات الصلة). ويمكن تعديل الوظائف الرئيسية للتناسب مع السياق.</w:t>
      </w:r>
    </w:p>
    <w:tbl>
      <w:tblPr>
        <w:tblStyle w:val="TableGrid"/>
        <w:bidiVisual/>
        <w:tblW w:w="0" w:type="auto"/>
        <w:tblLook w:val="04A0"/>
      </w:tblPr>
      <w:tblGrid>
        <w:gridCol w:w="2148"/>
        <w:gridCol w:w="2097"/>
        <w:gridCol w:w="1788"/>
        <w:gridCol w:w="1815"/>
        <w:gridCol w:w="1728"/>
      </w:tblGrid>
      <w:tr w:rsidR="00545C2D" w:rsidRPr="00136672" w:rsidTr="0044240A">
        <w:tc>
          <w:tcPr>
            <w:tcW w:w="2235" w:type="dxa"/>
            <w:tcBorders>
              <w:bottom w:val="single" w:sz="4" w:space="0" w:color="auto"/>
            </w:tcBorders>
            <w:shd w:val="clear" w:color="auto" w:fill="DC281E"/>
            <w:vAlign w:val="center"/>
          </w:tcPr>
          <w:p w:rsidR="00545C2D" w:rsidRPr="00136672" w:rsidRDefault="00545C2D" w:rsidP="0044240A">
            <w:pPr>
              <w:pStyle w:val="Heading3"/>
              <w:spacing w:before="120"/>
              <w:jc w:val="center"/>
              <w:outlineLvl w:val="2"/>
              <w:rPr>
                <w:i/>
                <w:color w:val="FFFFFF" w:themeColor="background1"/>
                <w:sz w:val="28"/>
                <w:szCs w:val="28"/>
              </w:rPr>
            </w:pPr>
            <w:r w:rsidRPr="00136672">
              <w:rPr>
                <w:color w:val="FFFFFF" w:themeColor="background1"/>
                <w:sz w:val="28"/>
                <w:szCs w:val="28"/>
                <w:rtl/>
              </w:rPr>
              <w:t>الوظائف الرئيسية</w:t>
            </w:r>
          </w:p>
        </w:tc>
        <w:tc>
          <w:tcPr>
            <w:tcW w:w="2126" w:type="dxa"/>
            <w:tcBorders>
              <w:bottom w:val="single" w:sz="4" w:space="0" w:color="auto"/>
            </w:tcBorders>
            <w:shd w:val="clear" w:color="auto" w:fill="DC281E"/>
            <w:vAlign w:val="center"/>
          </w:tcPr>
          <w:p w:rsidR="00545C2D" w:rsidRPr="00136672" w:rsidRDefault="00545C2D" w:rsidP="0044240A">
            <w:pPr>
              <w:pStyle w:val="Heading3"/>
              <w:bidi/>
              <w:spacing w:before="120"/>
              <w:jc w:val="center"/>
              <w:outlineLvl w:val="2"/>
              <w:rPr>
                <w:i/>
                <w:color w:val="FFFFFF" w:themeColor="background1"/>
                <w:sz w:val="28"/>
                <w:szCs w:val="28"/>
              </w:rPr>
            </w:pPr>
            <w:r w:rsidRPr="00136672">
              <w:rPr>
                <w:color w:val="FFFFFF" w:themeColor="background1"/>
                <w:sz w:val="28"/>
                <w:szCs w:val="28"/>
                <w:rtl/>
              </w:rPr>
              <w:t xml:space="preserve">البرامج  </w:t>
            </w:r>
            <w:r w:rsidRPr="00136672">
              <w:rPr>
                <w:color w:val="FFFFFF" w:themeColor="background1"/>
                <w:sz w:val="28"/>
                <w:szCs w:val="28"/>
              </w:rPr>
              <w:t>DM/</w:t>
            </w:r>
            <w:proofErr w:type="spellStart"/>
            <w:r w:rsidRPr="00136672">
              <w:rPr>
                <w:color w:val="FFFFFF" w:themeColor="background1"/>
                <w:sz w:val="28"/>
                <w:szCs w:val="28"/>
              </w:rPr>
              <w:t>EcoSec</w:t>
            </w:r>
            <w:proofErr w:type="spellEnd"/>
          </w:p>
        </w:tc>
        <w:tc>
          <w:tcPr>
            <w:tcW w:w="1843" w:type="dxa"/>
            <w:tcBorders>
              <w:bottom w:val="single" w:sz="4" w:space="0" w:color="auto"/>
            </w:tcBorders>
            <w:shd w:val="clear" w:color="auto" w:fill="DC281E"/>
            <w:vAlign w:val="center"/>
          </w:tcPr>
          <w:p w:rsidR="00545C2D" w:rsidRPr="00136672" w:rsidRDefault="00545C2D" w:rsidP="0044240A">
            <w:pPr>
              <w:pStyle w:val="Heading3"/>
              <w:spacing w:before="120"/>
              <w:jc w:val="center"/>
              <w:outlineLvl w:val="2"/>
              <w:rPr>
                <w:i/>
                <w:color w:val="FFFFFF" w:themeColor="background1"/>
                <w:sz w:val="28"/>
                <w:szCs w:val="28"/>
              </w:rPr>
            </w:pPr>
            <w:r w:rsidRPr="00136672">
              <w:rPr>
                <w:color w:val="FFFFFF" w:themeColor="background1"/>
                <w:sz w:val="28"/>
                <w:szCs w:val="28"/>
                <w:rtl/>
              </w:rPr>
              <w:t>الشؤون اللوجيستية</w:t>
            </w:r>
          </w:p>
        </w:tc>
        <w:tc>
          <w:tcPr>
            <w:tcW w:w="1842" w:type="dxa"/>
            <w:tcBorders>
              <w:bottom w:val="single" w:sz="4" w:space="0" w:color="auto"/>
            </w:tcBorders>
            <w:shd w:val="clear" w:color="auto" w:fill="DC281E"/>
            <w:vAlign w:val="center"/>
          </w:tcPr>
          <w:p w:rsidR="00545C2D" w:rsidRPr="00136672" w:rsidRDefault="00545C2D" w:rsidP="0044240A">
            <w:pPr>
              <w:pStyle w:val="Heading3"/>
              <w:spacing w:before="120"/>
              <w:jc w:val="center"/>
              <w:outlineLvl w:val="2"/>
              <w:rPr>
                <w:i/>
                <w:color w:val="FFFFFF" w:themeColor="background1"/>
                <w:sz w:val="28"/>
                <w:szCs w:val="28"/>
              </w:rPr>
            </w:pPr>
            <w:r w:rsidRPr="00136672">
              <w:rPr>
                <w:color w:val="FFFFFF" w:themeColor="background1"/>
                <w:sz w:val="28"/>
                <w:szCs w:val="28"/>
                <w:rtl/>
              </w:rPr>
              <w:t>الشؤون المالية/الإدارية</w:t>
            </w:r>
          </w:p>
        </w:tc>
        <w:tc>
          <w:tcPr>
            <w:tcW w:w="1808" w:type="dxa"/>
            <w:tcBorders>
              <w:bottom w:val="single" w:sz="4" w:space="0" w:color="auto"/>
            </w:tcBorders>
            <w:shd w:val="clear" w:color="auto" w:fill="DC281E"/>
            <w:vAlign w:val="center"/>
          </w:tcPr>
          <w:p w:rsidR="00545C2D" w:rsidRPr="00136672" w:rsidRDefault="00545C2D" w:rsidP="0044240A">
            <w:pPr>
              <w:pStyle w:val="Heading3"/>
              <w:spacing w:before="120"/>
              <w:jc w:val="center"/>
              <w:outlineLvl w:val="2"/>
              <w:rPr>
                <w:i/>
                <w:color w:val="FFFFFF" w:themeColor="background1"/>
                <w:sz w:val="28"/>
                <w:szCs w:val="28"/>
              </w:rPr>
            </w:pPr>
            <w:r w:rsidRPr="00136672">
              <w:rPr>
                <w:color w:val="FFFFFF" w:themeColor="background1"/>
                <w:sz w:val="28"/>
                <w:szCs w:val="28"/>
                <w:rtl/>
              </w:rPr>
              <w:t>غيرها</w:t>
            </w:r>
          </w:p>
        </w:tc>
      </w:tr>
      <w:tr w:rsidR="00545C2D" w:rsidRPr="00136672" w:rsidTr="0044240A">
        <w:tc>
          <w:tcPr>
            <w:tcW w:w="2235" w:type="dxa"/>
            <w:shd w:val="clear" w:color="auto" w:fill="A6A6A6"/>
          </w:tcPr>
          <w:p w:rsidR="00545C2D" w:rsidRPr="00136672" w:rsidRDefault="00545C2D" w:rsidP="0044240A">
            <w:pPr>
              <w:spacing w:before="20" w:after="20"/>
              <w:rPr>
                <w:rFonts w:ascii="Arial" w:hAnsi="Arial" w:cs="Arial"/>
                <w:i/>
                <w:sz w:val="28"/>
                <w:szCs w:val="28"/>
              </w:rPr>
            </w:pPr>
            <w:r w:rsidRPr="00136672">
              <w:rPr>
                <w:rFonts w:ascii="Arial" w:hAnsi="Arial" w:cs="Arial"/>
                <w:sz w:val="28"/>
                <w:szCs w:val="28"/>
                <w:rtl/>
              </w:rPr>
              <w:t>تحديد نوع البرامج</w:t>
            </w:r>
          </w:p>
        </w:tc>
        <w:tc>
          <w:tcPr>
            <w:tcW w:w="2126" w:type="dxa"/>
            <w:shd w:val="clear" w:color="auto" w:fill="F3F3F3"/>
          </w:tcPr>
          <w:p w:rsidR="00545C2D" w:rsidRPr="00136672" w:rsidRDefault="00545C2D" w:rsidP="0044240A">
            <w:pPr>
              <w:spacing w:before="20" w:after="20"/>
              <w:rPr>
                <w:rFonts w:ascii="Arial" w:hAnsi="Arial" w:cs="Arial"/>
                <w:i/>
                <w:sz w:val="28"/>
                <w:szCs w:val="28"/>
              </w:rPr>
            </w:pPr>
          </w:p>
        </w:tc>
        <w:tc>
          <w:tcPr>
            <w:tcW w:w="1843" w:type="dxa"/>
            <w:shd w:val="clear" w:color="auto" w:fill="F3F3F3"/>
          </w:tcPr>
          <w:p w:rsidR="00545C2D" w:rsidRPr="00136672" w:rsidRDefault="00545C2D" w:rsidP="0044240A">
            <w:pPr>
              <w:spacing w:before="20" w:after="20"/>
              <w:rPr>
                <w:rFonts w:ascii="Arial" w:hAnsi="Arial" w:cs="Arial"/>
                <w:i/>
                <w:sz w:val="28"/>
                <w:szCs w:val="28"/>
              </w:rPr>
            </w:pPr>
          </w:p>
        </w:tc>
        <w:tc>
          <w:tcPr>
            <w:tcW w:w="1842" w:type="dxa"/>
            <w:shd w:val="clear" w:color="auto" w:fill="F3F3F3"/>
          </w:tcPr>
          <w:p w:rsidR="00545C2D" w:rsidRPr="00136672" w:rsidRDefault="00545C2D" w:rsidP="0044240A">
            <w:pPr>
              <w:spacing w:before="20" w:after="20"/>
              <w:rPr>
                <w:rFonts w:ascii="Arial" w:hAnsi="Arial" w:cs="Arial"/>
                <w:i/>
                <w:sz w:val="28"/>
                <w:szCs w:val="28"/>
              </w:rPr>
            </w:pPr>
          </w:p>
        </w:tc>
        <w:tc>
          <w:tcPr>
            <w:tcW w:w="1808" w:type="dxa"/>
            <w:shd w:val="clear" w:color="auto" w:fill="F3F3F3"/>
          </w:tcPr>
          <w:p w:rsidR="00545C2D" w:rsidRPr="00136672" w:rsidRDefault="00545C2D" w:rsidP="0044240A">
            <w:pPr>
              <w:spacing w:before="20" w:after="20"/>
              <w:rPr>
                <w:rFonts w:ascii="Arial" w:hAnsi="Arial" w:cs="Arial"/>
                <w:i/>
                <w:sz w:val="28"/>
                <w:szCs w:val="28"/>
              </w:rPr>
            </w:pPr>
          </w:p>
        </w:tc>
      </w:tr>
      <w:tr w:rsidR="00545C2D" w:rsidRPr="00136672" w:rsidTr="0044240A">
        <w:tc>
          <w:tcPr>
            <w:tcW w:w="2235" w:type="dxa"/>
            <w:shd w:val="clear" w:color="auto" w:fill="A6A6A6"/>
          </w:tcPr>
          <w:p w:rsidR="00545C2D" w:rsidRPr="00136672" w:rsidRDefault="00545C2D" w:rsidP="0044240A">
            <w:pPr>
              <w:spacing w:before="20" w:after="20"/>
              <w:rPr>
                <w:rFonts w:ascii="Arial" w:hAnsi="Arial" w:cs="Arial"/>
                <w:i/>
                <w:sz w:val="28"/>
                <w:szCs w:val="28"/>
              </w:rPr>
            </w:pPr>
            <w:r w:rsidRPr="00136672">
              <w:rPr>
                <w:rFonts w:ascii="Arial" w:hAnsi="Arial" w:cs="Arial"/>
                <w:sz w:val="28"/>
                <w:szCs w:val="28"/>
                <w:rtl/>
              </w:rPr>
              <w:t>تحديد قيمة التحويل النقدي</w:t>
            </w:r>
          </w:p>
        </w:tc>
        <w:tc>
          <w:tcPr>
            <w:tcW w:w="2126" w:type="dxa"/>
            <w:shd w:val="clear" w:color="auto" w:fill="F3F3F3"/>
          </w:tcPr>
          <w:p w:rsidR="00545C2D" w:rsidRPr="00136672" w:rsidRDefault="00545C2D" w:rsidP="0044240A">
            <w:pPr>
              <w:spacing w:before="20" w:after="20"/>
              <w:rPr>
                <w:rFonts w:ascii="Arial" w:hAnsi="Arial" w:cs="Arial"/>
                <w:i/>
                <w:sz w:val="28"/>
                <w:szCs w:val="28"/>
              </w:rPr>
            </w:pPr>
          </w:p>
        </w:tc>
        <w:tc>
          <w:tcPr>
            <w:tcW w:w="1843" w:type="dxa"/>
            <w:shd w:val="clear" w:color="auto" w:fill="F3F3F3"/>
          </w:tcPr>
          <w:p w:rsidR="00545C2D" w:rsidRPr="00136672" w:rsidRDefault="00545C2D" w:rsidP="0044240A">
            <w:pPr>
              <w:spacing w:before="20" w:after="20"/>
              <w:rPr>
                <w:rFonts w:ascii="Arial" w:hAnsi="Arial" w:cs="Arial"/>
                <w:i/>
                <w:sz w:val="28"/>
                <w:szCs w:val="28"/>
              </w:rPr>
            </w:pPr>
          </w:p>
        </w:tc>
        <w:tc>
          <w:tcPr>
            <w:tcW w:w="1842" w:type="dxa"/>
            <w:shd w:val="clear" w:color="auto" w:fill="F3F3F3"/>
          </w:tcPr>
          <w:p w:rsidR="00545C2D" w:rsidRPr="00136672" w:rsidRDefault="00545C2D" w:rsidP="0044240A">
            <w:pPr>
              <w:spacing w:before="20" w:after="20"/>
              <w:rPr>
                <w:rFonts w:ascii="Arial" w:hAnsi="Arial" w:cs="Arial"/>
                <w:i/>
                <w:sz w:val="28"/>
                <w:szCs w:val="28"/>
              </w:rPr>
            </w:pPr>
          </w:p>
        </w:tc>
        <w:tc>
          <w:tcPr>
            <w:tcW w:w="1808" w:type="dxa"/>
            <w:shd w:val="clear" w:color="auto" w:fill="F3F3F3"/>
          </w:tcPr>
          <w:p w:rsidR="00545C2D" w:rsidRPr="00136672" w:rsidRDefault="00545C2D" w:rsidP="0044240A">
            <w:pPr>
              <w:spacing w:before="20" w:after="20"/>
              <w:rPr>
                <w:rFonts w:ascii="Arial" w:hAnsi="Arial" w:cs="Arial"/>
                <w:i/>
                <w:sz w:val="28"/>
                <w:szCs w:val="28"/>
              </w:rPr>
            </w:pPr>
          </w:p>
        </w:tc>
      </w:tr>
      <w:tr w:rsidR="00545C2D" w:rsidRPr="00136672" w:rsidTr="0044240A">
        <w:tc>
          <w:tcPr>
            <w:tcW w:w="2235" w:type="dxa"/>
            <w:shd w:val="clear" w:color="auto" w:fill="A6A6A6"/>
          </w:tcPr>
          <w:p w:rsidR="00545C2D" w:rsidRPr="00136672" w:rsidRDefault="00545C2D" w:rsidP="0044240A">
            <w:pPr>
              <w:spacing w:before="20" w:after="20"/>
              <w:rPr>
                <w:rFonts w:ascii="Arial" w:hAnsi="Arial" w:cs="Arial"/>
                <w:i/>
                <w:sz w:val="28"/>
                <w:szCs w:val="28"/>
              </w:rPr>
            </w:pPr>
            <w:r w:rsidRPr="00136672">
              <w:rPr>
                <w:rFonts w:ascii="Arial" w:hAnsi="Arial" w:cs="Arial"/>
                <w:sz w:val="28"/>
                <w:szCs w:val="28"/>
                <w:rtl/>
              </w:rPr>
              <w:t>تقييم السوق</w:t>
            </w:r>
          </w:p>
        </w:tc>
        <w:tc>
          <w:tcPr>
            <w:tcW w:w="2126" w:type="dxa"/>
            <w:shd w:val="clear" w:color="auto" w:fill="F3F3F3"/>
          </w:tcPr>
          <w:p w:rsidR="00545C2D" w:rsidRPr="00136672" w:rsidRDefault="00545C2D" w:rsidP="0044240A">
            <w:pPr>
              <w:spacing w:before="20" w:after="20"/>
              <w:rPr>
                <w:rFonts w:ascii="Arial" w:hAnsi="Arial" w:cs="Arial"/>
                <w:i/>
                <w:sz w:val="28"/>
                <w:szCs w:val="28"/>
              </w:rPr>
            </w:pPr>
          </w:p>
        </w:tc>
        <w:tc>
          <w:tcPr>
            <w:tcW w:w="1843" w:type="dxa"/>
            <w:shd w:val="clear" w:color="auto" w:fill="F3F3F3"/>
          </w:tcPr>
          <w:p w:rsidR="00545C2D" w:rsidRPr="00136672" w:rsidRDefault="00545C2D" w:rsidP="0044240A">
            <w:pPr>
              <w:spacing w:before="20" w:after="20"/>
              <w:rPr>
                <w:rFonts w:ascii="Arial" w:hAnsi="Arial" w:cs="Arial"/>
                <w:i/>
                <w:sz w:val="28"/>
                <w:szCs w:val="28"/>
              </w:rPr>
            </w:pPr>
          </w:p>
        </w:tc>
        <w:tc>
          <w:tcPr>
            <w:tcW w:w="1842" w:type="dxa"/>
            <w:shd w:val="clear" w:color="auto" w:fill="F3F3F3"/>
          </w:tcPr>
          <w:p w:rsidR="00545C2D" w:rsidRPr="00136672" w:rsidRDefault="00545C2D" w:rsidP="0044240A">
            <w:pPr>
              <w:spacing w:before="20" w:after="20"/>
              <w:rPr>
                <w:rFonts w:ascii="Arial" w:hAnsi="Arial" w:cs="Arial"/>
                <w:i/>
                <w:sz w:val="28"/>
                <w:szCs w:val="28"/>
              </w:rPr>
            </w:pPr>
          </w:p>
        </w:tc>
        <w:tc>
          <w:tcPr>
            <w:tcW w:w="1808" w:type="dxa"/>
            <w:shd w:val="clear" w:color="auto" w:fill="F3F3F3"/>
          </w:tcPr>
          <w:p w:rsidR="00545C2D" w:rsidRPr="00136672" w:rsidRDefault="00545C2D" w:rsidP="0044240A">
            <w:pPr>
              <w:spacing w:before="20" w:after="20"/>
              <w:rPr>
                <w:rFonts w:ascii="Arial" w:hAnsi="Arial" w:cs="Arial"/>
                <w:i/>
                <w:sz w:val="28"/>
                <w:szCs w:val="28"/>
              </w:rPr>
            </w:pPr>
          </w:p>
        </w:tc>
      </w:tr>
      <w:tr w:rsidR="00545C2D" w:rsidRPr="00136672" w:rsidTr="0044240A">
        <w:tc>
          <w:tcPr>
            <w:tcW w:w="2235" w:type="dxa"/>
            <w:shd w:val="clear" w:color="auto" w:fill="A6A6A6"/>
          </w:tcPr>
          <w:p w:rsidR="00545C2D" w:rsidRPr="00136672" w:rsidRDefault="00545C2D" w:rsidP="00545C2D">
            <w:pPr>
              <w:spacing w:before="20" w:after="20"/>
              <w:rPr>
                <w:rFonts w:ascii="Arial" w:hAnsi="Arial" w:cs="Arial"/>
                <w:i/>
                <w:sz w:val="28"/>
                <w:szCs w:val="28"/>
              </w:rPr>
            </w:pPr>
            <w:r w:rsidRPr="00136672">
              <w:rPr>
                <w:rFonts w:ascii="Arial" w:hAnsi="Arial" w:cs="Arial"/>
                <w:sz w:val="28"/>
                <w:szCs w:val="28"/>
                <w:rtl/>
              </w:rPr>
              <w:t>اختيار طريقة الدفع</w:t>
            </w:r>
          </w:p>
        </w:tc>
        <w:tc>
          <w:tcPr>
            <w:tcW w:w="2126" w:type="dxa"/>
            <w:shd w:val="clear" w:color="auto" w:fill="F3F3F3"/>
          </w:tcPr>
          <w:p w:rsidR="00545C2D" w:rsidRPr="00136672" w:rsidRDefault="00545C2D" w:rsidP="0044240A">
            <w:pPr>
              <w:spacing w:before="20" w:after="20"/>
              <w:rPr>
                <w:rFonts w:ascii="Arial" w:hAnsi="Arial" w:cs="Arial"/>
                <w:i/>
                <w:sz w:val="28"/>
                <w:szCs w:val="28"/>
              </w:rPr>
            </w:pPr>
          </w:p>
        </w:tc>
        <w:tc>
          <w:tcPr>
            <w:tcW w:w="1843" w:type="dxa"/>
            <w:shd w:val="clear" w:color="auto" w:fill="F3F3F3"/>
          </w:tcPr>
          <w:p w:rsidR="00545C2D" w:rsidRPr="00136672" w:rsidRDefault="00545C2D" w:rsidP="0044240A">
            <w:pPr>
              <w:spacing w:before="20" w:after="20"/>
              <w:rPr>
                <w:rFonts w:ascii="Arial" w:hAnsi="Arial" w:cs="Arial"/>
                <w:i/>
                <w:sz w:val="28"/>
                <w:szCs w:val="28"/>
              </w:rPr>
            </w:pPr>
          </w:p>
        </w:tc>
        <w:tc>
          <w:tcPr>
            <w:tcW w:w="1842" w:type="dxa"/>
            <w:shd w:val="clear" w:color="auto" w:fill="F3F3F3"/>
          </w:tcPr>
          <w:p w:rsidR="00545C2D" w:rsidRPr="00136672" w:rsidRDefault="00545C2D" w:rsidP="0044240A">
            <w:pPr>
              <w:spacing w:before="20" w:after="20"/>
              <w:rPr>
                <w:rFonts w:ascii="Arial" w:hAnsi="Arial" w:cs="Arial"/>
                <w:i/>
                <w:sz w:val="28"/>
                <w:szCs w:val="28"/>
              </w:rPr>
            </w:pPr>
          </w:p>
        </w:tc>
        <w:tc>
          <w:tcPr>
            <w:tcW w:w="1808" w:type="dxa"/>
            <w:shd w:val="clear" w:color="auto" w:fill="F3F3F3"/>
          </w:tcPr>
          <w:p w:rsidR="00545C2D" w:rsidRPr="00136672" w:rsidRDefault="00545C2D" w:rsidP="0044240A">
            <w:pPr>
              <w:spacing w:before="20" w:after="20"/>
              <w:rPr>
                <w:rFonts w:ascii="Arial" w:hAnsi="Arial" w:cs="Arial"/>
                <w:i/>
                <w:sz w:val="28"/>
                <w:szCs w:val="28"/>
              </w:rPr>
            </w:pPr>
          </w:p>
        </w:tc>
      </w:tr>
      <w:tr w:rsidR="00545C2D" w:rsidRPr="00136672" w:rsidTr="0044240A">
        <w:tc>
          <w:tcPr>
            <w:tcW w:w="2235" w:type="dxa"/>
            <w:shd w:val="clear" w:color="auto" w:fill="A6A6A6"/>
          </w:tcPr>
          <w:p w:rsidR="00545C2D" w:rsidRPr="00136672" w:rsidRDefault="00545C2D" w:rsidP="0044240A">
            <w:pPr>
              <w:spacing w:before="20" w:after="20"/>
              <w:rPr>
                <w:rFonts w:ascii="Arial" w:hAnsi="Arial" w:cs="Arial"/>
                <w:i/>
                <w:sz w:val="28"/>
                <w:szCs w:val="28"/>
              </w:rPr>
            </w:pPr>
            <w:r w:rsidRPr="00136672">
              <w:rPr>
                <w:rFonts w:ascii="Arial" w:hAnsi="Arial" w:cs="Arial"/>
                <w:sz w:val="28"/>
                <w:szCs w:val="28"/>
                <w:rtl/>
              </w:rPr>
              <w:t>تحليل المخاطر</w:t>
            </w:r>
          </w:p>
        </w:tc>
        <w:tc>
          <w:tcPr>
            <w:tcW w:w="2126" w:type="dxa"/>
            <w:shd w:val="clear" w:color="auto" w:fill="F3F3F3"/>
          </w:tcPr>
          <w:p w:rsidR="00545C2D" w:rsidRPr="00136672" w:rsidRDefault="00545C2D" w:rsidP="0044240A">
            <w:pPr>
              <w:spacing w:before="20" w:after="20"/>
              <w:rPr>
                <w:rFonts w:ascii="Arial" w:hAnsi="Arial" w:cs="Arial"/>
                <w:i/>
                <w:sz w:val="28"/>
                <w:szCs w:val="28"/>
              </w:rPr>
            </w:pPr>
          </w:p>
        </w:tc>
        <w:tc>
          <w:tcPr>
            <w:tcW w:w="1843" w:type="dxa"/>
            <w:shd w:val="clear" w:color="auto" w:fill="F3F3F3"/>
          </w:tcPr>
          <w:p w:rsidR="00545C2D" w:rsidRPr="00136672" w:rsidRDefault="00545C2D" w:rsidP="0044240A">
            <w:pPr>
              <w:spacing w:before="20" w:after="20"/>
              <w:rPr>
                <w:rFonts w:ascii="Arial" w:hAnsi="Arial" w:cs="Arial"/>
                <w:i/>
                <w:sz w:val="28"/>
                <w:szCs w:val="28"/>
              </w:rPr>
            </w:pPr>
          </w:p>
        </w:tc>
        <w:tc>
          <w:tcPr>
            <w:tcW w:w="1842" w:type="dxa"/>
            <w:shd w:val="clear" w:color="auto" w:fill="F3F3F3"/>
          </w:tcPr>
          <w:p w:rsidR="00545C2D" w:rsidRPr="00136672" w:rsidRDefault="00545C2D" w:rsidP="0044240A">
            <w:pPr>
              <w:spacing w:before="20" w:after="20"/>
              <w:rPr>
                <w:rFonts w:ascii="Arial" w:hAnsi="Arial" w:cs="Arial"/>
                <w:i/>
                <w:sz w:val="28"/>
                <w:szCs w:val="28"/>
              </w:rPr>
            </w:pPr>
          </w:p>
        </w:tc>
        <w:tc>
          <w:tcPr>
            <w:tcW w:w="1808" w:type="dxa"/>
            <w:shd w:val="clear" w:color="auto" w:fill="F3F3F3"/>
          </w:tcPr>
          <w:p w:rsidR="00545C2D" w:rsidRPr="00136672" w:rsidRDefault="00545C2D" w:rsidP="0044240A">
            <w:pPr>
              <w:spacing w:before="20" w:after="20"/>
              <w:rPr>
                <w:rFonts w:ascii="Arial" w:hAnsi="Arial" w:cs="Arial"/>
                <w:i/>
                <w:sz w:val="28"/>
                <w:szCs w:val="28"/>
              </w:rPr>
            </w:pPr>
          </w:p>
        </w:tc>
      </w:tr>
      <w:tr w:rsidR="00545C2D" w:rsidRPr="00136672" w:rsidTr="0044240A">
        <w:tc>
          <w:tcPr>
            <w:tcW w:w="2235" w:type="dxa"/>
            <w:shd w:val="clear" w:color="auto" w:fill="A6A6A6"/>
          </w:tcPr>
          <w:p w:rsidR="00545C2D" w:rsidRPr="00136672" w:rsidRDefault="00545C2D" w:rsidP="0044240A">
            <w:pPr>
              <w:spacing w:before="20" w:after="20"/>
              <w:rPr>
                <w:rFonts w:ascii="Arial" w:hAnsi="Arial" w:cs="Arial"/>
                <w:i/>
                <w:sz w:val="28"/>
                <w:szCs w:val="28"/>
              </w:rPr>
            </w:pPr>
            <w:r w:rsidRPr="00136672">
              <w:rPr>
                <w:rFonts w:ascii="Arial" w:hAnsi="Arial" w:cs="Arial"/>
                <w:sz w:val="28"/>
                <w:szCs w:val="28"/>
                <w:rtl/>
              </w:rPr>
              <w:t>تسجيل المستفيدين</w:t>
            </w:r>
          </w:p>
        </w:tc>
        <w:tc>
          <w:tcPr>
            <w:tcW w:w="2126" w:type="dxa"/>
            <w:shd w:val="clear" w:color="auto" w:fill="F3F3F3"/>
          </w:tcPr>
          <w:p w:rsidR="00545C2D" w:rsidRPr="00136672" w:rsidRDefault="00545C2D" w:rsidP="0044240A">
            <w:pPr>
              <w:spacing w:before="20" w:after="20"/>
              <w:rPr>
                <w:rFonts w:ascii="Arial" w:hAnsi="Arial" w:cs="Arial"/>
                <w:i/>
                <w:sz w:val="28"/>
                <w:szCs w:val="28"/>
              </w:rPr>
            </w:pPr>
          </w:p>
        </w:tc>
        <w:tc>
          <w:tcPr>
            <w:tcW w:w="1843" w:type="dxa"/>
            <w:shd w:val="clear" w:color="auto" w:fill="F3F3F3"/>
          </w:tcPr>
          <w:p w:rsidR="00545C2D" w:rsidRPr="00136672" w:rsidRDefault="00545C2D" w:rsidP="0044240A">
            <w:pPr>
              <w:spacing w:before="20" w:after="20"/>
              <w:rPr>
                <w:rFonts w:ascii="Arial" w:hAnsi="Arial" w:cs="Arial"/>
                <w:i/>
                <w:sz w:val="28"/>
                <w:szCs w:val="28"/>
              </w:rPr>
            </w:pPr>
          </w:p>
        </w:tc>
        <w:tc>
          <w:tcPr>
            <w:tcW w:w="1842" w:type="dxa"/>
            <w:shd w:val="clear" w:color="auto" w:fill="F3F3F3"/>
          </w:tcPr>
          <w:p w:rsidR="00545C2D" w:rsidRPr="00136672" w:rsidRDefault="00545C2D" w:rsidP="0044240A">
            <w:pPr>
              <w:spacing w:before="20" w:after="20"/>
              <w:rPr>
                <w:rFonts w:ascii="Arial" w:hAnsi="Arial" w:cs="Arial"/>
                <w:i/>
                <w:sz w:val="28"/>
                <w:szCs w:val="28"/>
              </w:rPr>
            </w:pPr>
          </w:p>
        </w:tc>
        <w:tc>
          <w:tcPr>
            <w:tcW w:w="1808" w:type="dxa"/>
            <w:shd w:val="clear" w:color="auto" w:fill="F3F3F3"/>
          </w:tcPr>
          <w:p w:rsidR="00545C2D" w:rsidRPr="00136672" w:rsidRDefault="00545C2D" w:rsidP="0044240A">
            <w:pPr>
              <w:spacing w:before="20" w:after="20"/>
              <w:rPr>
                <w:rFonts w:ascii="Arial" w:hAnsi="Arial" w:cs="Arial"/>
                <w:i/>
                <w:sz w:val="28"/>
                <w:szCs w:val="28"/>
              </w:rPr>
            </w:pPr>
          </w:p>
        </w:tc>
      </w:tr>
      <w:tr w:rsidR="00545C2D" w:rsidRPr="00136672" w:rsidTr="0044240A">
        <w:tc>
          <w:tcPr>
            <w:tcW w:w="2235" w:type="dxa"/>
            <w:shd w:val="clear" w:color="auto" w:fill="A6A6A6"/>
          </w:tcPr>
          <w:p w:rsidR="00545C2D" w:rsidRPr="00136672" w:rsidRDefault="00545C2D" w:rsidP="0044240A">
            <w:pPr>
              <w:spacing w:before="20" w:after="20"/>
              <w:rPr>
                <w:rFonts w:ascii="Arial" w:hAnsi="Arial" w:cs="Arial"/>
                <w:i/>
                <w:sz w:val="28"/>
                <w:szCs w:val="28"/>
              </w:rPr>
            </w:pPr>
            <w:r w:rsidRPr="00136672">
              <w:rPr>
                <w:rFonts w:ascii="Arial" w:hAnsi="Arial" w:cs="Arial"/>
                <w:sz w:val="28"/>
                <w:szCs w:val="28"/>
                <w:rtl/>
              </w:rPr>
              <w:t>طلب السداد للمستفيدين</w:t>
            </w:r>
          </w:p>
        </w:tc>
        <w:tc>
          <w:tcPr>
            <w:tcW w:w="2126" w:type="dxa"/>
            <w:shd w:val="clear" w:color="auto" w:fill="F3F3F3"/>
          </w:tcPr>
          <w:p w:rsidR="00545C2D" w:rsidRPr="00136672" w:rsidRDefault="00545C2D" w:rsidP="0044240A">
            <w:pPr>
              <w:spacing w:before="20" w:after="20"/>
              <w:rPr>
                <w:rFonts w:ascii="Arial" w:hAnsi="Arial" w:cs="Arial"/>
                <w:i/>
                <w:sz w:val="28"/>
                <w:szCs w:val="28"/>
              </w:rPr>
            </w:pPr>
          </w:p>
        </w:tc>
        <w:tc>
          <w:tcPr>
            <w:tcW w:w="1843" w:type="dxa"/>
            <w:shd w:val="clear" w:color="auto" w:fill="F3F3F3"/>
          </w:tcPr>
          <w:p w:rsidR="00545C2D" w:rsidRPr="00136672" w:rsidRDefault="00545C2D" w:rsidP="0044240A">
            <w:pPr>
              <w:spacing w:before="20" w:after="20"/>
              <w:rPr>
                <w:rFonts w:ascii="Arial" w:hAnsi="Arial" w:cs="Arial"/>
                <w:i/>
                <w:sz w:val="28"/>
                <w:szCs w:val="28"/>
              </w:rPr>
            </w:pPr>
          </w:p>
        </w:tc>
        <w:tc>
          <w:tcPr>
            <w:tcW w:w="1842" w:type="dxa"/>
            <w:shd w:val="clear" w:color="auto" w:fill="F3F3F3"/>
          </w:tcPr>
          <w:p w:rsidR="00545C2D" w:rsidRPr="00136672" w:rsidRDefault="00545C2D" w:rsidP="0044240A">
            <w:pPr>
              <w:spacing w:before="20" w:after="20"/>
              <w:rPr>
                <w:rFonts w:ascii="Arial" w:hAnsi="Arial" w:cs="Arial"/>
                <w:i/>
                <w:sz w:val="28"/>
                <w:szCs w:val="28"/>
              </w:rPr>
            </w:pPr>
          </w:p>
        </w:tc>
        <w:tc>
          <w:tcPr>
            <w:tcW w:w="1808" w:type="dxa"/>
            <w:shd w:val="clear" w:color="auto" w:fill="F3F3F3"/>
          </w:tcPr>
          <w:p w:rsidR="00545C2D" w:rsidRPr="00136672" w:rsidRDefault="00545C2D" w:rsidP="0044240A">
            <w:pPr>
              <w:spacing w:before="20" w:after="20"/>
              <w:rPr>
                <w:rFonts w:ascii="Arial" w:hAnsi="Arial" w:cs="Arial"/>
                <w:i/>
                <w:sz w:val="28"/>
                <w:szCs w:val="28"/>
              </w:rPr>
            </w:pPr>
          </w:p>
        </w:tc>
      </w:tr>
      <w:tr w:rsidR="00545C2D" w:rsidRPr="00136672" w:rsidTr="0044240A">
        <w:tc>
          <w:tcPr>
            <w:tcW w:w="2235" w:type="dxa"/>
            <w:shd w:val="clear" w:color="auto" w:fill="A6A6A6"/>
          </w:tcPr>
          <w:p w:rsidR="00545C2D" w:rsidRPr="00136672" w:rsidRDefault="00545C2D" w:rsidP="0044240A">
            <w:pPr>
              <w:spacing w:before="20" w:after="20"/>
              <w:rPr>
                <w:rFonts w:ascii="Arial" w:hAnsi="Arial" w:cs="Arial"/>
                <w:i/>
                <w:sz w:val="28"/>
                <w:szCs w:val="28"/>
              </w:rPr>
            </w:pPr>
            <w:r w:rsidRPr="00136672">
              <w:rPr>
                <w:rFonts w:ascii="Arial" w:hAnsi="Arial" w:cs="Arial"/>
                <w:sz w:val="28"/>
                <w:szCs w:val="28"/>
                <w:rtl/>
              </w:rPr>
              <w:t>التحقق من التحويلات إلى المستفيدين</w:t>
            </w:r>
          </w:p>
        </w:tc>
        <w:tc>
          <w:tcPr>
            <w:tcW w:w="2126" w:type="dxa"/>
            <w:shd w:val="clear" w:color="auto" w:fill="F3F3F3"/>
          </w:tcPr>
          <w:p w:rsidR="00545C2D" w:rsidRPr="00136672" w:rsidRDefault="00545C2D" w:rsidP="0044240A">
            <w:pPr>
              <w:spacing w:before="20" w:after="20"/>
              <w:rPr>
                <w:rFonts w:ascii="Arial" w:hAnsi="Arial" w:cs="Arial"/>
                <w:i/>
                <w:sz w:val="28"/>
                <w:szCs w:val="28"/>
              </w:rPr>
            </w:pPr>
          </w:p>
        </w:tc>
        <w:tc>
          <w:tcPr>
            <w:tcW w:w="1843" w:type="dxa"/>
            <w:shd w:val="clear" w:color="auto" w:fill="F3F3F3"/>
          </w:tcPr>
          <w:p w:rsidR="00545C2D" w:rsidRPr="00136672" w:rsidRDefault="00545C2D" w:rsidP="0044240A">
            <w:pPr>
              <w:spacing w:before="20" w:after="20"/>
              <w:rPr>
                <w:rFonts w:ascii="Arial" w:hAnsi="Arial" w:cs="Arial"/>
                <w:i/>
                <w:sz w:val="28"/>
                <w:szCs w:val="28"/>
              </w:rPr>
            </w:pPr>
          </w:p>
        </w:tc>
        <w:tc>
          <w:tcPr>
            <w:tcW w:w="1842" w:type="dxa"/>
            <w:shd w:val="clear" w:color="auto" w:fill="F3F3F3"/>
          </w:tcPr>
          <w:p w:rsidR="00545C2D" w:rsidRPr="00136672" w:rsidRDefault="00545C2D" w:rsidP="0044240A">
            <w:pPr>
              <w:spacing w:before="20" w:after="20"/>
              <w:rPr>
                <w:rFonts w:ascii="Arial" w:hAnsi="Arial" w:cs="Arial"/>
                <w:i/>
                <w:sz w:val="28"/>
                <w:szCs w:val="28"/>
              </w:rPr>
            </w:pPr>
          </w:p>
        </w:tc>
        <w:tc>
          <w:tcPr>
            <w:tcW w:w="1808" w:type="dxa"/>
            <w:shd w:val="clear" w:color="auto" w:fill="F3F3F3"/>
          </w:tcPr>
          <w:p w:rsidR="00545C2D" w:rsidRPr="00136672" w:rsidRDefault="00545C2D" w:rsidP="0044240A">
            <w:pPr>
              <w:spacing w:before="20" w:after="20"/>
              <w:rPr>
                <w:rFonts w:ascii="Arial" w:hAnsi="Arial" w:cs="Arial"/>
                <w:i/>
                <w:sz w:val="28"/>
                <w:szCs w:val="28"/>
              </w:rPr>
            </w:pPr>
          </w:p>
        </w:tc>
      </w:tr>
      <w:tr w:rsidR="00545C2D" w:rsidRPr="00136672" w:rsidTr="0044240A">
        <w:tc>
          <w:tcPr>
            <w:tcW w:w="2235" w:type="dxa"/>
            <w:shd w:val="clear" w:color="auto" w:fill="A6A6A6"/>
          </w:tcPr>
          <w:p w:rsidR="00545C2D" w:rsidRPr="00136672" w:rsidRDefault="00545C2D" w:rsidP="0044240A">
            <w:pPr>
              <w:spacing w:before="20" w:after="20"/>
              <w:rPr>
                <w:rFonts w:ascii="Arial" w:hAnsi="Arial" w:cs="Arial"/>
                <w:i/>
                <w:sz w:val="28"/>
                <w:szCs w:val="28"/>
              </w:rPr>
            </w:pPr>
            <w:r w:rsidRPr="00136672">
              <w:rPr>
                <w:rFonts w:ascii="Arial" w:hAnsi="Arial" w:cs="Arial"/>
                <w:sz w:val="28"/>
                <w:szCs w:val="28"/>
                <w:rtl/>
              </w:rPr>
              <w:t>ملاءمة التحويلات النقدية</w:t>
            </w:r>
          </w:p>
        </w:tc>
        <w:tc>
          <w:tcPr>
            <w:tcW w:w="2126" w:type="dxa"/>
            <w:shd w:val="clear" w:color="auto" w:fill="F3F3F3"/>
          </w:tcPr>
          <w:p w:rsidR="00545C2D" w:rsidRPr="00136672" w:rsidRDefault="00545C2D" w:rsidP="0044240A">
            <w:pPr>
              <w:spacing w:before="20" w:after="20"/>
              <w:rPr>
                <w:rFonts w:ascii="Arial" w:hAnsi="Arial" w:cs="Arial"/>
                <w:i/>
                <w:sz w:val="28"/>
                <w:szCs w:val="28"/>
              </w:rPr>
            </w:pPr>
          </w:p>
        </w:tc>
        <w:tc>
          <w:tcPr>
            <w:tcW w:w="1843" w:type="dxa"/>
            <w:shd w:val="clear" w:color="auto" w:fill="F3F3F3"/>
          </w:tcPr>
          <w:p w:rsidR="00545C2D" w:rsidRPr="00136672" w:rsidRDefault="00545C2D" w:rsidP="0044240A">
            <w:pPr>
              <w:spacing w:before="20" w:after="20"/>
              <w:rPr>
                <w:rFonts w:ascii="Arial" w:hAnsi="Arial" w:cs="Arial"/>
                <w:i/>
                <w:sz w:val="28"/>
                <w:szCs w:val="28"/>
              </w:rPr>
            </w:pPr>
          </w:p>
        </w:tc>
        <w:tc>
          <w:tcPr>
            <w:tcW w:w="1842" w:type="dxa"/>
            <w:shd w:val="clear" w:color="auto" w:fill="F3F3F3"/>
          </w:tcPr>
          <w:p w:rsidR="00545C2D" w:rsidRPr="00136672" w:rsidRDefault="00545C2D" w:rsidP="0044240A">
            <w:pPr>
              <w:spacing w:before="20" w:after="20"/>
              <w:rPr>
                <w:rFonts w:ascii="Arial" w:hAnsi="Arial" w:cs="Arial"/>
                <w:i/>
                <w:sz w:val="28"/>
                <w:szCs w:val="28"/>
              </w:rPr>
            </w:pPr>
          </w:p>
        </w:tc>
        <w:tc>
          <w:tcPr>
            <w:tcW w:w="1808" w:type="dxa"/>
            <w:shd w:val="clear" w:color="auto" w:fill="F3F3F3"/>
          </w:tcPr>
          <w:p w:rsidR="00545C2D" w:rsidRPr="00136672" w:rsidRDefault="00545C2D" w:rsidP="0044240A">
            <w:pPr>
              <w:spacing w:before="20" w:after="20"/>
              <w:rPr>
                <w:rFonts w:ascii="Arial" w:hAnsi="Arial" w:cs="Arial"/>
                <w:i/>
                <w:sz w:val="28"/>
                <w:szCs w:val="28"/>
              </w:rPr>
            </w:pPr>
          </w:p>
        </w:tc>
      </w:tr>
      <w:tr w:rsidR="00545C2D" w:rsidRPr="00136672" w:rsidTr="0044240A">
        <w:tc>
          <w:tcPr>
            <w:tcW w:w="2235" w:type="dxa"/>
            <w:shd w:val="clear" w:color="auto" w:fill="A6A6A6"/>
          </w:tcPr>
          <w:p w:rsidR="00545C2D" w:rsidRPr="00136672" w:rsidRDefault="00545C2D" w:rsidP="0044240A">
            <w:pPr>
              <w:spacing w:before="20" w:after="20"/>
              <w:rPr>
                <w:rFonts w:ascii="Arial" w:hAnsi="Arial" w:cs="Arial"/>
                <w:i/>
                <w:sz w:val="28"/>
                <w:szCs w:val="28"/>
              </w:rPr>
            </w:pPr>
            <w:r w:rsidRPr="00136672">
              <w:rPr>
                <w:rFonts w:ascii="Arial" w:hAnsi="Arial" w:cs="Arial"/>
                <w:sz w:val="28"/>
                <w:szCs w:val="28"/>
                <w:rtl/>
              </w:rPr>
              <w:t xml:space="preserve">متابعة آليات التعليق والاجابة </w:t>
            </w:r>
          </w:p>
        </w:tc>
        <w:tc>
          <w:tcPr>
            <w:tcW w:w="2126" w:type="dxa"/>
            <w:shd w:val="clear" w:color="auto" w:fill="F3F3F3"/>
          </w:tcPr>
          <w:p w:rsidR="00545C2D" w:rsidRPr="00136672" w:rsidRDefault="00545C2D" w:rsidP="0044240A">
            <w:pPr>
              <w:spacing w:before="20" w:after="20"/>
              <w:rPr>
                <w:rFonts w:ascii="Arial" w:hAnsi="Arial" w:cs="Arial"/>
                <w:i/>
                <w:sz w:val="28"/>
                <w:szCs w:val="28"/>
              </w:rPr>
            </w:pPr>
          </w:p>
        </w:tc>
        <w:tc>
          <w:tcPr>
            <w:tcW w:w="1843" w:type="dxa"/>
            <w:shd w:val="clear" w:color="auto" w:fill="F3F3F3"/>
          </w:tcPr>
          <w:p w:rsidR="00545C2D" w:rsidRPr="00136672" w:rsidRDefault="00545C2D" w:rsidP="0044240A">
            <w:pPr>
              <w:spacing w:before="20" w:after="20"/>
              <w:rPr>
                <w:rFonts w:ascii="Arial" w:hAnsi="Arial" w:cs="Arial"/>
                <w:i/>
                <w:sz w:val="28"/>
                <w:szCs w:val="28"/>
              </w:rPr>
            </w:pPr>
          </w:p>
        </w:tc>
        <w:tc>
          <w:tcPr>
            <w:tcW w:w="1842" w:type="dxa"/>
            <w:shd w:val="clear" w:color="auto" w:fill="F3F3F3"/>
          </w:tcPr>
          <w:p w:rsidR="00545C2D" w:rsidRPr="00136672" w:rsidRDefault="00545C2D" w:rsidP="0044240A">
            <w:pPr>
              <w:spacing w:before="20" w:after="20"/>
              <w:rPr>
                <w:rFonts w:ascii="Arial" w:hAnsi="Arial" w:cs="Arial"/>
                <w:i/>
                <w:sz w:val="28"/>
                <w:szCs w:val="28"/>
              </w:rPr>
            </w:pPr>
          </w:p>
        </w:tc>
        <w:tc>
          <w:tcPr>
            <w:tcW w:w="1808" w:type="dxa"/>
            <w:shd w:val="clear" w:color="auto" w:fill="F3F3F3"/>
          </w:tcPr>
          <w:p w:rsidR="00545C2D" w:rsidRPr="00136672" w:rsidRDefault="00545C2D" w:rsidP="0044240A">
            <w:pPr>
              <w:spacing w:before="20" w:after="20"/>
              <w:rPr>
                <w:rFonts w:ascii="Arial" w:hAnsi="Arial" w:cs="Arial"/>
                <w:i/>
                <w:sz w:val="28"/>
                <w:szCs w:val="28"/>
              </w:rPr>
            </w:pPr>
          </w:p>
        </w:tc>
      </w:tr>
      <w:tr w:rsidR="00545C2D" w:rsidRPr="00136672" w:rsidTr="0044240A">
        <w:tc>
          <w:tcPr>
            <w:tcW w:w="2235" w:type="dxa"/>
            <w:shd w:val="clear" w:color="auto" w:fill="A6A6A6"/>
          </w:tcPr>
          <w:p w:rsidR="00545C2D" w:rsidRPr="00136672" w:rsidRDefault="00545C2D" w:rsidP="0044240A">
            <w:pPr>
              <w:spacing w:before="20" w:after="20"/>
              <w:rPr>
                <w:rFonts w:ascii="Arial" w:hAnsi="Arial" w:cs="Arial"/>
                <w:i/>
                <w:sz w:val="28"/>
                <w:szCs w:val="28"/>
              </w:rPr>
            </w:pPr>
            <w:r w:rsidRPr="00136672">
              <w:rPr>
                <w:rFonts w:ascii="Arial" w:hAnsi="Arial" w:cs="Arial"/>
                <w:sz w:val="28"/>
                <w:szCs w:val="28"/>
                <w:rtl/>
              </w:rPr>
              <w:t>تتبع اسعار السوق</w:t>
            </w:r>
          </w:p>
        </w:tc>
        <w:tc>
          <w:tcPr>
            <w:tcW w:w="2126" w:type="dxa"/>
            <w:shd w:val="clear" w:color="auto" w:fill="F3F3F3"/>
          </w:tcPr>
          <w:p w:rsidR="00545C2D" w:rsidRPr="00136672" w:rsidRDefault="00545C2D" w:rsidP="0044240A">
            <w:pPr>
              <w:spacing w:before="20" w:after="20"/>
              <w:rPr>
                <w:rFonts w:ascii="Arial" w:hAnsi="Arial" w:cs="Arial"/>
                <w:i/>
                <w:sz w:val="28"/>
                <w:szCs w:val="28"/>
              </w:rPr>
            </w:pPr>
          </w:p>
        </w:tc>
        <w:tc>
          <w:tcPr>
            <w:tcW w:w="1843" w:type="dxa"/>
            <w:shd w:val="clear" w:color="auto" w:fill="F3F3F3"/>
          </w:tcPr>
          <w:p w:rsidR="00545C2D" w:rsidRPr="00136672" w:rsidRDefault="00545C2D" w:rsidP="0044240A">
            <w:pPr>
              <w:spacing w:before="20" w:after="20"/>
              <w:rPr>
                <w:rFonts w:ascii="Arial" w:hAnsi="Arial" w:cs="Arial"/>
                <w:i/>
                <w:sz w:val="28"/>
                <w:szCs w:val="28"/>
              </w:rPr>
            </w:pPr>
          </w:p>
        </w:tc>
        <w:tc>
          <w:tcPr>
            <w:tcW w:w="1842" w:type="dxa"/>
            <w:shd w:val="clear" w:color="auto" w:fill="F3F3F3"/>
          </w:tcPr>
          <w:p w:rsidR="00545C2D" w:rsidRPr="00136672" w:rsidRDefault="00545C2D" w:rsidP="0044240A">
            <w:pPr>
              <w:spacing w:before="20" w:after="20"/>
              <w:rPr>
                <w:rFonts w:ascii="Arial" w:hAnsi="Arial" w:cs="Arial"/>
                <w:i/>
                <w:sz w:val="28"/>
                <w:szCs w:val="28"/>
              </w:rPr>
            </w:pPr>
          </w:p>
        </w:tc>
        <w:tc>
          <w:tcPr>
            <w:tcW w:w="1808" w:type="dxa"/>
            <w:shd w:val="clear" w:color="auto" w:fill="F3F3F3"/>
          </w:tcPr>
          <w:p w:rsidR="00545C2D" w:rsidRPr="00136672" w:rsidRDefault="00545C2D" w:rsidP="0044240A">
            <w:pPr>
              <w:spacing w:before="20" w:after="20"/>
              <w:rPr>
                <w:rFonts w:ascii="Arial" w:hAnsi="Arial" w:cs="Arial"/>
                <w:i/>
                <w:sz w:val="28"/>
                <w:szCs w:val="28"/>
              </w:rPr>
            </w:pPr>
          </w:p>
        </w:tc>
      </w:tr>
      <w:tr w:rsidR="00545C2D" w:rsidRPr="00136672" w:rsidTr="0044240A">
        <w:tc>
          <w:tcPr>
            <w:tcW w:w="2235" w:type="dxa"/>
            <w:shd w:val="clear" w:color="auto" w:fill="A6A6A6"/>
          </w:tcPr>
          <w:p w:rsidR="00545C2D" w:rsidRPr="00136672" w:rsidRDefault="00545C2D" w:rsidP="0044240A">
            <w:pPr>
              <w:spacing w:before="20" w:after="20"/>
              <w:rPr>
                <w:rFonts w:ascii="Arial" w:hAnsi="Arial" w:cs="Arial"/>
                <w:i/>
                <w:sz w:val="28"/>
                <w:szCs w:val="28"/>
              </w:rPr>
            </w:pPr>
            <w:r w:rsidRPr="00136672">
              <w:rPr>
                <w:rFonts w:ascii="Arial" w:hAnsi="Arial" w:cs="Arial"/>
                <w:sz w:val="28"/>
                <w:szCs w:val="28"/>
                <w:rtl/>
              </w:rPr>
              <w:t>غيرها</w:t>
            </w:r>
          </w:p>
        </w:tc>
        <w:tc>
          <w:tcPr>
            <w:tcW w:w="2126" w:type="dxa"/>
            <w:shd w:val="clear" w:color="auto" w:fill="F3F3F3"/>
          </w:tcPr>
          <w:p w:rsidR="00545C2D" w:rsidRPr="00136672" w:rsidRDefault="00545C2D" w:rsidP="0044240A">
            <w:pPr>
              <w:spacing w:before="20" w:after="20"/>
              <w:rPr>
                <w:rFonts w:ascii="Arial" w:hAnsi="Arial" w:cs="Arial"/>
                <w:i/>
                <w:sz w:val="28"/>
                <w:szCs w:val="28"/>
              </w:rPr>
            </w:pPr>
          </w:p>
        </w:tc>
        <w:tc>
          <w:tcPr>
            <w:tcW w:w="1843" w:type="dxa"/>
            <w:shd w:val="clear" w:color="auto" w:fill="F3F3F3"/>
          </w:tcPr>
          <w:p w:rsidR="00545C2D" w:rsidRPr="00136672" w:rsidRDefault="00545C2D" w:rsidP="0044240A">
            <w:pPr>
              <w:spacing w:before="20" w:after="20"/>
              <w:rPr>
                <w:rFonts w:ascii="Arial" w:hAnsi="Arial" w:cs="Arial"/>
                <w:i/>
                <w:sz w:val="28"/>
                <w:szCs w:val="28"/>
              </w:rPr>
            </w:pPr>
          </w:p>
        </w:tc>
        <w:tc>
          <w:tcPr>
            <w:tcW w:w="1842" w:type="dxa"/>
            <w:shd w:val="clear" w:color="auto" w:fill="F3F3F3"/>
          </w:tcPr>
          <w:p w:rsidR="00545C2D" w:rsidRPr="00136672" w:rsidRDefault="00545C2D" w:rsidP="0044240A">
            <w:pPr>
              <w:spacing w:before="20" w:after="20"/>
              <w:rPr>
                <w:rFonts w:ascii="Arial" w:hAnsi="Arial" w:cs="Arial"/>
                <w:i/>
                <w:sz w:val="28"/>
                <w:szCs w:val="28"/>
              </w:rPr>
            </w:pPr>
          </w:p>
        </w:tc>
        <w:tc>
          <w:tcPr>
            <w:tcW w:w="1808" w:type="dxa"/>
            <w:shd w:val="clear" w:color="auto" w:fill="F3F3F3"/>
          </w:tcPr>
          <w:p w:rsidR="00545C2D" w:rsidRPr="00136672" w:rsidRDefault="00545C2D" w:rsidP="0044240A">
            <w:pPr>
              <w:spacing w:before="20" w:after="20"/>
              <w:rPr>
                <w:rFonts w:ascii="Arial" w:hAnsi="Arial" w:cs="Arial"/>
                <w:i/>
                <w:sz w:val="28"/>
                <w:szCs w:val="28"/>
              </w:rPr>
            </w:pPr>
          </w:p>
        </w:tc>
      </w:tr>
    </w:tbl>
    <w:p w:rsidR="00E24728" w:rsidRPr="00136672" w:rsidRDefault="00E24728" w:rsidP="00E24728">
      <w:pPr>
        <w:bidi/>
        <w:ind w:left="360"/>
        <w:rPr>
          <w:rFonts w:ascii="Arial" w:hAnsi="Arial" w:cs="Arial"/>
          <w:sz w:val="28"/>
          <w:szCs w:val="28"/>
          <w:rtl/>
          <w:lang w:bidi="ar-LB"/>
        </w:rPr>
      </w:pPr>
    </w:p>
    <w:p w:rsidR="00F502A3" w:rsidRPr="00136672" w:rsidRDefault="00F502A3" w:rsidP="00F502A3">
      <w:pPr>
        <w:bidi/>
        <w:ind w:left="360"/>
        <w:rPr>
          <w:rFonts w:ascii="Arial" w:hAnsi="Arial" w:cs="Arial"/>
          <w:sz w:val="28"/>
          <w:szCs w:val="28"/>
          <w:rtl/>
          <w:lang w:bidi="ar-LB"/>
        </w:rPr>
      </w:pPr>
      <w:r w:rsidRPr="00136672">
        <w:rPr>
          <w:rFonts w:ascii="Arial" w:hAnsi="Arial" w:cs="Arial"/>
          <w:sz w:val="28"/>
          <w:szCs w:val="28"/>
          <w:rtl/>
          <w:lang w:bidi="ar-LB"/>
        </w:rPr>
        <w:t xml:space="preserve">طرق العمل </w:t>
      </w:r>
    </w:p>
    <w:p w:rsidR="00F502A3" w:rsidRPr="00136672" w:rsidRDefault="00F502A3" w:rsidP="00F502A3">
      <w:pPr>
        <w:bidi/>
        <w:ind w:left="360"/>
        <w:rPr>
          <w:rFonts w:ascii="Arial" w:hAnsi="Arial" w:cs="Arial"/>
          <w:sz w:val="28"/>
          <w:szCs w:val="28"/>
          <w:rtl/>
          <w:lang w:bidi="ar-LB"/>
        </w:rPr>
      </w:pPr>
      <w:r w:rsidRPr="00136672">
        <w:rPr>
          <w:rFonts w:ascii="Arial" w:hAnsi="Arial" w:cs="Arial"/>
          <w:sz w:val="28"/>
          <w:szCs w:val="28"/>
          <w:rtl/>
          <w:lang w:bidi="ar-LB"/>
        </w:rPr>
        <w:t>تحديد آليات العمل بوضوح بما فيها:</w:t>
      </w:r>
    </w:p>
    <w:p w:rsidR="00F502A3" w:rsidRPr="00136672" w:rsidRDefault="00F502A3" w:rsidP="00F502A3">
      <w:pPr>
        <w:pStyle w:val="ListParagraph"/>
        <w:numPr>
          <w:ilvl w:val="0"/>
          <w:numId w:val="2"/>
        </w:numPr>
        <w:bidi/>
        <w:rPr>
          <w:rFonts w:ascii="Arial" w:hAnsi="Arial" w:cs="Arial"/>
          <w:sz w:val="28"/>
          <w:szCs w:val="28"/>
          <w:lang w:bidi="ar-LB"/>
        </w:rPr>
      </w:pPr>
      <w:r w:rsidRPr="00136672">
        <w:rPr>
          <w:rFonts w:ascii="Arial" w:hAnsi="Arial" w:cs="Arial"/>
          <w:sz w:val="28"/>
          <w:szCs w:val="28"/>
          <w:rtl/>
          <w:lang w:bidi="ar-LB"/>
        </w:rPr>
        <w:t xml:space="preserve">فرق العمل الفنية المعنية ببرامج التحويلات النقدية </w:t>
      </w:r>
      <w:r w:rsidR="00AE5E6F" w:rsidRPr="00136672">
        <w:rPr>
          <w:rFonts w:ascii="Arial" w:hAnsi="Arial" w:cs="Arial"/>
          <w:sz w:val="28"/>
          <w:szCs w:val="28"/>
          <w:rtl/>
          <w:lang w:bidi="ar-LB"/>
        </w:rPr>
        <w:t>(أعضاء الفريق والاجتماعات)</w:t>
      </w:r>
    </w:p>
    <w:p w:rsidR="00AE5E6F" w:rsidRPr="00136672" w:rsidRDefault="00AE5E6F" w:rsidP="00AE5E6F">
      <w:pPr>
        <w:pStyle w:val="ListParagraph"/>
        <w:numPr>
          <w:ilvl w:val="0"/>
          <w:numId w:val="2"/>
        </w:numPr>
        <w:bidi/>
        <w:rPr>
          <w:rFonts w:ascii="Arial" w:hAnsi="Arial" w:cs="Arial"/>
          <w:sz w:val="28"/>
          <w:szCs w:val="28"/>
          <w:lang w:bidi="ar-LB"/>
        </w:rPr>
      </w:pPr>
      <w:r w:rsidRPr="00136672">
        <w:rPr>
          <w:rFonts w:ascii="Arial" w:hAnsi="Arial" w:cs="Arial"/>
          <w:sz w:val="28"/>
          <w:szCs w:val="28"/>
          <w:rtl/>
          <w:lang w:bidi="ar-LB"/>
        </w:rPr>
        <w:t>المسؤول المعني ببرامج التحويلات النقدية (الدور الأساسي على الصعيد الوطني وعلى صعيد الفروع)</w:t>
      </w:r>
    </w:p>
    <w:p w:rsidR="00AE5E6F" w:rsidRPr="00136672" w:rsidRDefault="001B2525" w:rsidP="00AE5E6F">
      <w:pPr>
        <w:pStyle w:val="ListParagraph"/>
        <w:numPr>
          <w:ilvl w:val="0"/>
          <w:numId w:val="2"/>
        </w:numPr>
        <w:bidi/>
        <w:rPr>
          <w:rFonts w:ascii="Arial" w:hAnsi="Arial" w:cs="Arial"/>
          <w:sz w:val="28"/>
          <w:szCs w:val="28"/>
          <w:lang w:bidi="ar-LB"/>
        </w:rPr>
      </w:pPr>
      <w:r w:rsidRPr="00136672">
        <w:rPr>
          <w:rFonts w:ascii="Arial" w:hAnsi="Arial" w:cs="Arial"/>
          <w:sz w:val="28"/>
          <w:szCs w:val="28"/>
          <w:lang w:bidi="ar-LB"/>
        </w:rPr>
        <w:t>DM</w:t>
      </w:r>
      <w:r w:rsidRPr="00136672">
        <w:rPr>
          <w:rFonts w:ascii="Arial" w:hAnsi="Arial" w:cs="Arial"/>
          <w:sz w:val="28"/>
          <w:szCs w:val="28"/>
          <w:rtl/>
        </w:rPr>
        <w:t>/</w:t>
      </w:r>
      <w:proofErr w:type="spellStart"/>
      <w:r w:rsidRPr="00136672">
        <w:rPr>
          <w:rFonts w:ascii="Arial" w:hAnsi="Arial" w:cs="Arial"/>
          <w:sz w:val="28"/>
          <w:szCs w:val="28"/>
        </w:rPr>
        <w:t>Ecosec</w:t>
      </w:r>
      <w:proofErr w:type="spellEnd"/>
      <w:r w:rsidRPr="00136672">
        <w:rPr>
          <w:rFonts w:ascii="Arial" w:hAnsi="Arial" w:cs="Arial"/>
          <w:sz w:val="28"/>
          <w:szCs w:val="28"/>
          <w:rtl/>
        </w:rPr>
        <w:t xml:space="preserve"> (الأمن الاقتصادي) (الأدوار الأساسية)</w:t>
      </w:r>
    </w:p>
    <w:p w:rsidR="001B2525" w:rsidRPr="00136672" w:rsidRDefault="001B2525" w:rsidP="001B2525">
      <w:pPr>
        <w:pStyle w:val="ListParagraph"/>
        <w:numPr>
          <w:ilvl w:val="0"/>
          <w:numId w:val="2"/>
        </w:numPr>
        <w:bidi/>
        <w:rPr>
          <w:rFonts w:ascii="Arial" w:hAnsi="Arial" w:cs="Arial"/>
          <w:sz w:val="28"/>
          <w:szCs w:val="28"/>
          <w:lang w:bidi="ar-LB"/>
        </w:rPr>
      </w:pPr>
      <w:r w:rsidRPr="00136672">
        <w:rPr>
          <w:rFonts w:ascii="Arial" w:hAnsi="Arial" w:cs="Arial"/>
          <w:sz w:val="28"/>
          <w:szCs w:val="28"/>
          <w:rtl/>
        </w:rPr>
        <w:t>التنسيق مع الجهات الفاعلة في "الحركة"</w:t>
      </w:r>
    </w:p>
    <w:p w:rsidR="001B2525" w:rsidRPr="00136672" w:rsidRDefault="001B2525" w:rsidP="001B2525">
      <w:pPr>
        <w:pStyle w:val="ListParagraph"/>
        <w:numPr>
          <w:ilvl w:val="0"/>
          <w:numId w:val="2"/>
        </w:numPr>
        <w:bidi/>
        <w:rPr>
          <w:rFonts w:ascii="Arial" w:hAnsi="Arial" w:cs="Arial"/>
          <w:sz w:val="28"/>
          <w:szCs w:val="28"/>
          <w:lang w:bidi="ar-LB"/>
        </w:rPr>
      </w:pPr>
      <w:r w:rsidRPr="00136672">
        <w:rPr>
          <w:rFonts w:ascii="Arial" w:hAnsi="Arial" w:cs="Arial"/>
          <w:sz w:val="28"/>
          <w:szCs w:val="28"/>
          <w:rtl/>
        </w:rPr>
        <w:t>التنسيق الخارجي مع الجهات الفاعلة التي لا تنتمي إلى حمعيات الصليب الأحمر والهلال الأحمر.</w:t>
      </w:r>
    </w:p>
    <w:p w:rsidR="001B2525" w:rsidRPr="00136672" w:rsidRDefault="0073031E" w:rsidP="0073031E">
      <w:pPr>
        <w:pStyle w:val="ListParagraph"/>
        <w:numPr>
          <w:ilvl w:val="0"/>
          <w:numId w:val="1"/>
        </w:numPr>
        <w:bidi/>
        <w:rPr>
          <w:rFonts w:ascii="Arial" w:hAnsi="Arial" w:cs="Arial"/>
          <w:sz w:val="28"/>
          <w:szCs w:val="28"/>
        </w:rPr>
      </w:pPr>
      <w:r w:rsidRPr="00136672">
        <w:rPr>
          <w:rFonts w:ascii="Arial" w:hAnsi="Arial" w:cs="Arial"/>
          <w:sz w:val="28"/>
          <w:szCs w:val="28"/>
          <w:rtl/>
        </w:rPr>
        <w:t>الملحقات</w:t>
      </w:r>
    </w:p>
    <w:p w:rsidR="0073031E" w:rsidRPr="00136672" w:rsidRDefault="0073031E" w:rsidP="0073031E">
      <w:pPr>
        <w:bidi/>
        <w:ind w:left="360"/>
        <w:rPr>
          <w:rFonts w:ascii="Arial" w:hAnsi="Arial" w:cs="Arial"/>
          <w:sz w:val="28"/>
          <w:szCs w:val="28"/>
          <w:rtl/>
        </w:rPr>
      </w:pPr>
      <w:r w:rsidRPr="00136672">
        <w:rPr>
          <w:rFonts w:ascii="Arial" w:hAnsi="Arial" w:cs="Arial"/>
          <w:sz w:val="28"/>
          <w:szCs w:val="28"/>
          <w:rtl/>
        </w:rPr>
        <w:lastRenderedPageBreak/>
        <w:t>تشمل إي وثيقة إضافية تم إصدارها في خلال اي من المراحل التالية:</w:t>
      </w:r>
    </w:p>
    <w:p w:rsidR="0073031E" w:rsidRPr="00136672" w:rsidRDefault="0073031E" w:rsidP="0073031E">
      <w:pPr>
        <w:pStyle w:val="ListParagraph"/>
        <w:numPr>
          <w:ilvl w:val="0"/>
          <w:numId w:val="2"/>
        </w:numPr>
        <w:bidi/>
        <w:rPr>
          <w:rFonts w:ascii="Arial" w:hAnsi="Arial" w:cs="Arial"/>
          <w:sz w:val="28"/>
          <w:szCs w:val="28"/>
        </w:rPr>
      </w:pPr>
      <w:r w:rsidRPr="00136672">
        <w:rPr>
          <w:rFonts w:ascii="Arial" w:hAnsi="Arial" w:cs="Arial"/>
          <w:sz w:val="28"/>
          <w:szCs w:val="28"/>
          <w:rtl/>
        </w:rPr>
        <w:t>التأهب</w:t>
      </w:r>
    </w:p>
    <w:p w:rsidR="0073031E" w:rsidRPr="00136672" w:rsidRDefault="0073031E" w:rsidP="0073031E">
      <w:pPr>
        <w:pStyle w:val="ListParagraph"/>
        <w:numPr>
          <w:ilvl w:val="0"/>
          <w:numId w:val="2"/>
        </w:numPr>
        <w:bidi/>
        <w:rPr>
          <w:rFonts w:ascii="Arial" w:hAnsi="Arial" w:cs="Arial"/>
          <w:sz w:val="28"/>
          <w:szCs w:val="28"/>
        </w:rPr>
      </w:pPr>
      <w:r w:rsidRPr="00136672">
        <w:rPr>
          <w:rFonts w:ascii="Arial" w:hAnsi="Arial" w:cs="Arial"/>
          <w:sz w:val="28"/>
          <w:szCs w:val="28"/>
          <w:rtl/>
        </w:rPr>
        <w:t>التقييم</w:t>
      </w:r>
    </w:p>
    <w:p w:rsidR="0073031E" w:rsidRPr="00136672" w:rsidRDefault="0073031E" w:rsidP="0073031E">
      <w:pPr>
        <w:pStyle w:val="ListParagraph"/>
        <w:numPr>
          <w:ilvl w:val="0"/>
          <w:numId w:val="2"/>
        </w:numPr>
        <w:bidi/>
        <w:rPr>
          <w:rFonts w:ascii="Arial" w:hAnsi="Arial" w:cs="Arial"/>
          <w:sz w:val="28"/>
          <w:szCs w:val="28"/>
        </w:rPr>
      </w:pPr>
      <w:r w:rsidRPr="00136672">
        <w:rPr>
          <w:rFonts w:ascii="Arial" w:hAnsi="Arial" w:cs="Arial"/>
          <w:sz w:val="28"/>
          <w:szCs w:val="28"/>
          <w:rtl/>
        </w:rPr>
        <w:t>تحليل المخاطر</w:t>
      </w:r>
    </w:p>
    <w:p w:rsidR="0073031E" w:rsidRPr="00136672" w:rsidRDefault="0073031E" w:rsidP="0073031E">
      <w:pPr>
        <w:pStyle w:val="ListParagraph"/>
        <w:numPr>
          <w:ilvl w:val="0"/>
          <w:numId w:val="2"/>
        </w:numPr>
        <w:bidi/>
        <w:rPr>
          <w:rFonts w:ascii="Arial" w:hAnsi="Arial" w:cs="Arial"/>
          <w:sz w:val="28"/>
          <w:szCs w:val="28"/>
        </w:rPr>
      </w:pPr>
      <w:r w:rsidRPr="00136672">
        <w:rPr>
          <w:rFonts w:ascii="Arial" w:hAnsi="Arial" w:cs="Arial"/>
          <w:sz w:val="28"/>
          <w:szCs w:val="28"/>
          <w:rtl/>
        </w:rPr>
        <w:t>وضع البرامج وتنفيذها</w:t>
      </w:r>
    </w:p>
    <w:p w:rsidR="0073031E" w:rsidRPr="00136672" w:rsidRDefault="0073031E" w:rsidP="0073031E">
      <w:pPr>
        <w:pStyle w:val="ListParagraph"/>
        <w:numPr>
          <w:ilvl w:val="0"/>
          <w:numId w:val="2"/>
        </w:numPr>
        <w:bidi/>
        <w:rPr>
          <w:rFonts w:ascii="Arial" w:hAnsi="Arial" w:cs="Arial"/>
          <w:sz w:val="28"/>
          <w:szCs w:val="28"/>
        </w:rPr>
      </w:pPr>
      <w:r w:rsidRPr="00136672">
        <w:rPr>
          <w:rFonts w:ascii="Arial" w:hAnsi="Arial" w:cs="Arial"/>
          <w:sz w:val="28"/>
          <w:szCs w:val="28"/>
          <w:rtl/>
        </w:rPr>
        <w:t>المراقبة والتتبع</w:t>
      </w:r>
    </w:p>
    <w:p w:rsidR="0073031E" w:rsidRPr="00136672" w:rsidRDefault="0073031E" w:rsidP="0073031E">
      <w:pPr>
        <w:bidi/>
        <w:ind w:left="360"/>
        <w:rPr>
          <w:rFonts w:ascii="Arial" w:hAnsi="Arial" w:cs="Arial"/>
          <w:sz w:val="28"/>
          <w:szCs w:val="28"/>
          <w:rtl/>
        </w:rPr>
      </w:pPr>
      <w:r w:rsidRPr="00136672">
        <w:rPr>
          <w:rFonts w:ascii="Arial" w:hAnsi="Arial" w:cs="Arial"/>
          <w:sz w:val="28"/>
          <w:szCs w:val="28"/>
          <w:rtl/>
        </w:rPr>
        <w:t>وتشمل أيضاً أي وثيقة إ</w:t>
      </w:r>
      <w:r w:rsidR="00C07A9F" w:rsidRPr="00136672">
        <w:rPr>
          <w:rFonts w:ascii="Arial" w:hAnsi="Arial" w:cs="Arial"/>
          <w:sz w:val="28"/>
          <w:szCs w:val="28"/>
          <w:rtl/>
        </w:rPr>
        <w:t>ضافية مرتبطة بالخدمات المعيارية، أوالقسائم، أو النماذج التي يجب اتباعها.</w:t>
      </w:r>
    </w:p>
    <w:p w:rsidR="00C07A9F" w:rsidRPr="00136672" w:rsidRDefault="00C07A9F" w:rsidP="00985356">
      <w:pPr>
        <w:bidi/>
        <w:ind w:left="360"/>
        <w:rPr>
          <w:rFonts w:ascii="Arial" w:hAnsi="Arial" w:cs="Arial"/>
          <w:sz w:val="28"/>
          <w:szCs w:val="28"/>
          <w:rtl/>
        </w:rPr>
      </w:pPr>
      <w:r w:rsidRPr="00136672">
        <w:rPr>
          <w:rFonts w:ascii="Arial" w:hAnsi="Arial" w:cs="Arial"/>
          <w:sz w:val="28"/>
          <w:szCs w:val="28"/>
          <w:rtl/>
        </w:rPr>
        <w:t xml:space="preserve">مثلاً: </w:t>
      </w:r>
      <w:r w:rsidR="00985356" w:rsidRPr="00136672">
        <w:rPr>
          <w:rFonts w:ascii="Arial" w:hAnsi="Arial" w:cs="Arial"/>
          <w:sz w:val="28"/>
          <w:szCs w:val="28"/>
          <w:rtl/>
        </w:rPr>
        <w:t xml:space="preserve">دور الاتحاد الدولي لجمعيات الصليب الأحمر والهلال الأحمر ومهامه في </w:t>
      </w:r>
      <w:r w:rsidR="00985356" w:rsidRPr="00136672">
        <w:rPr>
          <w:rFonts w:ascii="Arial" w:hAnsi="Arial" w:cs="Arial"/>
          <w:sz w:val="28"/>
          <w:szCs w:val="28"/>
          <w:rtl/>
        </w:rPr>
        <w:tab/>
        <w:t xml:space="preserve"> إدارة الجمارك وحماية الحدود (المصدر </w:t>
      </w:r>
      <w:proofErr w:type="spellStart"/>
      <w:r w:rsidR="00985356" w:rsidRPr="00136672">
        <w:rPr>
          <w:rFonts w:ascii="Arial" w:hAnsi="Arial" w:cs="Arial"/>
          <w:sz w:val="28"/>
          <w:szCs w:val="28"/>
        </w:rPr>
        <w:t>IFRC</w:t>
      </w:r>
      <w:proofErr w:type="spellEnd"/>
      <w:r w:rsidR="00985356" w:rsidRPr="00136672">
        <w:rPr>
          <w:rFonts w:ascii="Arial" w:hAnsi="Arial" w:cs="Arial"/>
          <w:sz w:val="28"/>
          <w:szCs w:val="28"/>
        </w:rPr>
        <w:t xml:space="preserve"> </w:t>
      </w:r>
      <w:proofErr w:type="spellStart"/>
      <w:r w:rsidR="00985356" w:rsidRPr="00136672">
        <w:rPr>
          <w:rFonts w:ascii="Arial" w:hAnsi="Arial" w:cs="Arial"/>
          <w:sz w:val="28"/>
          <w:szCs w:val="28"/>
        </w:rPr>
        <w:t>CBP</w:t>
      </w:r>
      <w:proofErr w:type="spellEnd"/>
      <w:r w:rsidR="00985356" w:rsidRPr="00136672">
        <w:rPr>
          <w:rFonts w:ascii="Arial" w:hAnsi="Arial" w:cs="Arial"/>
          <w:sz w:val="28"/>
          <w:szCs w:val="28"/>
        </w:rPr>
        <w:t xml:space="preserve"> SOPs v 14</w:t>
      </w:r>
      <w:r w:rsidR="00985356" w:rsidRPr="00136672">
        <w:rPr>
          <w:rFonts w:ascii="Arial" w:hAnsi="Arial" w:cs="Arial"/>
          <w:sz w:val="28"/>
          <w:szCs w:val="28"/>
          <w:rt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9"/>
        <w:gridCol w:w="7587"/>
      </w:tblGrid>
      <w:tr w:rsidR="00985356" w:rsidRPr="00136672" w:rsidTr="008F3D9D">
        <w:tc>
          <w:tcPr>
            <w:tcW w:w="0" w:type="pct"/>
            <w:tcBorders>
              <w:bottom w:val="single" w:sz="4" w:space="0" w:color="auto"/>
            </w:tcBorders>
            <w:shd w:val="clear" w:color="auto" w:fill="DC281E"/>
            <w:vAlign w:val="center"/>
          </w:tcPr>
          <w:p w:rsidR="00985356" w:rsidRPr="00136672" w:rsidRDefault="00985356" w:rsidP="008F3D9D">
            <w:pPr>
              <w:pStyle w:val="ListParagraph"/>
              <w:spacing w:before="120" w:after="120"/>
              <w:contextualSpacing w:val="0"/>
              <w:jc w:val="center"/>
              <w:rPr>
                <w:rFonts w:ascii="Arial" w:hAnsi="Arial" w:cs="Arial"/>
                <w:b/>
                <w:color w:val="FFFFFF" w:themeColor="background1"/>
                <w:sz w:val="28"/>
                <w:szCs w:val="28"/>
              </w:rPr>
            </w:pPr>
            <w:r w:rsidRPr="00136672">
              <w:rPr>
                <w:rFonts w:ascii="Arial" w:hAnsi="Arial" w:cs="Arial"/>
                <w:b/>
                <w:color w:val="FFFFFF" w:themeColor="background1"/>
                <w:sz w:val="28"/>
                <w:szCs w:val="28"/>
                <w:rtl/>
              </w:rPr>
              <w:t>المهام</w:t>
            </w:r>
          </w:p>
        </w:tc>
        <w:tc>
          <w:tcPr>
            <w:tcW w:w="0" w:type="pct"/>
            <w:tcBorders>
              <w:bottom w:val="single" w:sz="4" w:space="0" w:color="auto"/>
            </w:tcBorders>
            <w:shd w:val="clear" w:color="auto" w:fill="DC281E"/>
            <w:vAlign w:val="center"/>
          </w:tcPr>
          <w:p w:rsidR="00985356" w:rsidRPr="00136672" w:rsidRDefault="00985356" w:rsidP="008F3D9D">
            <w:pPr>
              <w:pStyle w:val="ListParagraph"/>
              <w:spacing w:before="120" w:after="120"/>
              <w:contextualSpacing w:val="0"/>
              <w:jc w:val="center"/>
              <w:rPr>
                <w:rFonts w:ascii="Arial" w:hAnsi="Arial" w:cs="Arial"/>
                <w:b/>
                <w:i/>
                <w:color w:val="FFFFFF" w:themeColor="background1"/>
                <w:sz w:val="28"/>
                <w:szCs w:val="28"/>
              </w:rPr>
            </w:pPr>
            <w:r w:rsidRPr="00136672">
              <w:rPr>
                <w:rFonts w:ascii="Arial" w:hAnsi="Arial" w:cs="Arial"/>
                <w:b/>
                <w:color w:val="FFFFFF" w:themeColor="background1"/>
                <w:sz w:val="28"/>
                <w:szCs w:val="28"/>
                <w:rtl/>
              </w:rPr>
              <w:t>الوظائف (في إطار برامج التحويلات النقدية)</w:t>
            </w:r>
          </w:p>
        </w:tc>
      </w:tr>
      <w:tr w:rsidR="00985356" w:rsidRPr="00136672" w:rsidTr="008F3D9D">
        <w:tc>
          <w:tcPr>
            <w:tcW w:w="990" w:type="pct"/>
            <w:tcBorders>
              <w:top w:val="single" w:sz="4" w:space="0" w:color="auto"/>
              <w:left w:val="single" w:sz="4" w:space="0" w:color="auto"/>
              <w:bottom w:val="single" w:sz="4" w:space="0" w:color="auto"/>
              <w:right w:val="single" w:sz="4" w:space="0" w:color="auto"/>
            </w:tcBorders>
            <w:shd w:val="clear" w:color="auto" w:fill="A6A6A6"/>
          </w:tcPr>
          <w:p w:rsidR="00985356" w:rsidRPr="00136672" w:rsidRDefault="00985356" w:rsidP="00985356">
            <w:pPr>
              <w:pStyle w:val="ListParagraph"/>
              <w:rPr>
                <w:rFonts w:ascii="Arial" w:hAnsi="Arial" w:cs="Arial"/>
                <w:sz w:val="28"/>
                <w:szCs w:val="28"/>
              </w:rPr>
            </w:pPr>
            <w:r w:rsidRPr="00136672">
              <w:rPr>
                <w:rFonts w:ascii="Arial" w:hAnsi="Arial" w:cs="Arial"/>
                <w:sz w:val="28"/>
                <w:szCs w:val="28"/>
                <w:rtl/>
              </w:rPr>
              <w:t>البرامج (بما في ذلك التواصل مع المستفيدين، والتخطيط، والمراقبة، والتتبع، وإعداد التقارير).</w:t>
            </w:r>
            <w:r w:rsidRPr="00136672">
              <w:rPr>
                <w:rFonts w:ascii="Arial" w:hAnsi="Arial" w:cs="Arial"/>
                <w:sz w:val="28"/>
                <w:szCs w:val="28"/>
              </w:rPr>
              <w:br/>
            </w:r>
          </w:p>
        </w:tc>
        <w:tc>
          <w:tcPr>
            <w:tcW w:w="4010" w:type="pct"/>
            <w:tcBorders>
              <w:top w:val="single" w:sz="4" w:space="0" w:color="auto"/>
              <w:left w:val="single" w:sz="4" w:space="0" w:color="auto"/>
              <w:bottom w:val="single" w:sz="4" w:space="0" w:color="auto"/>
              <w:right w:val="single" w:sz="4" w:space="0" w:color="auto"/>
            </w:tcBorders>
            <w:shd w:val="clear" w:color="auto" w:fill="E6E6E6"/>
          </w:tcPr>
          <w:p w:rsidR="00FA61C8" w:rsidRPr="00136672" w:rsidRDefault="00FA61C8" w:rsidP="00FA61C8">
            <w:pPr>
              <w:pStyle w:val="Bullet2"/>
              <w:rPr>
                <w:sz w:val="28"/>
                <w:szCs w:val="28"/>
              </w:rPr>
            </w:pPr>
            <w:r w:rsidRPr="00136672">
              <w:rPr>
                <w:sz w:val="28"/>
                <w:szCs w:val="28"/>
                <w:rtl/>
              </w:rPr>
              <w:t xml:space="preserve">تولي إدارة البرامج المعنية بإدارة الجمارك وحماية الحدود، بما في ذلك وضع المعايير الخاصة بالخدمات المساندة. </w:t>
            </w:r>
          </w:p>
          <w:p w:rsidR="00985356" w:rsidRPr="00136672" w:rsidRDefault="00936614" w:rsidP="00500799">
            <w:pPr>
              <w:pStyle w:val="Bullet2"/>
              <w:rPr>
                <w:sz w:val="28"/>
                <w:szCs w:val="28"/>
              </w:rPr>
            </w:pPr>
            <w:r w:rsidRPr="00136672">
              <w:rPr>
                <w:sz w:val="28"/>
                <w:szCs w:val="28"/>
                <w:rtl/>
              </w:rPr>
              <w:t xml:space="preserve">إدارة عملية تقييم الحاجات وملاءمة تدابير إدارة الجمارك وحماية الحدود، وتحديد الآليات الفضلى لتحويل النقود وتسليمها، وتأمين تصميم </w:t>
            </w:r>
            <w:r w:rsidR="00500799" w:rsidRPr="00136672">
              <w:rPr>
                <w:sz w:val="28"/>
                <w:szCs w:val="28"/>
                <w:rtl/>
              </w:rPr>
              <w:t>للبرامج ذات جودة عالية.</w:t>
            </w:r>
          </w:p>
          <w:p w:rsidR="00500799" w:rsidRPr="00136672" w:rsidRDefault="00500799" w:rsidP="00500799">
            <w:pPr>
              <w:pStyle w:val="Bullet2"/>
              <w:rPr>
                <w:sz w:val="28"/>
                <w:szCs w:val="28"/>
              </w:rPr>
            </w:pPr>
            <w:r w:rsidRPr="00136672">
              <w:rPr>
                <w:sz w:val="28"/>
                <w:szCs w:val="28"/>
                <w:rtl/>
              </w:rPr>
              <w:t>تقديم النصائح والاشرادات حول تفضيلات المستفيدين وإدارة الجمارك للجهات المعنية المعنية ببرامج التحويلات النقدية.</w:t>
            </w:r>
          </w:p>
          <w:p w:rsidR="00500799" w:rsidRPr="00136672" w:rsidRDefault="00ED488D" w:rsidP="00500799">
            <w:pPr>
              <w:pStyle w:val="Bullet2"/>
              <w:rPr>
                <w:sz w:val="28"/>
                <w:szCs w:val="28"/>
              </w:rPr>
            </w:pPr>
            <w:r w:rsidRPr="00136672">
              <w:rPr>
                <w:sz w:val="28"/>
                <w:szCs w:val="28"/>
                <w:rtl/>
              </w:rPr>
              <w:t xml:space="preserve">وضع استراتيجية مناسبة للتواصل ( بما فيها آليات الابلاغ عن المخالفات والآراء) تتوافق مع آليات التسليم و إدارة الجمارك وحماية الحدود، وذلك بالتشاور مع الجمعية الوطنية والسكان المتضررين. </w:t>
            </w:r>
          </w:p>
          <w:p w:rsidR="00ED488D" w:rsidRPr="00136672" w:rsidRDefault="002B73A5" w:rsidP="00ED488D">
            <w:pPr>
              <w:pStyle w:val="Bullet2"/>
              <w:rPr>
                <w:sz w:val="28"/>
                <w:szCs w:val="28"/>
              </w:rPr>
            </w:pPr>
            <w:r w:rsidRPr="00136672">
              <w:rPr>
                <w:sz w:val="28"/>
                <w:szCs w:val="28"/>
                <w:rtl/>
              </w:rPr>
              <w:t>تقديم النصائح/الدعم حول وضع خطط المراقبة والتتبع المتعلقة بالوسائل ا</w:t>
            </w:r>
            <w:r w:rsidR="00CC07A6" w:rsidRPr="00136672">
              <w:rPr>
                <w:sz w:val="28"/>
                <w:szCs w:val="28"/>
                <w:rtl/>
              </w:rPr>
              <w:t>لفضلى وتواتر عملية جمع البيانات،</w:t>
            </w:r>
            <w:r w:rsidRPr="00136672">
              <w:rPr>
                <w:sz w:val="28"/>
                <w:szCs w:val="28"/>
                <w:rtl/>
              </w:rPr>
              <w:t xml:space="preserve"> من أجل </w:t>
            </w:r>
            <w:r w:rsidR="00CC07A6" w:rsidRPr="00136672">
              <w:rPr>
                <w:sz w:val="28"/>
                <w:szCs w:val="28"/>
                <w:rtl/>
              </w:rPr>
              <w:t>رصد جودة إدارة الجمارك وحماية الحدود وأثرها.</w:t>
            </w:r>
          </w:p>
          <w:p w:rsidR="00CC07A6" w:rsidRPr="00136672" w:rsidRDefault="00CC07A6" w:rsidP="00CC07A6">
            <w:pPr>
              <w:pStyle w:val="Bullet2"/>
              <w:rPr>
                <w:sz w:val="28"/>
                <w:szCs w:val="28"/>
              </w:rPr>
            </w:pPr>
            <w:r w:rsidRPr="00136672">
              <w:rPr>
                <w:sz w:val="28"/>
                <w:szCs w:val="28"/>
                <w:rtl/>
              </w:rPr>
              <w:t>تعميم الممارسات السليمة</w:t>
            </w:r>
            <w:r w:rsidR="003550FD" w:rsidRPr="00136672">
              <w:rPr>
                <w:sz w:val="28"/>
                <w:szCs w:val="28"/>
                <w:rtl/>
              </w:rPr>
              <w:t xml:space="preserve"> ونهج ومعايير </w:t>
            </w:r>
            <w:r w:rsidR="00AB1895" w:rsidRPr="00136672">
              <w:rPr>
                <w:sz w:val="28"/>
                <w:szCs w:val="28"/>
                <w:rtl/>
              </w:rPr>
              <w:t>البرمجة</w:t>
            </w:r>
            <w:r w:rsidRPr="00136672">
              <w:rPr>
                <w:sz w:val="28"/>
                <w:szCs w:val="28"/>
                <w:rtl/>
              </w:rPr>
              <w:t xml:space="preserve"> المتعلقة بإدارة الجمارك وحماية الحدود </w:t>
            </w:r>
            <w:r w:rsidR="00AB1895" w:rsidRPr="00136672">
              <w:rPr>
                <w:sz w:val="28"/>
                <w:szCs w:val="28"/>
                <w:rtl/>
              </w:rPr>
              <w:t>عبر الاستناد إلى شبكات معينة وخبرات الاتحاد (مثل</w:t>
            </w:r>
            <w:r w:rsidR="009D60EE" w:rsidRPr="00136672">
              <w:rPr>
                <w:sz w:val="28"/>
                <w:szCs w:val="28"/>
                <w:rtl/>
              </w:rPr>
              <w:t xml:space="preserve"> الفريق المنعني  بالتحويلات النقدية في</w:t>
            </w:r>
            <w:r w:rsidR="00AB1895" w:rsidRPr="00136672">
              <w:rPr>
                <w:sz w:val="28"/>
                <w:szCs w:val="28"/>
                <w:rtl/>
              </w:rPr>
              <w:t xml:space="preserve"> الحركة الدو</w:t>
            </w:r>
            <w:r w:rsidR="00D45193" w:rsidRPr="00136672">
              <w:rPr>
                <w:sz w:val="28"/>
                <w:szCs w:val="28"/>
                <w:rtl/>
              </w:rPr>
              <w:t>لية للصليب الأح</w:t>
            </w:r>
            <w:r w:rsidR="009D60EE" w:rsidRPr="00136672">
              <w:rPr>
                <w:sz w:val="28"/>
                <w:szCs w:val="28"/>
                <w:rtl/>
              </w:rPr>
              <w:t>مر والهلال الأحمر، والمجموعة</w:t>
            </w:r>
            <w:r w:rsidR="00D45193" w:rsidRPr="00136672">
              <w:rPr>
                <w:sz w:val="28"/>
                <w:szCs w:val="28"/>
                <w:rtl/>
              </w:rPr>
              <w:t xml:space="preserve"> المعني بتأمين المأوى، والـشراكة </w:t>
            </w:r>
            <w:r w:rsidR="00E4662E" w:rsidRPr="00136672">
              <w:rPr>
                <w:sz w:val="28"/>
                <w:szCs w:val="28"/>
                <w:rtl/>
              </w:rPr>
              <w:t xml:space="preserve">مع </w:t>
            </w:r>
            <w:proofErr w:type="spellStart"/>
            <w:r w:rsidR="00D45193" w:rsidRPr="00136672">
              <w:rPr>
                <w:sz w:val="28"/>
                <w:szCs w:val="28"/>
                <w:lang w:val="en-US"/>
              </w:rPr>
              <w:t>CaLP</w:t>
            </w:r>
            <w:proofErr w:type="spellEnd"/>
            <w:r w:rsidR="00D45193" w:rsidRPr="00136672">
              <w:rPr>
                <w:sz w:val="28"/>
                <w:szCs w:val="28"/>
                <w:rtl/>
                <w:lang w:val="en-US"/>
              </w:rPr>
              <w:t>)</w:t>
            </w:r>
          </w:p>
          <w:p w:rsidR="00985356" w:rsidRPr="00136672" w:rsidRDefault="00985356" w:rsidP="00FA61C8">
            <w:pPr>
              <w:pStyle w:val="Bullet2"/>
              <w:rPr>
                <w:b/>
                <w:sz w:val="28"/>
                <w:szCs w:val="28"/>
              </w:rPr>
            </w:pPr>
          </w:p>
        </w:tc>
      </w:tr>
      <w:tr w:rsidR="00985356" w:rsidRPr="00136672" w:rsidTr="008F3D9D">
        <w:tc>
          <w:tcPr>
            <w:tcW w:w="990" w:type="pct"/>
            <w:shd w:val="clear" w:color="auto" w:fill="A6A6A6"/>
          </w:tcPr>
          <w:p w:rsidR="00985356" w:rsidRPr="00136672" w:rsidRDefault="00985356" w:rsidP="008F3D9D">
            <w:pPr>
              <w:pStyle w:val="ListParagraph"/>
              <w:rPr>
                <w:rFonts w:ascii="Arial" w:hAnsi="Arial" w:cs="Arial"/>
                <w:sz w:val="28"/>
                <w:szCs w:val="28"/>
              </w:rPr>
            </w:pPr>
            <w:r w:rsidRPr="00136672">
              <w:rPr>
                <w:rFonts w:ascii="Arial" w:hAnsi="Arial" w:cs="Arial"/>
                <w:sz w:val="28"/>
                <w:szCs w:val="28"/>
                <w:rtl/>
              </w:rPr>
              <w:t>الشؤون اللوجيستية</w:t>
            </w:r>
          </w:p>
        </w:tc>
        <w:tc>
          <w:tcPr>
            <w:tcW w:w="4010" w:type="pct"/>
            <w:shd w:val="clear" w:color="auto" w:fill="E6E6E6"/>
          </w:tcPr>
          <w:p w:rsidR="00E02915" w:rsidRPr="00136672" w:rsidRDefault="00E02915" w:rsidP="00E02915">
            <w:pPr>
              <w:pStyle w:val="Bullet2"/>
              <w:rPr>
                <w:sz w:val="28"/>
                <w:szCs w:val="28"/>
              </w:rPr>
            </w:pPr>
            <w:r w:rsidRPr="00136672">
              <w:rPr>
                <w:sz w:val="28"/>
                <w:szCs w:val="28"/>
                <w:rtl/>
              </w:rPr>
              <w:t>المشاركة في عملية التقييم لاسيما في مجال تقييم الأسواق وإدارة الجمارك وحماية الحدود، بفضل توفر المهارات الطلوبة لتحليل أنظمة السوق، وتقييم التجار، ومقدمي الخدمات.</w:t>
            </w:r>
          </w:p>
          <w:p w:rsidR="00364203" w:rsidRPr="00136672" w:rsidRDefault="00364203" w:rsidP="00364203">
            <w:pPr>
              <w:pStyle w:val="Bullet2"/>
              <w:rPr>
                <w:sz w:val="28"/>
                <w:szCs w:val="28"/>
              </w:rPr>
            </w:pPr>
            <w:r w:rsidRPr="00136672">
              <w:rPr>
                <w:sz w:val="28"/>
                <w:szCs w:val="28"/>
                <w:rtl/>
              </w:rPr>
              <w:t>إدارة المناقصة والتعاقد في ما يتعلق بالسلع و/أو القسائم النقدية والأطراف الثالثة/شركات التحويل.</w:t>
            </w:r>
          </w:p>
          <w:p w:rsidR="00985356" w:rsidRPr="00136672" w:rsidRDefault="003F686F" w:rsidP="00FA61C8">
            <w:pPr>
              <w:pStyle w:val="Bullet2"/>
              <w:rPr>
                <w:sz w:val="28"/>
                <w:szCs w:val="28"/>
              </w:rPr>
            </w:pPr>
            <w:r w:rsidRPr="00136672">
              <w:rPr>
                <w:sz w:val="28"/>
                <w:szCs w:val="28"/>
                <w:rtl/>
              </w:rPr>
              <w:t>تتبع جودة الخدمات التي يقدمها الموردين</w:t>
            </w:r>
          </w:p>
          <w:p w:rsidR="003F686F" w:rsidRPr="00136672" w:rsidRDefault="003F686F" w:rsidP="003F686F">
            <w:pPr>
              <w:pStyle w:val="Bullet2"/>
              <w:rPr>
                <w:sz w:val="28"/>
                <w:szCs w:val="28"/>
              </w:rPr>
            </w:pPr>
            <w:r w:rsidRPr="00136672">
              <w:rPr>
                <w:sz w:val="28"/>
                <w:szCs w:val="28"/>
                <w:rtl/>
              </w:rPr>
              <w:lastRenderedPageBreak/>
              <w:t>دعم أنشطة تتبع السلع الأساسية على نطاق واسع</w:t>
            </w:r>
          </w:p>
        </w:tc>
      </w:tr>
      <w:tr w:rsidR="00985356" w:rsidRPr="00136672" w:rsidTr="008F3D9D">
        <w:tc>
          <w:tcPr>
            <w:tcW w:w="990" w:type="pct"/>
            <w:shd w:val="clear" w:color="auto" w:fill="A6A6A6"/>
          </w:tcPr>
          <w:p w:rsidR="00985356" w:rsidRPr="00136672" w:rsidRDefault="00985356" w:rsidP="008F3D9D">
            <w:pPr>
              <w:pStyle w:val="ListParagraph"/>
              <w:rPr>
                <w:rFonts w:ascii="Arial" w:hAnsi="Arial" w:cs="Arial"/>
                <w:sz w:val="28"/>
                <w:szCs w:val="28"/>
              </w:rPr>
            </w:pPr>
            <w:r w:rsidRPr="00136672">
              <w:rPr>
                <w:rFonts w:ascii="Arial" w:hAnsi="Arial" w:cs="Arial"/>
                <w:sz w:val="28"/>
                <w:szCs w:val="28"/>
                <w:rtl/>
              </w:rPr>
              <w:lastRenderedPageBreak/>
              <w:t>الشؤون المالية</w:t>
            </w:r>
          </w:p>
        </w:tc>
        <w:tc>
          <w:tcPr>
            <w:tcW w:w="4010" w:type="pct"/>
            <w:shd w:val="clear" w:color="auto" w:fill="E6E6E6"/>
          </w:tcPr>
          <w:p w:rsidR="00397F2A" w:rsidRPr="00136672" w:rsidRDefault="00397F2A" w:rsidP="00397F2A">
            <w:pPr>
              <w:pStyle w:val="Bullet2"/>
              <w:rPr>
                <w:sz w:val="28"/>
                <w:szCs w:val="28"/>
              </w:rPr>
            </w:pPr>
            <w:r w:rsidRPr="00136672">
              <w:rPr>
                <w:sz w:val="28"/>
                <w:szCs w:val="28"/>
                <w:rtl/>
              </w:rPr>
              <w:t xml:space="preserve">تقديم الدعم والمشاركة في تقييم الوضع التقدي مثل الخبراء الماليين في الاتحاد الدولي لجمعيات الصليب الأحمر والهلال الأحمر.  </w:t>
            </w:r>
          </w:p>
          <w:p w:rsidR="00052809" w:rsidRPr="00136672" w:rsidRDefault="00052809" w:rsidP="00052809">
            <w:pPr>
              <w:pStyle w:val="Bullet2"/>
              <w:rPr>
                <w:sz w:val="28"/>
                <w:szCs w:val="28"/>
              </w:rPr>
            </w:pPr>
            <w:r w:rsidRPr="00136672">
              <w:rPr>
                <w:sz w:val="28"/>
                <w:szCs w:val="28"/>
                <w:rtl/>
              </w:rPr>
              <w:t xml:space="preserve">وضع معايير مالية، وتحديد الأطراف الثالثة/وشركات التحويل، وتقييم المعايير المالية، والموافقة على الأطراف المختارة عبر المناقصة بما يتوافق مع تدابير الاتحاد المصرفية والمعنية بالعمولات. </w:t>
            </w:r>
          </w:p>
          <w:p w:rsidR="00052809" w:rsidRPr="00136672" w:rsidRDefault="00052809" w:rsidP="00052809">
            <w:pPr>
              <w:pStyle w:val="Bullet2"/>
              <w:rPr>
                <w:sz w:val="28"/>
                <w:szCs w:val="28"/>
              </w:rPr>
            </w:pPr>
            <w:r w:rsidRPr="00136672">
              <w:rPr>
                <w:sz w:val="28"/>
                <w:szCs w:val="28"/>
                <w:rtl/>
              </w:rPr>
              <w:t xml:space="preserve">تقديم الدعم لتصميم نظم إعداد التقارير المالية في مرحلة تصميم البرنامج. </w:t>
            </w:r>
          </w:p>
          <w:p w:rsidR="00052809" w:rsidRPr="00136672" w:rsidRDefault="00052809" w:rsidP="00052809">
            <w:pPr>
              <w:pStyle w:val="Bullet2"/>
              <w:rPr>
                <w:sz w:val="28"/>
                <w:szCs w:val="28"/>
              </w:rPr>
            </w:pPr>
            <w:r w:rsidRPr="00136672">
              <w:rPr>
                <w:sz w:val="28"/>
                <w:szCs w:val="28"/>
                <w:rtl/>
              </w:rPr>
              <w:t>التحقق من صحة التقارير المالية لضمان المساءلة المالية</w:t>
            </w:r>
          </w:p>
          <w:p w:rsidR="00985356" w:rsidRPr="00136672" w:rsidRDefault="00985356" w:rsidP="00052809">
            <w:pPr>
              <w:pStyle w:val="Bullet2"/>
              <w:numPr>
                <w:ilvl w:val="0"/>
                <w:numId w:val="0"/>
              </w:numPr>
              <w:ind w:left="422" w:hanging="284"/>
              <w:rPr>
                <w:sz w:val="28"/>
                <w:szCs w:val="28"/>
              </w:rPr>
            </w:pPr>
          </w:p>
        </w:tc>
      </w:tr>
      <w:tr w:rsidR="00985356" w:rsidRPr="00136672" w:rsidTr="008F3D9D">
        <w:tc>
          <w:tcPr>
            <w:tcW w:w="990" w:type="pct"/>
            <w:shd w:val="clear" w:color="auto" w:fill="A6A6A6"/>
          </w:tcPr>
          <w:p w:rsidR="00985356" w:rsidRPr="00136672" w:rsidRDefault="00985356" w:rsidP="008F3D9D">
            <w:pPr>
              <w:pStyle w:val="ListParagraph"/>
              <w:rPr>
                <w:rFonts w:ascii="Arial" w:hAnsi="Arial" w:cs="Arial"/>
                <w:sz w:val="28"/>
                <w:szCs w:val="28"/>
              </w:rPr>
            </w:pPr>
            <w:r w:rsidRPr="00136672">
              <w:rPr>
                <w:rFonts w:ascii="Arial" w:hAnsi="Arial" w:cs="Arial"/>
                <w:sz w:val="28"/>
                <w:szCs w:val="28"/>
                <w:rtl/>
              </w:rPr>
              <w:t>الأمن</w:t>
            </w:r>
          </w:p>
        </w:tc>
        <w:tc>
          <w:tcPr>
            <w:tcW w:w="4010" w:type="pct"/>
            <w:shd w:val="clear" w:color="auto" w:fill="E6E6E6"/>
          </w:tcPr>
          <w:p w:rsidR="00985356" w:rsidRPr="00136672" w:rsidRDefault="00B13484" w:rsidP="00E921D4">
            <w:pPr>
              <w:pStyle w:val="Bullet2"/>
              <w:rPr>
                <w:sz w:val="28"/>
                <w:szCs w:val="28"/>
              </w:rPr>
            </w:pPr>
            <w:r w:rsidRPr="00136672">
              <w:rPr>
                <w:sz w:val="28"/>
                <w:szCs w:val="28"/>
                <w:rtl/>
              </w:rPr>
              <w:t xml:space="preserve">المشاركة في عمليات تقييم المخاطر الأمنية </w:t>
            </w:r>
            <w:r w:rsidR="002E6434" w:rsidRPr="00136672">
              <w:rPr>
                <w:sz w:val="28"/>
                <w:szCs w:val="28"/>
                <w:rtl/>
              </w:rPr>
              <w:t xml:space="preserve">للتأكد من أن </w:t>
            </w:r>
            <w:r w:rsidRPr="00136672">
              <w:rPr>
                <w:sz w:val="28"/>
                <w:szCs w:val="28"/>
                <w:rtl/>
              </w:rPr>
              <w:t>مستوى الخطر مقبول</w:t>
            </w:r>
            <w:r w:rsidR="00E921D4" w:rsidRPr="00136672">
              <w:rPr>
                <w:sz w:val="28"/>
                <w:szCs w:val="28"/>
                <w:rtl/>
              </w:rPr>
              <w:t xml:space="preserve"> ولا يهدد سلامة </w:t>
            </w:r>
            <w:r w:rsidRPr="00136672">
              <w:rPr>
                <w:sz w:val="28"/>
                <w:szCs w:val="28"/>
                <w:rtl/>
              </w:rPr>
              <w:t xml:space="preserve"> موظفي البرنامج والمتطوعين والمستفيدين</w:t>
            </w:r>
          </w:p>
          <w:p w:rsidR="009B12FC" w:rsidRPr="00136672" w:rsidRDefault="009B12FC" w:rsidP="009B12FC">
            <w:pPr>
              <w:pStyle w:val="Bullet2"/>
              <w:rPr>
                <w:sz w:val="28"/>
                <w:szCs w:val="28"/>
              </w:rPr>
            </w:pPr>
            <w:r w:rsidRPr="00136672">
              <w:rPr>
                <w:sz w:val="28"/>
                <w:szCs w:val="28"/>
                <w:rtl/>
              </w:rPr>
              <w:t>التأكد من أن البرنامج/العملية تتوافق مع الحد الأدنى من متطلبات الأمن.</w:t>
            </w:r>
          </w:p>
        </w:tc>
      </w:tr>
      <w:tr w:rsidR="00985356" w:rsidRPr="00136672" w:rsidTr="008F3D9D">
        <w:tc>
          <w:tcPr>
            <w:tcW w:w="990" w:type="pct"/>
            <w:shd w:val="clear" w:color="auto" w:fill="A6A6A6"/>
          </w:tcPr>
          <w:p w:rsidR="00985356" w:rsidRPr="00136672" w:rsidRDefault="00985356" w:rsidP="008F3D9D">
            <w:pPr>
              <w:pStyle w:val="ListParagraph"/>
              <w:rPr>
                <w:rFonts w:ascii="Arial" w:hAnsi="Arial" w:cs="Arial"/>
                <w:sz w:val="28"/>
                <w:szCs w:val="28"/>
              </w:rPr>
            </w:pPr>
            <w:r w:rsidRPr="00136672">
              <w:rPr>
                <w:rFonts w:ascii="Arial" w:hAnsi="Arial" w:cs="Arial"/>
                <w:sz w:val="28"/>
                <w:szCs w:val="28"/>
                <w:rtl/>
              </w:rPr>
              <w:t>إدارة المخاطر والتدقيق</w:t>
            </w:r>
          </w:p>
        </w:tc>
        <w:tc>
          <w:tcPr>
            <w:tcW w:w="4010" w:type="pct"/>
            <w:shd w:val="clear" w:color="auto" w:fill="E6E6E6"/>
          </w:tcPr>
          <w:p w:rsidR="006137C0" w:rsidRPr="00136672" w:rsidRDefault="006137C0" w:rsidP="006137C0">
            <w:pPr>
              <w:pStyle w:val="Bullet2"/>
              <w:rPr>
                <w:sz w:val="28"/>
                <w:szCs w:val="28"/>
              </w:rPr>
            </w:pPr>
            <w:r w:rsidRPr="00136672">
              <w:rPr>
                <w:sz w:val="28"/>
                <w:szCs w:val="28"/>
                <w:rtl/>
              </w:rPr>
              <w:t>تقديم المشورة عند الاقتضاء في مجال إدارة المخاطر.</w:t>
            </w:r>
          </w:p>
          <w:p w:rsidR="000A7E84" w:rsidRPr="00136672" w:rsidRDefault="000A7E84" w:rsidP="000A7E84">
            <w:pPr>
              <w:pStyle w:val="Bullet2"/>
              <w:rPr>
                <w:sz w:val="28"/>
                <w:szCs w:val="28"/>
              </w:rPr>
            </w:pPr>
            <w:r w:rsidRPr="00136672">
              <w:rPr>
                <w:sz w:val="28"/>
                <w:szCs w:val="28"/>
                <w:rtl/>
              </w:rPr>
              <w:t>التدقيق في البنود المذكورة في مذكرة التفاهم/العقود المبرمة مع مقدمي الخدمات في مجال إدارة الجمارك وحماية الحدود، في حال وجود  متطلبات محددة للتدقيق في إدارة  الجمارك وحماية الحدود.</w:t>
            </w:r>
          </w:p>
          <w:p w:rsidR="00985356" w:rsidRPr="00136672" w:rsidRDefault="00985356" w:rsidP="000A7E84">
            <w:pPr>
              <w:pStyle w:val="Bullet2"/>
              <w:numPr>
                <w:ilvl w:val="0"/>
                <w:numId w:val="0"/>
              </w:numPr>
              <w:ind w:left="422" w:hanging="284"/>
              <w:rPr>
                <w:sz w:val="28"/>
                <w:szCs w:val="28"/>
              </w:rPr>
            </w:pPr>
          </w:p>
        </w:tc>
      </w:tr>
      <w:tr w:rsidR="00985356" w:rsidRPr="00136672" w:rsidTr="008F3D9D">
        <w:tc>
          <w:tcPr>
            <w:tcW w:w="990" w:type="pct"/>
            <w:shd w:val="clear" w:color="auto" w:fill="A6A6A6"/>
          </w:tcPr>
          <w:p w:rsidR="00985356" w:rsidRPr="00136672" w:rsidRDefault="00985356" w:rsidP="008F3D9D">
            <w:pPr>
              <w:pStyle w:val="ListParagraph"/>
              <w:rPr>
                <w:rFonts w:ascii="Arial" w:hAnsi="Arial" w:cs="Arial"/>
                <w:sz w:val="28"/>
                <w:szCs w:val="28"/>
              </w:rPr>
            </w:pPr>
            <w:r w:rsidRPr="00136672">
              <w:rPr>
                <w:rFonts w:ascii="Arial" w:hAnsi="Arial" w:cs="Arial"/>
                <w:sz w:val="28"/>
                <w:szCs w:val="28"/>
                <w:rtl/>
              </w:rPr>
              <w:t>الشؤون القانونية</w:t>
            </w:r>
          </w:p>
        </w:tc>
        <w:tc>
          <w:tcPr>
            <w:tcW w:w="4010" w:type="pct"/>
            <w:shd w:val="clear" w:color="auto" w:fill="E6E6E6"/>
          </w:tcPr>
          <w:p w:rsidR="00643377" w:rsidRPr="00136672" w:rsidRDefault="00643377" w:rsidP="00FA61C8">
            <w:pPr>
              <w:pStyle w:val="Bullet2"/>
              <w:rPr>
                <w:sz w:val="28"/>
                <w:szCs w:val="28"/>
              </w:rPr>
            </w:pPr>
            <w:r w:rsidRPr="00136672">
              <w:rPr>
                <w:sz w:val="28"/>
                <w:szCs w:val="28"/>
                <w:rtl/>
              </w:rPr>
              <w:t>تقديم الارشادات حول العقود في حال لم تكن ظروف التعاقد والنماذج المعيارية المطروحة غير مقبولة (الملحق 4)</w:t>
            </w:r>
            <w:r w:rsidR="000A7E84" w:rsidRPr="00136672">
              <w:rPr>
                <w:sz w:val="28"/>
                <w:szCs w:val="28"/>
                <w:rtl/>
              </w:rPr>
              <w:t>.</w:t>
            </w:r>
          </w:p>
          <w:p w:rsidR="00E406F9" w:rsidRPr="00136672" w:rsidRDefault="00E406F9" w:rsidP="00E406F9">
            <w:pPr>
              <w:pStyle w:val="Bullet2"/>
              <w:rPr>
                <w:sz w:val="28"/>
                <w:szCs w:val="28"/>
              </w:rPr>
            </w:pPr>
            <w:r w:rsidRPr="00136672">
              <w:rPr>
                <w:sz w:val="28"/>
                <w:szCs w:val="28"/>
                <w:rtl/>
              </w:rPr>
              <w:t>إجراء تقييم قانوني أو تحليل للمخاطر، عند الاقتضاء وبحسب السياق.</w:t>
            </w:r>
          </w:p>
          <w:p w:rsidR="00985356" w:rsidRPr="00136672" w:rsidRDefault="00985356" w:rsidP="00775A9C">
            <w:pPr>
              <w:pStyle w:val="Bullet2"/>
              <w:numPr>
                <w:ilvl w:val="0"/>
                <w:numId w:val="0"/>
              </w:numPr>
              <w:ind w:left="138"/>
              <w:rPr>
                <w:sz w:val="28"/>
                <w:szCs w:val="28"/>
              </w:rPr>
            </w:pPr>
          </w:p>
        </w:tc>
      </w:tr>
      <w:tr w:rsidR="00985356" w:rsidRPr="00136672" w:rsidTr="008F3D9D">
        <w:tc>
          <w:tcPr>
            <w:tcW w:w="990" w:type="pct"/>
            <w:shd w:val="clear" w:color="auto" w:fill="A6A6A6"/>
          </w:tcPr>
          <w:p w:rsidR="00985356" w:rsidRPr="00136672" w:rsidRDefault="00985356" w:rsidP="008F3D9D">
            <w:pPr>
              <w:pStyle w:val="ListParagraph"/>
              <w:rPr>
                <w:rFonts w:ascii="Arial" w:hAnsi="Arial" w:cs="Arial"/>
                <w:sz w:val="28"/>
                <w:szCs w:val="28"/>
              </w:rPr>
            </w:pPr>
            <w:r w:rsidRPr="00136672">
              <w:rPr>
                <w:rFonts w:ascii="Arial" w:hAnsi="Arial" w:cs="Arial"/>
                <w:sz w:val="28"/>
                <w:szCs w:val="28"/>
                <w:rtl/>
              </w:rPr>
              <w:t>تكنولوجيا المعلومات، والاتصالات</w:t>
            </w:r>
          </w:p>
        </w:tc>
        <w:tc>
          <w:tcPr>
            <w:tcW w:w="4010" w:type="pct"/>
            <w:shd w:val="clear" w:color="auto" w:fill="E6E6E6"/>
          </w:tcPr>
          <w:p w:rsidR="00785529" w:rsidRPr="00136672" w:rsidRDefault="00785529" w:rsidP="00785529">
            <w:pPr>
              <w:pStyle w:val="Bullet2"/>
              <w:rPr>
                <w:sz w:val="28"/>
                <w:szCs w:val="28"/>
              </w:rPr>
            </w:pPr>
            <w:r w:rsidRPr="00136672">
              <w:rPr>
                <w:sz w:val="28"/>
                <w:szCs w:val="28"/>
                <w:rtl/>
              </w:rPr>
              <w:t>تقديم الدعم الفني في ما يتعلق ب</w:t>
            </w:r>
            <w:r w:rsidR="00AE7130" w:rsidRPr="00136672">
              <w:rPr>
                <w:sz w:val="28"/>
                <w:szCs w:val="28"/>
                <w:rtl/>
              </w:rPr>
              <w:t>آليات تكنولوجيا المعلومات المتعلقة بإدارة الجمارك وحماية الحدود كالخدمات المصرفية عبر الهاتف المحمول، وجمع البيانات الرقمية وأنظمة الدفع الإلكترونية.</w:t>
            </w:r>
          </w:p>
        </w:tc>
      </w:tr>
      <w:tr w:rsidR="00985356" w:rsidRPr="00136672" w:rsidTr="008F3D9D">
        <w:tc>
          <w:tcPr>
            <w:tcW w:w="990" w:type="pct"/>
            <w:shd w:val="clear" w:color="auto" w:fill="A6A6A6"/>
          </w:tcPr>
          <w:p w:rsidR="00985356" w:rsidRPr="00136672" w:rsidRDefault="00985356" w:rsidP="008F3D9D">
            <w:pPr>
              <w:pStyle w:val="ListParagraph"/>
              <w:rPr>
                <w:rFonts w:ascii="Arial" w:hAnsi="Arial" w:cs="Arial"/>
                <w:sz w:val="28"/>
                <w:szCs w:val="28"/>
              </w:rPr>
            </w:pPr>
            <w:r w:rsidRPr="00136672">
              <w:rPr>
                <w:rFonts w:ascii="Arial" w:hAnsi="Arial" w:cs="Arial"/>
                <w:sz w:val="28"/>
                <w:szCs w:val="28"/>
                <w:rtl/>
              </w:rPr>
              <w:t>تعبئة الموارد</w:t>
            </w:r>
          </w:p>
        </w:tc>
        <w:tc>
          <w:tcPr>
            <w:tcW w:w="4010" w:type="pct"/>
            <w:shd w:val="clear" w:color="auto" w:fill="E6E6E6"/>
          </w:tcPr>
          <w:p w:rsidR="00B30573" w:rsidRPr="00136672" w:rsidRDefault="00B30573" w:rsidP="00B30573">
            <w:pPr>
              <w:pStyle w:val="Bullet2"/>
              <w:rPr>
                <w:rFonts w:eastAsia="Calibri"/>
                <w:sz w:val="28"/>
                <w:szCs w:val="28"/>
              </w:rPr>
            </w:pPr>
            <w:r w:rsidRPr="00136672">
              <w:rPr>
                <w:sz w:val="28"/>
                <w:szCs w:val="28"/>
                <w:rtl/>
              </w:rPr>
              <w:t>تقديم الدعم لتمكين الجهود المبذولة في جمع التبرعات وبناء الشراكات</w:t>
            </w:r>
          </w:p>
        </w:tc>
      </w:tr>
    </w:tbl>
    <w:p w:rsidR="00985356" w:rsidRPr="00136672" w:rsidRDefault="00985356" w:rsidP="00985356">
      <w:pPr>
        <w:bidi/>
        <w:ind w:left="360"/>
        <w:rPr>
          <w:rFonts w:ascii="Arial" w:hAnsi="Arial" w:cs="Arial"/>
          <w:sz w:val="28"/>
          <w:szCs w:val="28"/>
          <w:rtl/>
        </w:rPr>
      </w:pPr>
    </w:p>
    <w:p w:rsidR="00C07A9F" w:rsidRPr="00136672" w:rsidRDefault="00C07A9F" w:rsidP="00C07A9F">
      <w:pPr>
        <w:bidi/>
        <w:ind w:left="360"/>
        <w:rPr>
          <w:rFonts w:ascii="Arial" w:hAnsi="Arial" w:cs="Arial"/>
          <w:sz w:val="28"/>
          <w:szCs w:val="28"/>
          <w:rtl/>
        </w:rPr>
      </w:pPr>
    </w:p>
    <w:sectPr w:rsidR="00C07A9F" w:rsidRPr="00136672" w:rsidSect="007674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E67624"/>
    <w:multiLevelType w:val="hybridMultilevel"/>
    <w:tmpl w:val="5236636C"/>
    <w:lvl w:ilvl="0" w:tplc="3790DD4C">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CC139D"/>
    <w:multiLevelType w:val="hybridMultilevel"/>
    <w:tmpl w:val="2438DE62"/>
    <w:lvl w:ilvl="0" w:tplc="E75C5B32">
      <w:start w:val="1"/>
      <w:numFmt w:val="bullet"/>
      <w:pStyle w:val="Bullet2"/>
      <w:lvlText w:val=""/>
      <w:lvlJc w:val="left"/>
      <w:pPr>
        <w:ind w:left="720" w:hanging="360"/>
      </w:pPr>
      <w:rPr>
        <w:rFonts w:ascii="Symbol" w:hAnsi="Symbol" w:hint="default"/>
        <w:b/>
        <w:color w:val="DC281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4A27148"/>
    <w:multiLevelType w:val="hybridMultilevel"/>
    <w:tmpl w:val="B8DC7A68"/>
    <w:lvl w:ilvl="0" w:tplc="C2166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0D2468"/>
    <w:rsid w:val="00025F22"/>
    <w:rsid w:val="00052809"/>
    <w:rsid w:val="00071D81"/>
    <w:rsid w:val="000946DA"/>
    <w:rsid w:val="000A7E84"/>
    <w:rsid w:val="000D2468"/>
    <w:rsid w:val="00136672"/>
    <w:rsid w:val="001B2525"/>
    <w:rsid w:val="002A35D6"/>
    <w:rsid w:val="002B2686"/>
    <w:rsid w:val="002B73A5"/>
    <w:rsid w:val="002E6434"/>
    <w:rsid w:val="0032079E"/>
    <w:rsid w:val="003550FD"/>
    <w:rsid w:val="003553A4"/>
    <w:rsid w:val="00364203"/>
    <w:rsid w:val="00397F2A"/>
    <w:rsid w:val="003A1A4D"/>
    <w:rsid w:val="003F686F"/>
    <w:rsid w:val="00473D66"/>
    <w:rsid w:val="004A4CCD"/>
    <w:rsid w:val="004D2DAC"/>
    <w:rsid w:val="004E012C"/>
    <w:rsid w:val="004E6FAB"/>
    <w:rsid w:val="00500799"/>
    <w:rsid w:val="00545C2D"/>
    <w:rsid w:val="00593A4F"/>
    <w:rsid w:val="005B3BF1"/>
    <w:rsid w:val="005E3833"/>
    <w:rsid w:val="00600784"/>
    <w:rsid w:val="006137C0"/>
    <w:rsid w:val="00627B0D"/>
    <w:rsid w:val="00643377"/>
    <w:rsid w:val="0073031E"/>
    <w:rsid w:val="00767409"/>
    <w:rsid w:val="00775A9C"/>
    <w:rsid w:val="007850C0"/>
    <w:rsid w:val="00785529"/>
    <w:rsid w:val="007B3EA0"/>
    <w:rsid w:val="00881FE9"/>
    <w:rsid w:val="00904908"/>
    <w:rsid w:val="00934276"/>
    <w:rsid w:val="00936614"/>
    <w:rsid w:val="00985356"/>
    <w:rsid w:val="009B12FC"/>
    <w:rsid w:val="009D60EE"/>
    <w:rsid w:val="00AB1895"/>
    <w:rsid w:val="00AE5E6F"/>
    <w:rsid w:val="00AE7130"/>
    <w:rsid w:val="00B13484"/>
    <w:rsid w:val="00B30573"/>
    <w:rsid w:val="00B90B34"/>
    <w:rsid w:val="00BF02D6"/>
    <w:rsid w:val="00C07A9F"/>
    <w:rsid w:val="00C938A6"/>
    <w:rsid w:val="00CC07A6"/>
    <w:rsid w:val="00CE0ECD"/>
    <w:rsid w:val="00D05D97"/>
    <w:rsid w:val="00D45193"/>
    <w:rsid w:val="00DA29CC"/>
    <w:rsid w:val="00DF6555"/>
    <w:rsid w:val="00E02915"/>
    <w:rsid w:val="00E24728"/>
    <w:rsid w:val="00E406F9"/>
    <w:rsid w:val="00E429BB"/>
    <w:rsid w:val="00E4662E"/>
    <w:rsid w:val="00E921D4"/>
    <w:rsid w:val="00EA6D52"/>
    <w:rsid w:val="00EB4E28"/>
    <w:rsid w:val="00ED488D"/>
    <w:rsid w:val="00F20D3B"/>
    <w:rsid w:val="00F502A3"/>
    <w:rsid w:val="00F6198A"/>
    <w:rsid w:val="00FA61C8"/>
    <w:rsid w:val="00FA7E92"/>
    <w:rsid w:val="00FD3D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409"/>
  </w:style>
  <w:style w:type="paragraph" w:styleId="Heading3">
    <w:name w:val="heading 3"/>
    <w:basedOn w:val="Normal"/>
    <w:next w:val="Normal"/>
    <w:link w:val="Heading3Char"/>
    <w:uiPriority w:val="9"/>
    <w:unhideWhenUsed/>
    <w:qFormat/>
    <w:rsid w:val="00934276"/>
    <w:pPr>
      <w:keepNext/>
      <w:spacing w:before="240" w:after="120" w:line="240" w:lineRule="auto"/>
      <w:outlineLvl w:val="2"/>
    </w:pPr>
    <w:rPr>
      <w:rFonts w:ascii="Arial" w:hAnsi="Arial" w:cs="Arial"/>
      <w:b/>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3"/>
    <w:basedOn w:val="Normal"/>
    <w:link w:val="ListParagraphChar"/>
    <w:uiPriority w:val="34"/>
    <w:qFormat/>
    <w:rsid w:val="00B90B34"/>
    <w:pPr>
      <w:ind w:left="720"/>
      <w:contextualSpacing/>
    </w:pPr>
  </w:style>
  <w:style w:type="character" w:customStyle="1" w:styleId="Heading3Char">
    <w:name w:val="Heading 3 Char"/>
    <w:basedOn w:val="DefaultParagraphFont"/>
    <w:link w:val="Heading3"/>
    <w:uiPriority w:val="9"/>
    <w:rsid w:val="00934276"/>
    <w:rPr>
      <w:rFonts w:ascii="Arial" w:hAnsi="Arial" w:cs="Arial"/>
      <w:b/>
      <w:szCs w:val="24"/>
      <w:lang w:val="en-GB"/>
    </w:rPr>
  </w:style>
  <w:style w:type="table" w:styleId="TableGrid">
    <w:name w:val="Table Grid"/>
    <w:basedOn w:val="TableNormal"/>
    <w:uiPriority w:val="59"/>
    <w:rsid w:val="00934276"/>
    <w:pPr>
      <w:spacing w:after="0" w:line="240" w:lineRule="auto"/>
    </w:pPr>
    <w:rPr>
      <w:rFonts w:asciiTheme="majorHAnsi" w:hAnsiTheme="majorHAnsi" w:cs="ArialMT"/>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
    <w:name w:val="Bullet 1"/>
    <w:basedOn w:val="ListParagraph"/>
    <w:autoRedefine/>
    <w:rsid w:val="00934276"/>
    <w:pPr>
      <w:numPr>
        <w:numId w:val="3"/>
      </w:numPr>
      <w:spacing w:after="60" w:line="240" w:lineRule="auto"/>
      <w:contextualSpacing w:val="0"/>
    </w:pPr>
    <w:rPr>
      <w:rFonts w:ascii="Arial" w:eastAsia="Times New Roman" w:hAnsi="Arial" w:cs="Arial"/>
      <w:color w:val="000000"/>
      <w:sz w:val="20"/>
      <w:szCs w:val="21"/>
      <w:lang w:val="en-GB"/>
    </w:rPr>
  </w:style>
  <w:style w:type="character" w:customStyle="1" w:styleId="ListParagraphChar">
    <w:name w:val="List Paragraph Char"/>
    <w:aliases w:val="Bullet 3 Char"/>
    <w:basedOn w:val="DefaultParagraphFont"/>
    <w:link w:val="ListParagraph"/>
    <w:uiPriority w:val="34"/>
    <w:rsid w:val="00985356"/>
  </w:style>
  <w:style w:type="paragraph" w:customStyle="1" w:styleId="Bullet2">
    <w:name w:val="Bullet 2"/>
    <w:basedOn w:val="ListParagraph"/>
    <w:autoRedefine/>
    <w:rsid w:val="00FA61C8"/>
    <w:pPr>
      <w:numPr>
        <w:numId w:val="4"/>
      </w:numPr>
      <w:tabs>
        <w:tab w:val="left" w:pos="7230"/>
      </w:tabs>
      <w:bidi/>
      <w:spacing w:after="0" w:line="240" w:lineRule="auto"/>
      <w:ind w:left="422" w:hanging="284"/>
    </w:pPr>
    <w:rPr>
      <w:rFonts w:ascii="Arial" w:eastAsiaTheme="minorHAnsi" w:hAnsi="Arial" w:cs="Arial"/>
      <w:sz w:val="20"/>
      <w:lang w:val="en-GB"/>
    </w:rPr>
  </w:style>
</w:styles>
</file>

<file path=word/webSettings.xml><?xml version="1.0" encoding="utf-8"?>
<w:webSettings xmlns:r="http://schemas.openxmlformats.org/officeDocument/2006/relationships" xmlns:w="http://schemas.openxmlformats.org/wordprocessingml/2006/main">
  <w:divs>
    <w:div w:id="100323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7</Pages>
  <Words>1623</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dc:creator>
  <cp:keywords/>
  <dc:description/>
  <cp:lastModifiedBy>joelle</cp:lastModifiedBy>
  <cp:revision>56</cp:revision>
  <dcterms:created xsi:type="dcterms:W3CDTF">2015-12-18T08:23:00Z</dcterms:created>
  <dcterms:modified xsi:type="dcterms:W3CDTF">2016-02-20T11:53:00Z</dcterms:modified>
</cp:coreProperties>
</file>