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4" w:rsidRPr="002B1CC2" w:rsidRDefault="00B17484" w:rsidP="00B17484">
      <w:pPr>
        <w:pStyle w:val="H1"/>
        <w:bidi/>
        <w:rPr>
          <w:rFonts w:hint="cs"/>
          <w:rtl/>
        </w:rPr>
      </w:pPr>
      <w:r>
        <w:rPr>
          <w:rFonts w:hint="cs"/>
          <w:rtl/>
        </w:rPr>
        <w:t>نموذج مصفوفة رصد الجهات المانحة</w:t>
      </w:r>
    </w:p>
    <w:p w:rsidR="00B17484" w:rsidRPr="00F5753C" w:rsidRDefault="00B17484" w:rsidP="00B17484">
      <w:pPr>
        <w:bidi/>
        <w:spacing w:after="240"/>
      </w:pPr>
      <w:r>
        <w:rPr>
          <w:rFonts w:hint="cs"/>
          <w:rtl/>
        </w:rPr>
        <w:t>تسمح هذه الأدات بتنظيم المعلومات المتعلقة بالجهات المانحة لاسيما تلك التي تظهر استعداداُ لتمويل برامج التحويلات النقدية في حالات الطوارئ. كما تساعد في اتخاذ القرارات المعنية بإنشاء/توطيد العلاقات مع هذه الجهات وبمشاركتها في وضع خطط الطوارئ في مجال برامج التحويلات النقدية.</w:t>
      </w:r>
    </w:p>
    <w:tbl>
      <w:tblPr>
        <w:tblStyle w:val="TableGrid"/>
        <w:tblW w:w="5000" w:type="pct"/>
        <w:tblLayout w:type="fixed"/>
        <w:tblLook w:val="04A0"/>
      </w:tblPr>
      <w:tblGrid>
        <w:gridCol w:w="1831"/>
        <w:gridCol w:w="3049"/>
        <w:gridCol w:w="3049"/>
        <w:gridCol w:w="3203"/>
        <w:gridCol w:w="3656"/>
      </w:tblGrid>
      <w:tr w:rsidR="00F5753C" w:rsidRPr="00F5753C" w:rsidTr="0053581B">
        <w:trPr>
          <w:trHeight w:val="2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F5753C" w:rsidRDefault="00B17484" w:rsidP="00B17484">
            <w:pPr>
              <w:bidi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الجهة المانحة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B1CC2" w:rsidRPr="00F5753C" w:rsidRDefault="00B17484" w:rsidP="00B17484">
            <w:pPr>
              <w:bidi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العلاقات القائمة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F5753C" w:rsidRDefault="00B17484" w:rsidP="00B17484">
            <w:pPr>
              <w:bidi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موقف الجهة المانحة بالنسبة لبرامج التحويلات النقدية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F5753C" w:rsidRDefault="00B17484" w:rsidP="00B17484">
            <w:pPr>
              <w:bidi/>
              <w:spacing w:before="120"/>
              <w:ind w:left="34" w:hanging="142"/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فرص تمويل برامج التحويلات النقدية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F5753C" w:rsidRDefault="00B17484" w:rsidP="00B17484">
            <w:pPr>
              <w:bidi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نقاط العمل</w:t>
            </w:r>
          </w:p>
        </w:tc>
      </w:tr>
      <w:tr w:rsidR="00F5753C" w:rsidRPr="00F5753C" w:rsidTr="0053581B">
        <w:tc>
          <w:tcPr>
            <w:tcW w:w="619" w:type="pct"/>
            <w:shd w:val="clear" w:color="auto" w:fill="A6A6A6"/>
            <w:vAlign w:val="center"/>
          </w:tcPr>
          <w:p w:rsidR="002B1CC2" w:rsidRPr="00F5753C" w:rsidRDefault="00B17484" w:rsidP="00B17484">
            <w:pPr>
              <w:bidi/>
              <w:spacing w:before="40" w:after="40"/>
              <w:jc w:val="lef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ECHO, DFID, USAID</w:t>
            </w:r>
            <w:r w:rsidR="005304B5" w:rsidRPr="00F5753C">
              <w:rPr>
                <w:i/>
                <w:color w:val="000000" w:themeColor="text1"/>
              </w:rPr>
              <w:t>.</w:t>
            </w:r>
            <w:r>
              <w:rPr>
                <w:rFonts w:hint="cs"/>
                <w:i/>
                <w:color w:val="000000" w:themeColor="text1"/>
                <w:rtl/>
              </w:rPr>
              <w:t>، إلخ</w:t>
            </w:r>
          </w:p>
        </w:tc>
        <w:tc>
          <w:tcPr>
            <w:tcW w:w="0" w:type="pct"/>
            <w:shd w:val="clear" w:color="auto" w:fill="F3F3F3"/>
          </w:tcPr>
          <w:p w:rsidR="006F5220" w:rsidRPr="00F5753C" w:rsidRDefault="00B17484" w:rsidP="00B17484">
            <w:pPr>
              <w:bidi/>
              <w:spacing w:before="60" w:after="60"/>
              <w:jc w:val="left"/>
              <w:rPr>
                <w:i/>
                <w:color w:val="000000" w:themeColor="text1"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ما هي العلاقة القائمة مع الجهة المانحة؟ ما هي المبالغ الممنوحة حاليا؟</w:t>
            </w:r>
            <w:r w:rsidR="002B1CC2" w:rsidRPr="00F5753C">
              <w:rPr>
                <w:i/>
                <w:color w:val="000000" w:themeColor="text1"/>
              </w:rPr>
              <w:t xml:space="preserve"> </w:t>
            </w:r>
            <w:r>
              <w:rPr>
                <w:rFonts w:hint="cs"/>
                <w:i/>
                <w:color w:val="000000" w:themeColor="text1"/>
                <w:rtl/>
              </w:rPr>
              <w:t>وما كانت قيمة هذه المبالغ في حالات الطوارئ السابقة؟</w:t>
            </w:r>
          </w:p>
        </w:tc>
        <w:tc>
          <w:tcPr>
            <w:tcW w:w="0" w:type="pct"/>
            <w:shd w:val="clear" w:color="auto" w:fill="F3F3F3"/>
          </w:tcPr>
          <w:p w:rsidR="006F5220" w:rsidRPr="00F5753C" w:rsidRDefault="00165ABA" w:rsidP="00165ABA">
            <w:pPr>
              <w:bidi/>
              <w:spacing w:before="60" w:after="60"/>
              <w:jc w:val="left"/>
              <w:rPr>
                <w:i/>
                <w:color w:val="000000" w:themeColor="text1"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ما هي سياسة الجهة المانحة تجاه برامج التحويلات النقدية؟ هل سبق أن ساهمت هذه الجهة في تمويل برامج التحويلات النقدية؟ هل للجهة المانحة مصلحة في تمويل هذه البرامج؟</w:t>
            </w:r>
            <w:r w:rsidR="002B1CC2" w:rsidRPr="00F5753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0" w:type="pct"/>
            <w:shd w:val="clear" w:color="auto" w:fill="F3F3F3"/>
          </w:tcPr>
          <w:p w:rsidR="006F5220" w:rsidRPr="00F5753C" w:rsidRDefault="00165ABA" w:rsidP="00165ABA">
            <w:pPr>
              <w:bidi/>
              <w:spacing w:before="60" w:after="60"/>
              <w:jc w:val="left"/>
              <w:rPr>
                <w:i/>
                <w:color w:val="000000" w:themeColor="text1"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ما هي الآليات التي تلجا إليها الجهة المانحة لتمويل برامج التحويلات النقدية في حالات الطوارئ؟</w:t>
            </w:r>
            <w:r w:rsidR="002B1CC2" w:rsidRPr="00F5753C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0" w:type="pct"/>
            <w:shd w:val="clear" w:color="auto" w:fill="F3F3F3"/>
          </w:tcPr>
          <w:p w:rsidR="002B1CC2" w:rsidRDefault="00165ABA" w:rsidP="00165ABA">
            <w:pPr>
              <w:bidi/>
              <w:spacing w:before="60" w:after="60"/>
              <w:jc w:val="left"/>
              <w:rPr>
                <w:rFonts w:hint="cs"/>
                <w:i/>
                <w:color w:val="000000" w:themeColor="text1"/>
                <w:rtl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-تحديد الجهات الرئيسية التي يمكن الاتصال بها</w:t>
            </w:r>
          </w:p>
          <w:p w:rsidR="00165ABA" w:rsidRDefault="00165ABA" w:rsidP="00165ABA">
            <w:pPr>
              <w:bidi/>
              <w:spacing w:before="60" w:after="60"/>
              <w:jc w:val="left"/>
              <w:rPr>
                <w:rFonts w:hint="cs"/>
                <w:i/>
                <w:color w:val="000000" w:themeColor="text1"/>
                <w:rtl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- التخطيط لاجتماعات حول التوعية</w:t>
            </w:r>
          </w:p>
          <w:p w:rsidR="00165ABA" w:rsidRPr="00F5753C" w:rsidRDefault="00165ABA" w:rsidP="00165ABA">
            <w:pPr>
              <w:bidi/>
              <w:spacing w:before="60" w:after="60"/>
              <w:jc w:val="left"/>
              <w:rPr>
                <w:i/>
                <w:color w:val="000000" w:themeColor="text1"/>
              </w:rPr>
            </w:pPr>
            <w:r>
              <w:rPr>
                <w:rFonts w:hint="cs"/>
                <w:i/>
                <w:color w:val="000000" w:themeColor="text1"/>
                <w:rtl/>
              </w:rPr>
              <w:t>إشراك الجهات المانحة</w:t>
            </w:r>
            <w:r>
              <w:rPr>
                <w:rFonts w:hint="cs"/>
                <w:rtl/>
              </w:rPr>
              <w:t xml:space="preserve"> في وضع خطط الطوارئ في مجال برامج التحويلات النقدية</w:t>
            </w:r>
          </w:p>
        </w:tc>
      </w:tr>
      <w:tr w:rsidR="002B1CC2" w:rsidRPr="00F5753C" w:rsidTr="0053581B">
        <w:trPr>
          <w:trHeight w:val="724"/>
        </w:trPr>
        <w:tc>
          <w:tcPr>
            <w:tcW w:w="619" w:type="pct"/>
            <w:shd w:val="clear" w:color="auto" w:fill="A6A6A6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</w:tr>
      <w:tr w:rsidR="002B1CC2" w:rsidRPr="00F5753C" w:rsidTr="0053581B">
        <w:tc>
          <w:tcPr>
            <w:tcW w:w="619" w:type="pct"/>
            <w:shd w:val="clear" w:color="auto" w:fill="A6A6A6"/>
          </w:tcPr>
          <w:p w:rsidR="002B1CC2" w:rsidRPr="00F5753C" w:rsidRDefault="002B1CC2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</w:tr>
      <w:tr w:rsidR="002B1CC2" w:rsidRPr="00F5753C" w:rsidTr="0053581B">
        <w:tc>
          <w:tcPr>
            <w:tcW w:w="619" w:type="pct"/>
            <w:shd w:val="clear" w:color="auto" w:fill="A6A6A6"/>
          </w:tcPr>
          <w:p w:rsidR="002B1CC2" w:rsidRPr="00F5753C" w:rsidRDefault="002B1CC2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</w:tr>
      <w:tr w:rsidR="002B1CC2" w:rsidRPr="00F5753C" w:rsidTr="0053581B">
        <w:tc>
          <w:tcPr>
            <w:tcW w:w="619" w:type="pct"/>
            <w:shd w:val="clear" w:color="auto" w:fill="A6A6A6"/>
          </w:tcPr>
          <w:p w:rsidR="002B1CC2" w:rsidRPr="00F5753C" w:rsidRDefault="002B1CC2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  <w:bookmarkStart w:id="0" w:name="_GoBack"/>
            <w:bookmarkEnd w:id="0"/>
          </w:p>
        </w:tc>
        <w:tc>
          <w:tcPr>
            <w:tcW w:w="1083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</w:tr>
      <w:tr w:rsidR="002B1CC2" w:rsidRPr="00F5753C" w:rsidTr="0053581B">
        <w:tc>
          <w:tcPr>
            <w:tcW w:w="619" w:type="pct"/>
            <w:shd w:val="clear" w:color="auto" w:fill="A6A6A6"/>
          </w:tcPr>
          <w:p w:rsidR="002B1CC2" w:rsidRPr="00F5753C" w:rsidRDefault="002B1CC2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:rsidR="006F5220" w:rsidRPr="00F5753C" w:rsidRDefault="006F5220" w:rsidP="00B17484">
            <w:pPr>
              <w:bidi/>
              <w:spacing w:before="360" w:after="360"/>
            </w:pPr>
          </w:p>
        </w:tc>
      </w:tr>
    </w:tbl>
    <w:p w:rsidR="00F5753C" w:rsidRPr="00F5753C" w:rsidRDefault="00F5753C" w:rsidP="00B17484">
      <w:pPr>
        <w:bidi/>
      </w:pPr>
    </w:p>
    <w:sectPr w:rsidR="00F5753C" w:rsidRPr="00F5753C" w:rsidSect="00F5753C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95" w:rsidRDefault="00AD3095" w:rsidP="00D327E3">
      <w:r>
        <w:separator/>
      </w:r>
    </w:p>
  </w:endnote>
  <w:endnote w:type="continuationSeparator" w:id="1">
    <w:p w:rsidR="00AD3095" w:rsidRDefault="00AD3095" w:rsidP="00D3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C" w:rsidRPr="00B45C74" w:rsidRDefault="002241E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5753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65AB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5753C" w:rsidRPr="00F5753C" w:rsidRDefault="00F5753C" w:rsidP="00ED1B2B">
    <w:pPr>
      <w:pStyle w:val="Footer"/>
      <w:rPr>
        <w:b/>
      </w:rPr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9. </w:t>
    </w:r>
    <w:fldSimple w:instr=" STYLEREF  H1 \t  \* MERGEFORMAT ">
      <w:r w:rsidR="00165ABA" w:rsidRPr="00165ABA">
        <w:rPr>
          <w:bCs/>
          <w:noProof/>
          <w:rtl/>
        </w:rPr>
        <w:t>نموذج مصفوفة رصد الجهات</w:t>
      </w:r>
      <w:r w:rsidR="00165ABA">
        <w:rPr>
          <w:b/>
          <w:noProof/>
          <w:rtl/>
        </w:rPr>
        <w:t xml:space="preserve"> المانحة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95" w:rsidRDefault="00AD3095" w:rsidP="00D327E3">
      <w:r>
        <w:separator/>
      </w:r>
    </w:p>
  </w:footnote>
  <w:footnote w:type="continuationSeparator" w:id="1">
    <w:p w:rsidR="00AD3095" w:rsidRDefault="00AD3095" w:rsidP="00D3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C" w:rsidRPr="00074036" w:rsidRDefault="00F5753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7"/>
  </w:num>
  <w:num w:numId="5">
    <w:abstractNumId w:val="42"/>
  </w:num>
  <w:num w:numId="6">
    <w:abstractNumId w:val="26"/>
  </w:num>
  <w:num w:numId="7">
    <w:abstractNumId w:val="31"/>
  </w:num>
  <w:num w:numId="8">
    <w:abstractNumId w:val="21"/>
  </w:num>
  <w:num w:numId="9">
    <w:abstractNumId w:val="44"/>
  </w:num>
  <w:num w:numId="10">
    <w:abstractNumId w:val="34"/>
  </w:num>
  <w:num w:numId="11">
    <w:abstractNumId w:val="35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14"/>
  </w:num>
  <w:num w:numId="17">
    <w:abstractNumId w:val="13"/>
  </w:num>
  <w:num w:numId="18">
    <w:abstractNumId w:val="43"/>
  </w:num>
  <w:num w:numId="19">
    <w:abstractNumId w:val="30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24"/>
  </w:num>
  <w:num w:numId="27">
    <w:abstractNumId w:val="45"/>
  </w:num>
  <w:num w:numId="28">
    <w:abstractNumId w:val="10"/>
  </w:num>
  <w:num w:numId="29">
    <w:abstractNumId w:val="2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11"/>
  </w:num>
  <w:num w:numId="43">
    <w:abstractNumId w:val="17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220"/>
    <w:rsid w:val="000844B2"/>
    <w:rsid w:val="000B3A02"/>
    <w:rsid w:val="00132559"/>
    <w:rsid w:val="00142EC2"/>
    <w:rsid w:val="00165ABA"/>
    <w:rsid w:val="002066E1"/>
    <w:rsid w:val="002241EB"/>
    <w:rsid w:val="002B1CC2"/>
    <w:rsid w:val="004A32C9"/>
    <w:rsid w:val="004D2CC9"/>
    <w:rsid w:val="005304B5"/>
    <w:rsid w:val="0053581B"/>
    <w:rsid w:val="005475F3"/>
    <w:rsid w:val="005638E4"/>
    <w:rsid w:val="0058603C"/>
    <w:rsid w:val="005A56D7"/>
    <w:rsid w:val="006F5220"/>
    <w:rsid w:val="00731C9B"/>
    <w:rsid w:val="00747BB9"/>
    <w:rsid w:val="00867307"/>
    <w:rsid w:val="008B2A5B"/>
    <w:rsid w:val="00AA6906"/>
    <w:rsid w:val="00AD3095"/>
    <w:rsid w:val="00B17484"/>
    <w:rsid w:val="00B431A7"/>
    <w:rsid w:val="00CB29B5"/>
    <w:rsid w:val="00D327E3"/>
    <w:rsid w:val="00F5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358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81B"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14</cp:revision>
  <cp:lastPrinted>2015-09-08T23:08:00Z</cp:lastPrinted>
  <dcterms:created xsi:type="dcterms:W3CDTF">2015-05-06T10:55:00Z</dcterms:created>
  <dcterms:modified xsi:type="dcterms:W3CDTF">2015-12-17T09:52:00Z</dcterms:modified>
</cp:coreProperties>
</file>