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1F" w:rsidRPr="001A3C95" w:rsidRDefault="00E1541F" w:rsidP="00E1541F">
      <w:pPr>
        <w:bidi/>
        <w:jc w:val="both"/>
        <w:rPr>
          <w:rFonts w:ascii="Arial" w:hAnsi="Arial" w:cs="Arial"/>
          <w:b/>
          <w:color w:val="DC281E"/>
          <w:sz w:val="28"/>
          <w:szCs w:val="28"/>
          <w:rtl/>
        </w:rPr>
      </w:pPr>
      <w:r w:rsidRPr="001A3C95">
        <w:rPr>
          <w:rFonts w:ascii="Arial" w:hAnsi="Arial" w:cs="Arial"/>
          <w:b/>
          <w:noProof/>
          <w:color w:val="DC281E"/>
          <w:sz w:val="28"/>
          <w:szCs w:val="28"/>
          <w:rtl/>
        </w:rPr>
        <w:drawing>
          <wp:anchor distT="0" distB="0" distL="114300" distR="114300" simplePos="0" relativeHeight="251661312" behindDoc="0" locked="0" layoutInCell="1" allowOverlap="1">
            <wp:simplePos x="0" y="0"/>
            <wp:positionH relativeFrom="column">
              <wp:posOffset>1762125</wp:posOffset>
            </wp:positionH>
            <wp:positionV relativeFrom="paragraph">
              <wp:posOffset>-400050</wp:posOffset>
            </wp:positionV>
            <wp:extent cx="2466975" cy="476250"/>
            <wp:effectExtent l="1905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_logo_AR-300dpi.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64843" cy="477672"/>
                    </a:xfrm>
                    <a:prstGeom prst="rect">
                      <a:avLst/>
                    </a:prstGeom>
                  </pic:spPr>
                </pic:pic>
              </a:graphicData>
            </a:graphic>
          </wp:anchor>
        </w:drawing>
      </w:r>
      <w:r w:rsidRPr="001A3C95">
        <w:rPr>
          <w:rFonts w:ascii="Arial" w:hAnsi="Arial" w:cs="Arial"/>
          <w:b/>
          <w:noProof/>
          <w:color w:val="DC281E"/>
          <w:sz w:val="28"/>
          <w:szCs w:val="28"/>
          <w:rtl/>
        </w:rPr>
        <w:drawing>
          <wp:anchor distT="0" distB="0" distL="114300" distR="114300" simplePos="0" relativeHeight="251659264" behindDoc="0" locked="0" layoutInCell="1" allowOverlap="1">
            <wp:simplePos x="0" y="0"/>
            <wp:positionH relativeFrom="column">
              <wp:posOffset>4829175</wp:posOffset>
            </wp:positionH>
            <wp:positionV relativeFrom="paragraph">
              <wp:posOffset>-676275</wp:posOffset>
            </wp:positionV>
            <wp:extent cx="981075" cy="952500"/>
            <wp:effectExtent l="1905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8477" cy="950026"/>
                    </a:xfrm>
                    <a:prstGeom prst="rect">
                      <a:avLst/>
                    </a:prstGeom>
                  </pic:spPr>
                </pic:pic>
              </a:graphicData>
            </a:graphic>
          </wp:anchor>
        </w:drawing>
      </w:r>
    </w:p>
    <w:p w:rsidR="00E1541F" w:rsidRPr="001A3C95" w:rsidRDefault="00E1541F" w:rsidP="00E1541F">
      <w:pPr>
        <w:bidi/>
        <w:jc w:val="both"/>
        <w:rPr>
          <w:rFonts w:ascii="Arial" w:hAnsi="Arial" w:cs="Arial"/>
          <w:sz w:val="28"/>
          <w:szCs w:val="28"/>
          <w:rtl/>
        </w:rPr>
      </w:pPr>
      <w:r w:rsidRPr="001A3C95">
        <w:rPr>
          <w:rFonts w:ascii="Arial" w:hAnsi="Arial" w:cs="Arial"/>
          <w:b/>
          <w:color w:val="DC281E"/>
          <w:sz w:val="28"/>
          <w:szCs w:val="28"/>
          <w:rtl/>
        </w:rPr>
        <w:t>مجموعة الأدوات المرتبطة بالتحويلات النقدية في حالات الطوارئ</w:t>
      </w:r>
    </w:p>
    <w:p w:rsidR="00E1541F" w:rsidRPr="001A3C95" w:rsidRDefault="00E1541F" w:rsidP="00801735">
      <w:pPr>
        <w:bidi/>
        <w:rPr>
          <w:rFonts w:ascii="Arial" w:hAnsi="Arial" w:cs="Arial"/>
          <w:sz w:val="28"/>
          <w:szCs w:val="28"/>
          <w:rtl/>
        </w:rPr>
      </w:pPr>
    </w:p>
    <w:p w:rsidR="002940D3" w:rsidRPr="001A3C95" w:rsidRDefault="00801735" w:rsidP="001A3C95">
      <w:pPr>
        <w:bidi/>
        <w:jc w:val="center"/>
        <w:rPr>
          <w:rFonts w:ascii="Arial" w:hAnsi="Arial" w:cs="Arial"/>
          <w:b/>
          <w:bCs/>
          <w:sz w:val="28"/>
          <w:szCs w:val="28"/>
          <w:rtl/>
        </w:rPr>
      </w:pPr>
      <w:r w:rsidRPr="001A3C95">
        <w:rPr>
          <w:rFonts w:ascii="Arial" w:hAnsi="Arial" w:cs="Arial"/>
          <w:b/>
          <w:bCs/>
          <w:sz w:val="28"/>
          <w:szCs w:val="28"/>
          <w:rtl/>
        </w:rPr>
        <w:t>خارطة الطريق الخاصة بالمراجعة، والتعلم، والتحسن</w:t>
      </w:r>
    </w:p>
    <w:p w:rsidR="00801735" w:rsidRPr="001A3C95" w:rsidRDefault="00801735" w:rsidP="00801735">
      <w:pPr>
        <w:bidi/>
        <w:rPr>
          <w:rFonts w:ascii="Arial" w:hAnsi="Arial" w:cs="Arial"/>
          <w:sz w:val="28"/>
          <w:szCs w:val="28"/>
        </w:rPr>
      </w:pPr>
      <w:r w:rsidRPr="001A3C95">
        <w:rPr>
          <w:rFonts w:ascii="Arial" w:hAnsi="Arial" w:cs="Arial"/>
          <w:noProof/>
          <w:sz w:val="28"/>
          <w:szCs w:val="28"/>
        </w:rPr>
        <w:drawing>
          <wp:inline distT="0" distB="0" distL="0" distR="0">
            <wp:extent cx="5943600" cy="2971800"/>
            <wp:effectExtent l="19050" t="0" r="0" b="0"/>
            <wp:docPr id="1" name="Picture 1" descr="01-Preparedness-rodmap-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Preparedness-rodmap-EN3"/>
                    <pic:cNvPicPr>
                      <a:picLocks noChangeAspect="1" noChangeArrowheads="1"/>
                    </pic:cNvPicPr>
                  </pic:nvPicPr>
                  <pic:blipFill>
                    <a:blip r:embed="rId7" cstate="print"/>
                    <a:srcRect/>
                    <a:stretch>
                      <a:fillRect/>
                    </a:stretch>
                  </pic:blipFill>
                  <pic:spPr bwMode="auto">
                    <a:xfrm>
                      <a:off x="0" y="0"/>
                      <a:ext cx="5943600" cy="2971800"/>
                    </a:xfrm>
                    <a:prstGeom prst="rect">
                      <a:avLst/>
                    </a:prstGeom>
                    <a:noFill/>
                    <a:ln w="9525">
                      <a:noFill/>
                      <a:miter lim="800000"/>
                      <a:headEnd/>
                      <a:tailEnd/>
                    </a:ln>
                  </pic:spPr>
                </pic:pic>
              </a:graphicData>
            </a:graphic>
          </wp:inline>
        </w:drawing>
      </w:r>
    </w:p>
    <w:p w:rsidR="00801735" w:rsidRPr="001A3C95" w:rsidRDefault="00801735" w:rsidP="00801735">
      <w:pPr>
        <w:bidi/>
        <w:rPr>
          <w:rFonts w:ascii="Arial" w:hAnsi="Arial" w:cs="Arial"/>
          <w:b/>
          <w:bCs/>
          <w:sz w:val="28"/>
          <w:szCs w:val="28"/>
          <w:rtl/>
        </w:rPr>
      </w:pPr>
      <w:r w:rsidRPr="001A3C95">
        <w:rPr>
          <w:rFonts w:ascii="Arial" w:hAnsi="Arial" w:cs="Arial"/>
          <w:b/>
          <w:bCs/>
          <w:sz w:val="28"/>
          <w:szCs w:val="28"/>
          <w:rtl/>
        </w:rPr>
        <w:t xml:space="preserve">المقدمة </w:t>
      </w:r>
    </w:p>
    <w:p w:rsidR="00801735" w:rsidRPr="001A3C95" w:rsidRDefault="00801735" w:rsidP="00801735">
      <w:pPr>
        <w:bidi/>
        <w:jc w:val="both"/>
        <w:rPr>
          <w:rFonts w:ascii="Arial" w:hAnsi="Arial" w:cs="Arial"/>
          <w:sz w:val="28"/>
          <w:szCs w:val="28"/>
          <w:rtl/>
        </w:rPr>
      </w:pPr>
      <w:r w:rsidRPr="001A3C95">
        <w:rPr>
          <w:rFonts w:ascii="Arial" w:hAnsi="Arial" w:cs="Arial"/>
          <w:sz w:val="28"/>
          <w:szCs w:val="28"/>
          <w:rtl/>
        </w:rPr>
        <w:t xml:space="preserve">في فترة التأهب تؤخذ في الاعتبار الشؤون المالية من أجل تنفيذ الاستجابة النقدية في حالات الطوارئ في الوقت المناسب وعلى النطاق المقبول. في هذا السياق، تركز خارطة الطريق على تقييم عملية التأهب في مجال برامج التحويلات النقدية، وتتبع هذه العمليات وتوثيقها لتوسيع قاعدة الأدلة الخاصة ببرامج التحويلات النقدية. </w:t>
      </w:r>
    </w:p>
    <w:p w:rsidR="00801735" w:rsidRPr="001A3C95" w:rsidRDefault="00801735" w:rsidP="00801735">
      <w:pPr>
        <w:bidi/>
        <w:jc w:val="both"/>
        <w:rPr>
          <w:rFonts w:ascii="Arial" w:hAnsi="Arial" w:cs="Arial"/>
          <w:sz w:val="28"/>
          <w:szCs w:val="28"/>
          <w:rtl/>
        </w:rPr>
      </w:pPr>
      <w:r w:rsidRPr="001A3C95">
        <w:rPr>
          <w:rFonts w:ascii="Arial" w:hAnsi="Arial" w:cs="Arial"/>
          <w:sz w:val="28"/>
          <w:szCs w:val="28"/>
          <w:rtl/>
        </w:rPr>
        <w:t>ويعكس هيكل هذه الخارطة مرحلة " المراجعة، والتعلم، والتحسن " التي تشمل خطوت فرعية وضعتها الحركة الدولية للصليب الأحمر والهلال الأحمر في معرض المبادئ التوجيهية بشأن التعميم والتأهب. وترفق كل خطوة فرعية بمجموعة من الأدوات العملية التي قد تأتي بالفائدة خلال سير العملية. وإذا ما تعذّر استخدام جميع الأدوات، يجب على الأقل الامتثال للمعايير الدنيا المذكورة في ما يلي:</w:t>
      </w:r>
    </w:p>
    <w:p w:rsidR="00801735" w:rsidRPr="001A3C95" w:rsidRDefault="00801735" w:rsidP="00801735">
      <w:pPr>
        <w:bidi/>
        <w:jc w:val="both"/>
        <w:rPr>
          <w:rFonts w:ascii="Arial" w:hAnsi="Arial" w:cs="Arial"/>
          <w:b/>
          <w:bCs/>
          <w:sz w:val="28"/>
          <w:szCs w:val="28"/>
          <w:rtl/>
        </w:rPr>
      </w:pPr>
      <w:r w:rsidRPr="001A3C95">
        <w:rPr>
          <w:rFonts w:ascii="Arial" w:hAnsi="Arial" w:cs="Arial"/>
          <w:b/>
          <w:bCs/>
          <w:sz w:val="28"/>
          <w:szCs w:val="28"/>
          <w:rtl/>
        </w:rPr>
        <w:t>المعايير الدنيا:</w:t>
      </w:r>
    </w:p>
    <w:p w:rsidR="00801735" w:rsidRPr="001A3C95" w:rsidRDefault="00801735" w:rsidP="00801735">
      <w:pPr>
        <w:pStyle w:val="ListParagraph"/>
        <w:numPr>
          <w:ilvl w:val="0"/>
          <w:numId w:val="1"/>
        </w:numPr>
        <w:bidi/>
        <w:rPr>
          <w:rFonts w:ascii="Arial" w:hAnsi="Arial" w:cs="Arial"/>
          <w:sz w:val="28"/>
          <w:szCs w:val="28"/>
        </w:rPr>
      </w:pPr>
      <w:r w:rsidRPr="001A3C95">
        <w:rPr>
          <w:rFonts w:ascii="Arial" w:hAnsi="Arial" w:cs="Arial"/>
          <w:sz w:val="28"/>
          <w:szCs w:val="28"/>
          <w:rtl/>
        </w:rPr>
        <w:t>يجب أن تتضمن خطة العمل الخاصة بالتأهب في مجال برامج التحويلات النقدية نشاطات وموارد للمراجعة والتتبع.</w:t>
      </w:r>
    </w:p>
    <w:p w:rsidR="00801735" w:rsidRPr="001A3C95" w:rsidRDefault="00801735" w:rsidP="001C0FDC">
      <w:pPr>
        <w:pStyle w:val="ListParagraph"/>
        <w:numPr>
          <w:ilvl w:val="0"/>
          <w:numId w:val="1"/>
        </w:numPr>
        <w:bidi/>
        <w:rPr>
          <w:rFonts w:ascii="Arial" w:hAnsi="Arial" w:cs="Arial"/>
          <w:sz w:val="28"/>
          <w:szCs w:val="28"/>
        </w:rPr>
      </w:pPr>
      <w:r w:rsidRPr="001A3C95">
        <w:rPr>
          <w:rFonts w:ascii="Arial" w:hAnsi="Arial" w:cs="Arial"/>
          <w:sz w:val="28"/>
          <w:szCs w:val="28"/>
          <w:rtl/>
        </w:rPr>
        <w:lastRenderedPageBreak/>
        <w:t xml:space="preserve">يجب أن تحتوي الشروط المرجعية الخاصة بالمسؤول عن برامج التحويلات النقدية وفريق العمل الفني في الجمعية الوطنية، قائمة بالمهام والمسؤولايات المرتبطة </w:t>
      </w:r>
      <w:r w:rsidR="001C0FDC" w:rsidRPr="001A3C95">
        <w:rPr>
          <w:rFonts w:ascii="Arial" w:hAnsi="Arial" w:cs="Arial"/>
          <w:sz w:val="28"/>
          <w:szCs w:val="28"/>
          <w:rtl/>
        </w:rPr>
        <w:t>بالتأهب و</w:t>
      </w:r>
      <w:r w:rsidRPr="001A3C95">
        <w:rPr>
          <w:rFonts w:ascii="Arial" w:hAnsi="Arial" w:cs="Arial"/>
          <w:sz w:val="28"/>
          <w:szCs w:val="28"/>
          <w:rtl/>
        </w:rPr>
        <w:t>المراقبة والتتبع.</w:t>
      </w:r>
    </w:p>
    <w:p w:rsidR="001C0FDC" w:rsidRPr="001A3C95" w:rsidRDefault="00370E4C" w:rsidP="001C0FDC">
      <w:pPr>
        <w:pStyle w:val="ListParagraph"/>
        <w:numPr>
          <w:ilvl w:val="0"/>
          <w:numId w:val="1"/>
        </w:numPr>
        <w:bidi/>
        <w:rPr>
          <w:rFonts w:ascii="Arial" w:hAnsi="Arial" w:cs="Arial"/>
          <w:sz w:val="28"/>
          <w:szCs w:val="28"/>
        </w:rPr>
      </w:pPr>
      <w:r w:rsidRPr="001A3C95">
        <w:rPr>
          <w:rFonts w:ascii="Arial" w:hAnsi="Arial" w:cs="Arial"/>
          <w:sz w:val="28"/>
          <w:szCs w:val="28"/>
          <w:rtl/>
        </w:rPr>
        <w:t>يتولى تقييم عملية التأهب فريق داخلي يتألف من المسؤول وفريق العمل التقني في الجمعية الوطنية.</w:t>
      </w:r>
    </w:p>
    <w:p w:rsidR="00801735" w:rsidRPr="001A3C95" w:rsidRDefault="00166CCA" w:rsidP="00166CCA">
      <w:pPr>
        <w:pStyle w:val="ListParagraph"/>
        <w:numPr>
          <w:ilvl w:val="0"/>
          <w:numId w:val="1"/>
        </w:numPr>
        <w:bidi/>
        <w:rPr>
          <w:rFonts w:ascii="Arial" w:hAnsi="Arial" w:cs="Arial"/>
          <w:sz w:val="28"/>
          <w:szCs w:val="28"/>
        </w:rPr>
      </w:pPr>
      <w:r w:rsidRPr="001A3C95">
        <w:rPr>
          <w:rFonts w:ascii="Arial" w:hAnsi="Arial" w:cs="Arial"/>
          <w:sz w:val="28"/>
          <w:szCs w:val="28"/>
          <w:rtl/>
        </w:rPr>
        <w:t>يجب اختبار خطط وأدوات التأهب وتكييفها بحسب السياق المطروح.</w:t>
      </w:r>
    </w:p>
    <w:p w:rsidR="00166CCA" w:rsidRPr="001A3C95" w:rsidRDefault="00665F29" w:rsidP="00166CCA">
      <w:pPr>
        <w:pStyle w:val="ListParagraph"/>
        <w:numPr>
          <w:ilvl w:val="0"/>
          <w:numId w:val="1"/>
        </w:numPr>
        <w:bidi/>
        <w:rPr>
          <w:rFonts w:ascii="Arial" w:hAnsi="Arial" w:cs="Arial"/>
          <w:sz w:val="28"/>
          <w:szCs w:val="28"/>
        </w:rPr>
      </w:pPr>
      <w:r w:rsidRPr="001A3C95">
        <w:rPr>
          <w:rFonts w:ascii="Arial" w:hAnsi="Arial" w:cs="Arial"/>
          <w:sz w:val="28"/>
          <w:szCs w:val="28"/>
          <w:rtl/>
        </w:rPr>
        <w:t>يتولى مستشار/فريق عمل خارجي عملية تقييم العمليات المتعلقة ببرامج التحويلات النقدية.</w:t>
      </w:r>
    </w:p>
    <w:p w:rsidR="00665F29" w:rsidRPr="001A3C95" w:rsidRDefault="00E1541F" w:rsidP="00665F29">
      <w:pPr>
        <w:pStyle w:val="ListParagraph"/>
        <w:numPr>
          <w:ilvl w:val="0"/>
          <w:numId w:val="1"/>
        </w:numPr>
        <w:bidi/>
        <w:rPr>
          <w:rFonts w:ascii="Arial" w:hAnsi="Arial" w:cs="Arial"/>
          <w:sz w:val="28"/>
          <w:szCs w:val="28"/>
        </w:rPr>
      </w:pPr>
      <w:r w:rsidRPr="001A3C95">
        <w:rPr>
          <w:rFonts w:ascii="Arial" w:hAnsi="Arial" w:cs="Arial"/>
          <w:sz w:val="28"/>
          <w:szCs w:val="28"/>
          <w:rtl/>
        </w:rPr>
        <w:t>تعم</w:t>
      </w:r>
      <w:r w:rsidR="00B23AA8" w:rsidRPr="001A3C95">
        <w:rPr>
          <w:rFonts w:ascii="Arial" w:hAnsi="Arial" w:cs="Arial"/>
          <w:sz w:val="28"/>
          <w:szCs w:val="28"/>
          <w:rtl/>
        </w:rPr>
        <w:t>ي</w:t>
      </w:r>
      <w:r w:rsidRPr="001A3C95">
        <w:rPr>
          <w:rFonts w:ascii="Arial" w:hAnsi="Arial" w:cs="Arial"/>
          <w:sz w:val="28"/>
          <w:szCs w:val="28"/>
          <w:rtl/>
        </w:rPr>
        <w:t>م تقارير التقييم ودراسات الحالات و</w:t>
      </w:r>
      <w:r w:rsidR="00B23AA8" w:rsidRPr="001A3C95">
        <w:rPr>
          <w:rFonts w:ascii="Arial" w:hAnsi="Arial" w:cs="Arial"/>
          <w:sz w:val="28"/>
          <w:szCs w:val="28"/>
          <w:rtl/>
        </w:rPr>
        <w:t>صحائف الوقائع داخلياً على شركاء "الحركة" وخارجياً على الجهات المعنية الأخرى.</w:t>
      </w:r>
    </w:p>
    <w:p w:rsidR="00B23AA8" w:rsidRPr="001A3C95" w:rsidRDefault="00B23AA8" w:rsidP="00B23AA8">
      <w:pPr>
        <w:bidi/>
        <w:ind w:left="360"/>
        <w:rPr>
          <w:rFonts w:ascii="Arial" w:hAnsi="Arial" w:cs="Arial"/>
          <w:b/>
          <w:bCs/>
          <w:sz w:val="28"/>
          <w:szCs w:val="28"/>
          <w:rtl/>
        </w:rPr>
      </w:pPr>
      <w:r w:rsidRPr="001A3C95">
        <w:rPr>
          <w:rFonts w:ascii="Arial" w:hAnsi="Arial" w:cs="Arial"/>
          <w:b/>
          <w:bCs/>
          <w:sz w:val="28"/>
          <w:szCs w:val="28"/>
          <w:rtl/>
        </w:rPr>
        <w:t>الخطوات الفرعية والأدوات</w:t>
      </w:r>
    </w:p>
    <w:p w:rsidR="00B23AA8" w:rsidRPr="001A3C95" w:rsidRDefault="00B23AA8" w:rsidP="00B23AA8">
      <w:pPr>
        <w:bidi/>
        <w:ind w:left="360"/>
        <w:rPr>
          <w:rFonts w:ascii="Arial" w:hAnsi="Arial" w:cs="Arial"/>
          <w:b/>
          <w:bCs/>
          <w:sz w:val="28"/>
          <w:szCs w:val="28"/>
          <w:rtl/>
        </w:rPr>
      </w:pPr>
      <w:r w:rsidRPr="001A3C95">
        <w:rPr>
          <w:rFonts w:ascii="Arial" w:hAnsi="Arial" w:cs="Arial"/>
          <w:b/>
          <w:bCs/>
          <w:sz w:val="28"/>
          <w:szCs w:val="28"/>
          <w:rtl/>
        </w:rPr>
        <w:t>خلق بيئة تعلمية</w:t>
      </w:r>
    </w:p>
    <w:p w:rsidR="00B23AA8" w:rsidRPr="001A3C95" w:rsidRDefault="00DE5282" w:rsidP="00740127">
      <w:pPr>
        <w:bidi/>
        <w:ind w:left="360"/>
        <w:rPr>
          <w:rFonts w:ascii="Arial" w:hAnsi="Arial" w:cs="Arial"/>
          <w:sz w:val="28"/>
          <w:szCs w:val="28"/>
          <w:rtl/>
        </w:rPr>
      </w:pPr>
      <w:r w:rsidRPr="001A3C95">
        <w:rPr>
          <w:rFonts w:ascii="Arial" w:hAnsi="Arial" w:cs="Arial"/>
          <w:sz w:val="28"/>
          <w:szCs w:val="28"/>
          <w:rtl/>
        </w:rPr>
        <w:t>يتولى</w:t>
      </w:r>
      <w:r w:rsidR="00B23AA8" w:rsidRPr="001A3C95">
        <w:rPr>
          <w:rFonts w:ascii="Arial" w:hAnsi="Arial" w:cs="Arial"/>
          <w:sz w:val="28"/>
          <w:szCs w:val="28"/>
          <w:rtl/>
        </w:rPr>
        <w:t xml:space="preserve"> المسؤول عن برامج التحويلات النقدية وفريق العمل الفني وضع نظم المراقبة والتتبع الخاصة بعملية التأهب، وخلق بيئة تعلمية في هذا الشأن في مختلف </w:t>
      </w:r>
      <w:r w:rsidR="00F3502A" w:rsidRPr="001A3C95">
        <w:rPr>
          <w:rFonts w:ascii="Arial" w:hAnsi="Arial" w:cs="Arial"/>
          <w:sz w:val="28"/>
          <w:szCs w:val="28"/>
          <w:rtl/>
        </w:rPr>
        <w:t>الأقسام، إلى ج</w:t>
      </w:r>
      <w:r w:rsidR="00583295" w:rsidRPr="001A3C95">
        <w:rPr>
          <w:rFonts w:ascii="Arial" w:hAnsi="Arial" w:cs="Arial"/>
          <w:sz w:val="28"/>
          <w:szCs w:val="28"/>
          <w:rtl/>
        </w:rPr>
        <w:t xml:space="preserve">انب وضع خطط العمل والتتبع الخاصة بعملية التتبع والنظم </w:t>
      </w:r>
      <w:r w:rsidR="00F3502A" w:rsidRPr="001A3C95">
        <w:rPr>
          <w:rFonts w:ascii="Arial" w:hAnsi="Arial" w:cs="Arial"/>
          <w:sz w:val="28"/>
          <w:szCs w:val="28"/>
          <w:rtl/>
        </w:rPr>
        <w:t xml:space="preserve">والأدوات ذات الصلة. </w:t>
      </w:r>
      <w:r w:rsidR="00740127" w:rsidRPr="001A3C95">
        <w:rPr>
          <w:rFonts w:ascii="Arial" w:hAnsi="Arial" w:cs="Arial"/>
          <w:sz w:val="28"/>
          <w:szCs w:val="28"/>
          <w:rtl/>
        </w:rPr>
        <w:t>تحتوى أدوات الخطوات الفرعية نموذج لإعداد التقرير الشهري يسمح بمساعدة المسؤول وفريق العمل الفني واطلاع المدراء وشركاء "الحركة" على التقدم المحرز بالنسبة لخطة العمل.</w:t>
      </w:r>
    </w:p>
    <w:p w:rsidR="00740127" w:rsidRPr="001A3C95" w:rsidRDefault="00740127" w:rsidP="00740127">
      <w:pPr>
        <w:bidi/>
        <w:ind w:left="360"/>
        <w:rPr>
          <w:rFonts w:ascii="Arial" w:hAnsi="Arial" w:cs="Arial"/>
          <w:b/>
          <w:bCs/>
          <w:sz w:val="28"/>
          <w:szCs w:val="28"/>
          <w:rtl/>
        </w:rPr>
      </w:pPr>
      <w:r w:rsidRPr="001A3C95">
        <w:rPr>
          <w:rFonts w:ascii="Arial" w:hAnsi="Arial" w:cs="Arial"/>
          <w:b/>
          <w:bCs/>
          <w:sz w:val="28"/>
          <w:szCs w:val="28"/>
          <w:rtl/>
        </w:rPr>
        <w:t>التتبع الداخلي لبرامج التحويلات النقدية</w:t>
      </w:r>
    </w:p>
    <w:p w:rsidR="00740127" w:rsidRPr="001A3C95" w:rsidRDefault="00C377E8" w:rsidP="00740127">
      <w:pPr>
        <w:bidi/>
        <w:ind w:left="360"/>
        <w:rPr>
          <w:rFonts w:ascii="Arial" w:hAnsi="Arial" w:cs="Arial"/>
          <w:sz w:val="28"/>
          <w:szCs w:val="28"/>
          <w:rtl/>
        </w:rPr>
      </w:pPr>
      <w:r w:rsidRPr="001A3C95">
        <w:rPr>
          <w:rFonts w:ascii="Arial" w:hAnsi="Arial" w:cs="Arial"/>
          <w:sz w:val="28"/>
          <w:szCs w:val="28"/>
          <w:rtl/>
        </w:rPr>
        <w:t>يجب أن يسمح تتبع عملية التأهب بتحديد الانجازات الرئيسية مقا</w:t>
      </w:r>
      <w:r w:rsidR="00A43F4A" w:rsidRPr="001A3C95">
        <w:rPr>
          <w:rFonts w:ascii="Arial" w:hAnsi="Arial" w:cs="Arial"/>
          <w:sz w:val="28"/>
          <w:szCs w:val="28"/>
          <w:rtl/>
        </w:rPr>
        <w:t xml:space="preserve">رنة مع ما هو وارد في خطط العمل، وتوثيق الممارسات السليمة، وتقديم التوصيات لتحسين النتائج. </w:t>
      </w:r>
    </w:p>
    <w:p w:rsidR="00B229A1" w:rsidRPr="001A3C95" w:rsidRDefault="00B229A1" w:rsidP="00B229A1">
      <w:pPr>
        <w:bidi/>
        <w:ind w:left="360"/>
        <w:rPr>
          <w:rFonts w:ascii="Arial" w:hAnsi="Arial" w:cs="Arial"/>
          <w:sz w:val="28"/>
          <w:szCs w:val="28"/>
          <w:rtl/>
        </w:rPr>
      </w:pPr>
      <w:r w:rsidRPr="001A3C95">
        <w:rPr>
          <w:rFonts w:ascii="Arial" w:hAnsi="Arial" w:cs="Arial"/>
          <w:sz w:val="28"/>
          <w:szCs w:val="28"/>
          <w:rtl/>
        </w:rPr>
        <w:t xml:space="preserve">ويسمح تنظيم ورشة عمل على مدى يوم أو يومين بالاطلاع على الانجازات الرئيسية، والاستفادة من الدروس المستقاة، وتقديم التوصيات. علماً أن النهج والأدوات الخاصة بهذه الورشة ممثالة لتلك المستخدمة في ورشة عمل التأهب. </w:t>
      </w:r>
    </w:p>
    <w:p w:rsidR="00B229A1" w:rsidRPr="001A3C95" w:rsidRDefault="00B229A1" w:rsidP="00B229A1">
      <w:pPr>
        <w:bidi/>
        <w:ind w:left="360"/>
        <w:rPr>
          <w:rFonts w:ascii="Arial" w:hAnsi="Arial" w:cs="Arial"/>
          <w:sz w:val="28"/>
          <w:szCs w:val="28"/>
          <w:rtl/>
        </w:rPr>
      </w:pPr>
      <w:r w:rsidRPr="001A3C95">
        <w:rPr>
          <w:rFonts w:ascii="Arial" w:hAnsi="Arial" w:cs="Arial"/>
          <w:sz w:val="28"/>
          <w:szCs w:val="28"/>
          <w:rtl/>
        </w:rPr>
        <w:t xml:space="preserve">ويمكن تحديث أدوات التحليل الرباعي والتقييم الذاتي لاستخدامها في عملية التتبع. </w:t>
      </w:r>
    </w:p>
    <w:p w:rsidR="00B229A1" w:rsidRPr="001A3C95" w:rsidRDefault="00B229A1" w:rsidP="00B229A1">
      <w:pPr>
        <w:bidi/>
        <w:ind w:left="360"/>
        <w:rPr>
          <w:rFonts w:ascii="Arial" w:hAnsi="Arial" w:cs="Arial"/>
          <w:sz w:val="28"/>
          <w:szCs w:val="28"/>
          <w:rtl/>
        </w:rPr>
      </w:pPr>
      <w:r w:rsidRPr="001A3C95">
        <w:rPr>
          <w:rFonts w:ascii="Arial" w:hAnsi="Arial" w:cs="Arial"/>
          <w:sz w:val="28"/>
          <w:szCs w:val="28"/>
          <w:rtl/>
        </w:rPr>
        <w:t xml:space="preserve">وتشمل أدوات الخطوات الفرعية </w:t>
      </w:r>
      <w:r w:rsidR="00C84481" w:rsidRPr="001A3C95">
        <w:rPr>
          <w:rFonts w:ascii="Arial" w:hAnsi="Arial" w:cs="Arial"/>
          <w:sz w:val="28"/>
          <w:szCs w:val="28"/>
          <w:rtl/>
        </w:rPr>
        <w:t>نماذج تسمح ب</w:t>
      </w:r>
      <w:r w:rsidR="00E0436B" w:rsidRPr="001A3C95">
        <w:rPr>
          <w:rFonts w:ascii="Arial" w:hAnsi="Arial" w:cs="Arial"/>
          <w:sz w:val="28"/>
          <w:szCs w:val="28"/>
          <w:rtl/>
        </w:rPr>
        <w:t>تتبع عملية التأهب، وشروط مرجعية، وتقارير، وإرشادات حول تنظيم ورشة عمل.</w:t>
      </w:r>
    </w:p>
    <w:p w:rsidR="00A94EA6" w:rsidRPr="001A3C95" w:rsidRDefault="00A94EA6" w:rsidP="00A94EA6">
      <w:pPr>
        <w:bidi/>
        <w:ind w:left="360"/>
        <w:rPr>
          <w:rFonts w:ascii="Arial" w:hAnsi="Arial" w:cs="Arial"/>
          <w:b/>
          <w:bCs/>
          <w:sz w:val="28"/>
          <w:szCs w:val="28"/>
          <w:rtl/>
        </w:rPr>
      </w:pPr>
      <w:r w:rsidRPr="001A3C95">
        <w:rPr>
          <w:rFonts w:ascii="Arial" w:hAnsi="Arial" w:cs="Arial"/>
          <w:b/>
          <w:bCs/>
          <w:sz w:val="28"/>
          <w:szCs w:val="28"/>
          <w:rtl/>
        </w:rPr>
        <w:t>التتبع الخارجي لبرامج التحويلات النقدية</w:t>
      </w:r>
    </w:p>
    <w:p w:rsidR="00A94EA6" w:rsidRPr="001A3C95" w:rsidRDefault="006F5ED7" w:rsidP="00A20DC3">
      <w:pPr>
        <w:bidi/>
        <w:ind w:left="360"/>
        <w:rPr>
          <w:rFonts w:ascii="Arial" w:hAnsi="Arial" w:cs="Arial"/>
          <w:sz w:val="28"/>
          <w:szCs w:val="28"/>
          <w:rtl/>
        </w:rPr>
      </w:pPr>
      <w:r w:rsidRPr="001A3C95">
        <w:rPr>
          <w:rFonts w:ascii="Arial" w:hAnsi="Arial" w:cs="Arial"/>
          <w:sz w:val="28"/>
          <w:szCs w:val="28"/>
          <w:rtl/>
        </w:rPr>
        <w:t xml:space="preserve">في نهاية مرحلة الاستجابة، تجرى عملية تتبع خارجي لتحديد نقاط القوة والضعف بشكل منهجي وموضوعي. </w:t>
      </w:r>
      <w:r w:rsidR="00A20DC3" w:rsidRPr="001A3C95">
        <w:rPr>
          <w:rFonts w:ascii="Arial" w:hAnsi="Arial" w:cs="Arial"/>
          <w:sz w:val="28"/>
          <w:szCs w:val="28"/>
          <w:rtl/>
        </w:rPr>
        <w:t xml:space="preserve">وبالاستناد إلى علمية التتبع يمكن الحصول على الدروس المستقاة والتوصيات الرئيسية الهادفة إلى تحسين الممارسات المستقبلية. وتغطي عملية التتبع كل ما يتعلق برمرحلة التأهب بما في ذلك تصميم البرامج، وتنفيذها وآثارها. </w:t>
      </w:r>
    </w:p>
    <w:p w:rsidR="00A20DC3" w:rsidRPr="001A3C95" w:rsidRDefault="00A20DC3" w:rsidP="00A20DC3">
      <w:pPr>
        <w:bidi/>
        <w:ind w:left="360"/>
        <w:rPr>
          <w:rFonts w:ascii="Arial" w:hAnsi="Arial" w:cs="Arial"/>
          <w:sz w:val="28"/>
          <w:szCs w:val="28"/>
          <w:rtl/>
        </w:rPr>
      </w:pPr>
      <w:r w:rsidRPr="001A3C95">
        <w:rPr>
          <w:rFonts w:ascii="Arial" w:hAnsi="Arial" w:cs="Arial"/>
          <w:sz w:val="28"/>
          <w:szCs w:val="28"/>
          <w:rtl/>
        </w:rPr>
        <w:lastRenderedPageBreak/>
        <w:t xml:space="preserve">وتتضمن خطة عمل التأهب عملية تتبع برامج التحويلات النقدية والدروس المستقاة منها. ويمكن الحصول على </w:t>
      </w:r>
      <w:r w:rsidR="007E58F0" w:rsidRPr="001A3C95">
        <w:rPr>
          <w:rFonts w:ascii="Arial" w:hAnsi="Arial" w:cs="Arial"/>
          <w:sz w:val="28"/>
          <w:szCs w:val="28"/>
          <w:rtl/>
        </w:rPr>
        <w:t>خارطة طريق لتتبع برامج التحويلات النقدية في أدوات الخطوات الفرعية.</w:t>
      </w:r>
    </w:p>
    <w:p w:rsidR="007E58F0" w:rsidRPr="001A3C95" w:rsidRDefault="00ED3133" w:rsidP="004174FF">
      <w:pPr>
        <w:bidi/>
        <w:ind w:left="360"/>
        <w:rPr>
          <w:rFonts w:ascii="Arial" w:hAnsi="Arial" w:cs="Arial"/>
          <w:sz w:val="28"/>
          <w:szCs w:val="28"/>
          <w:rtl/>
        </w:rPr>
      </w:pPr>
      <w:r w:rsidRPr="001A3C95">
        <w:rPr>
          <w:rFonts w:ascii="Arial" w:hAnsi="Arial" w:cs="Arial"/>
          <w:sz w:val="28"/>
          <w:szCs w:val="28"/>
          <w:rtl/>
        </w:rPr>
        <w:t xml:space="preserve">وبدورها تسمح دراسات الحالة التي يجريها </w:t>
      </w:r>
      <w:r w:rsidR="004174FF" w:rsidRPr="001A3C95">
        <w:rPr>
          <w:rFonts w:ascii="Arial" w:hAnsi="Arial" w:cs="Arial"/>
          <w:sz w:val="28"/>
          <w:szCs w:val="28"/>
          <w:rtl/>
        </w:rPr>
        <w:t>المراقب</w:t>
      </w:r>
      <w:r w:rsidRPr="001A3C95">
        <w:rPr>
          <w:rFonts w:ascii="Arial" w:hAnsi="Arial" w:cs="Arial"/>
          <w:sz w:val="28"/>
          <w:szCs w:val="28"/>
          <w:rtl/>
        </w:rPr>
        <w:t xml:space="preserve">ين </w:t>
      </w:r>
      <w:r w:rsidR="004174FF" w:rsidRPr="001A3C95">
        <w:rPr>
          <w:rFonts w:ascii="Arial" w:hAnsi="Arial" w:cs="Arial"/>
          <w:sz w:val="28"/>
          <w:szCs w:val="28"/>
          <w:rtl/>
        </w:rPr>
        <w:t>ال</w:t>
      </w:r>
      <w:r w:rsidRPr="001A3C95">
        <w:rPr>
          <w:rFonts w:ascii="Arial" w:hAnsi="Arial" w:cs="Arial"/>
          <w:sz w:val="28"/>
          <w:szCs w:val="28"/>
          <w:rtl/>
        </w:rPr>
        <w:t>خارجيين بتوثيق نقاط القوة والتحديات والحلول المرتبطة ببرامج التحويلا</w:t>
      </w:r>
      <w:r w:rsidR="004174FF" w:rsidRPr="001A3C95">
        <w:rPr>
          <w:rFonts w:ascii="Arial" w:hAnsi="Arial" w:cs="Arial"/>
          <w:sz w:val="28"/>
          <w:szCs w:val="28"/>
          <w:rtl/>
        </w:rPr>
        <w:t xml:space="preserve">ت النقدية، وببناء القدرات وتعبئة الموارد.  </w:t>
      </w:r>
    </w:p>
    <w:p w:rsidR="004174FF" w:rsidRPr="001A3C95" w:rsidRDefault="004174FF" w:rsidP="00FE2E68">
      <w:pPr>
        <w:bidi/>
        <w:ind w:left="360"/>
        <w:rPr>
          <w:rFonts w:ascii="Arial" w:hAnsi="Arial" w:cs="Arial"/>
          <w:b/>
          <w:bCs/>
          <w:sz w:val="28"/>
          <w:szCs w:val="28"/>
          <w:rtl/>
        </w:rPr>
      </w:pPr>
      <w:r w:rsidRPr="001A3C95">
        <w:rPr>
          <w:rFonts w:ascii="Arial" w:hAnsi="Arial" w:cs="Arial"/>
          <w:b/>
          <w:bCs/>
          <w:sz w:val="28"/>
          <w:szCs w:val="28"/>
          <w:rtl/>
        </w:rPr>
        <w:t>توثيق المعلومات و</w:t>
      </w:r>
      <w:r w:rsidR="00FE2E68" w:rsidRPr="001A3C95">
        <w:rPr>
          <w:rFonts w:ascii="Arial" w:hAnsi="Arial" w:cs="Arial"/>
          <w:b/>
          <w:bCs/>
          <w:sz w:val="28"/>
          <w:szCs w:val="28"/>
          <w:rtl/>
        </w:rPr>
        <w:t>تعميمها</w:t>
      </w:r>
      <w:r w:rsidRPr="001A3C95">
        <w:rPr>
          <w:rFonts w:ascii="Arial" w:hAnsi="Arial" w:cs="Arial"/>
          <w:b/>
          <w:bCs/>
          <w:sz w:val="28"/>
          <w:szCs w:val="28"/>
          <w:rtl/>
        </w:rPr>
        <w:t xml:space="preserve"> لتعزيز قاعدة الأدلة العامة</w:t>
      </w:r>
    </w:p>
    <w:p w:rsidR="00FE2E68" w:rsidRPr="001A3C95" w:rsidRDefault="00FE2E68" w:rsidP="00FE2E68">
      <w:pPr>
        <w:bidi/>
        <w:ind w:left="360"/>
        <w:rPr>
          <w:rFonts w:ascii="Arial" w:hAnsi="Arial" w:cs="Arial"/>
          <w:sz w:val="28"/>
          <w:szCs w:val="28"/>
          <w:rtl/>
        </w:rPr>
      </w:pPr>
      <w:r w:rsidRPr="001A3C95">
        <w:rPr>
          <w:rFonts w:ascii="Arial" w:hAnsi="Arial" w:cs="Arial"/>
          <w:sz w:val="28"/>
          <w:szCs w:val="28"/>
          <w:rtl/>
        </w:rPr>
        <w:t xml:space="preserve">من المهم تعميم الممارسات السليمة الخاصة ببرامج التحويلات النقدية والدروس المستقاة منها داخلياً على مستوى شركاء "الحركة" وخارجياً على مستوى الجهات الأخرى. فنشر الأدوات ودراسات الحالة، والأخبار، والأدوات السمعية والبصرية، يسمح بتحسين أداء الجمعية الوطنية ومساهمتها على الصعيد الإنساني. </w:t>
      </w:r>
      <w:r w:rsidR="00EB5DD7" w:rsidRPr="001A3C95">
        <w:rPr>
          <w:rFonts w:ascii="Arial" w:hAnsi="Arial" w:cs="Arial"/>
          <w:sz w:val="28"/>
          <w:szCs w:val="28"/>
          <w:rtl/>
        </w:rPr>
        <w:t xml:space="preserve">ويجب أن تكون الجمعية الوطنية على استعداد لتقديم الدعم الفني للجمعيات الوطنية المعنية الأخرى. </w:t>
      </w:r>
      <w:r w:rsidR="00ED014C" w:rsidRPr="001A3C95">
        <w:rPr>
          <w:rFonts w:ascii="Arial" w:hAnsi="Arial" w:cs="Arial"/>
          <w:sz w:val="28"/>
          <w:szCs w:val="28"/>
          <w:rtl/>
        </w:rPr>
        <w:t xml:space="preserve">وتتضمن أدوات الخطوات الفرعية نماذج لإعداد </w:t>
      </w:r>
      <w:r w:rsidR="00E61F07" w:rsidRPr="001A3C95">
        <w:rPr>
          <w:rFonts w:ascii="Arial" w:hAnsi="Arial" w:cs="Arial"/>
          <w:sz w:val="28"/>
          <w:szCs w:val="28"/>
          <w:rtl/>
        </w:rPr>
        <w:t>دراسات حالة وصحائف وقائع.</w:t>
      </w:r>
    </w:p>
    <w:p w:rsidR="004174FF" w:rsidRPr="001A3C95" w:rsidRDefault="004174FF" w:rsidP="004174FF">
      <w:pPr>
        <w:bidi/>
        <w:ind w:left="360"/>
        <w:rPr>
          <w:rFonts w:ascii="Arial" w:hAnsi="Arial" w:cs="Arial"/>
          <w:sz w:val="28"/>
          <w:szCs w:val="28"/>
          <w:rtl/>
        </w:rPr>
      </w:pPr>
    </w:p>
    <w:p w:rsidR="00740127" w:rsidRPr="001A3C95" w:rsidRDefault="00740127" w:rsidP="00740127">
      <w:pPr>
        <w:pStyle w:val="RefTitre"/>
        <w:bidi/>
        <w:rPr>
          <w:rFonts w:cs="Arial"/>
          <w:sz w:val="28"/>
          <w:szCs w:val="28"/>
        </w:rPr>
      </w:pPr>
      <w:r w:rsidRPr="001A3C95">
        <w:rPr>
          <w:rFonts w:cs="Arial"/>
          <w:sz w:val="28"/>
          <w:szCs w:val="28"/>
          <w:rtl/>
        </w:rPr>
        <w:t xml:space="preserve">المراجع </w:t>
      </w:r>
    </w:p>
    <w:p w:rsidR="00740127" w:rsidRPr="001A3C95" w:rsidRDefault="00740127" w:rsidP="00740127">
      <w:pPr>
        <w:pStyle w:val="RefItem1"/>
        <w:rPr>
          <w:rFonts w:cs="Arial"/>
          <w:sz w:val="28"/>
          <w:szCs w:val="28"/>
        </w:rPr>
      </w:pPr>
      <w:proofErr w:type="spellStart"/>
      <w:r w:rsidRPr="001A3C95">
        <w:rPr>
          <w:rFonts w:cs="Arial"/>
          <w:sz w:val="28"/>
          <w:szCs w:val="28"/>
        </w:rPr>
        <w:t>IFRC</w:t>
      </w:r>
      <w:proofErr w:type="spellEnd"/>
      <w:r w:rsidRPr="001A3C95">
        <w:rPr>
          <w:rFonts w:cs="Arial"/>
          <w:sz w:val="28"/>
          <w:szCs w:val="28"/>
        </w:rPr>
        <w:t xml:space="preserve"> (2012) Contingency planning guide </w:t>
      </w:r>
    </w:p>
    <w:p w:rsidR="00740127" w:rsidRPr="001A3C95" w:rsidRDefault="00740127" w:rsidP="00740127">
      <w:pPr>
        <w:pStyle w:val="RefItem1"/>
        <w:rPr>
          <w:rFonts w:cs="Arial"/>
          <w:sz w:val="28"/>
          <w:szCs w:val="28"/>
        </w:rPr>
      </w:pPr>
      <w:proofErr w:type="spellStart"/>
      <w:r w:rsidRPr="001A3C95">
        <w:rPr>
          <w:rFonts w:cs="Arial"/>
          <w:sz w:val="28"/>
          <w:szCs w:val="28"/>
        </w:rPr>
        <w:t>IFRC</w:t>
      </w:r>
      <w:proofErr w:type="spellEnd"/>
      <w:r w:rsidRPr="001A3C95">
        <w:rPr>
          <w:rFonts w:cs="Arial"/>
          <w:sz w:val="28"/>
          <w:szCs w:val="28"/>
        </w:rPr>
        <w:t xml:space="preserve"> (2015) Simulation guidance and templates </w:t>
      </w:r>
    </w:p>
    <w:p w:rsidR="00740127" w:rsidRPr="001A3C95" w:rsidRDefault="00740127" w:rsidP="00740127">
      <w:pPr>
        <w:pStyle w:val="RefItem1"/>
        <w:rPr>
          <w:rFonts w:cs="Arial"/>
          <w:sz w:val="28"/>
          <w:szCs w:val="28"/>
        </w:rPr>
      </w:pPr>
      <w:r w:rsidRPr="001A3C95">
        <w:rPr>
          <w:rFonts w:cs="Arial"/>
          <w:sz w:val="28"/>
          <w:szCs w:val="28"/>
        </w:rPr>
        <w:t xml:space="preserve">Good Practice Review: Cash transfer programming in emergencies. Humanitarian Practice Network (2011) </w:t>
      </w:r>
      <w:hyperlink r:id="rId8" w:history="1">
        <w:r w:rsidRPr="001A3C95">
          <w:rPr>
            <w:rStyle w:val="Hyperlink"/>
            <w:rFonts w:cs="Arial"/>
            <w:sz w:val="28"/>
            <w:szCs w:val="28"/>
          </w:rPr>
          <w:t>http://www.odihpn.org/documents%2Fgpr11.pdf</w:t>
        </w:r>
      </w:hyperlink>
    </w:p>
    <w:p w:rsidR="00740127" w:rsidRPr="001A3C95" w:rsidRDefault="00740127" w:rsidP="00740127">
      <w:pPr>
        <w:ind w:left="360"/>
        <w:rPr>
          <w:rFonts w:ascii="Arial" w:hAnsi="Arial" w:cs="Arial"/>
          <w:sz w:val="28"/>
          <w:szCs w:val="28"/>
        </w:rPr>
      </w:pPr>
      <w:proofErr w:type="gramStart"/>
      <w:r w:rsidRPr="001A3C95">
        <w:rPr>
          <w:rFonts w:ascii="Arial" w:hAnsi="Arial" w:cs="Arial"/>
          <w:sz w:val="28"/>
          <w:szCs w:val="28"/>
        </w:rPr>
        <w:t>Evaluating humanitarian action using the OECD-</w:t>
      </w:r>
      <w:proofErr w:type="spellStart"/>
      <w:r w:rsidRPr="001A3C95">
        <w:rPr>
          <w:rFonts w:ascii="Arial" w:hAnsi="Arial" w:cs="Arial"/>
          <w:sz w:val="28"/>
          <w:szCs w:val="28"/>
        </w:rPr>
        <w:t>DAC</w:t>
      </w:r>
      <w:proofErr w:type="spellEnd"/>
      <w:r w:rsidRPr="001A3C95">
        <w:rPr>
          <w:rFonts w:ascii="Arial" w:hAnsi="Arial" w:cs="Arial"/>
          <w:sz w:val="28"/>
          <w:szCs w:val="28"/>
        </w:rPr>
        <w:t xml:space="preserve"> criteria.</w:t>
      </w:r>
      <w:proofErr w:type="gramEnd"/>
      <w:r w:rsidRPr="001A3C95">
        <w:rPr>
          <w:rFonts w:ascii="Arial" w:hAnsi="Arial" w:cs="Arial"/>
          <w:sz w:val="28"/>
          <w:szCs w:val="28"/>
        </w:rPr>
        <w:t xml:space="preserve"> </w:t>
      </w:r>
      <w:proofErr w:type="spellStart"/>
      <w:r w:rsidRPr="001A3C95">
        <w:rPr>
          <w:rFonts w:ascii="Arial" w:hAnsi="Arial" w:cs="Arial"/>
          <w:sz w:val="28"/>
          <w:szCs w:val="28"/>
        </w:rPr>
        <w:t>ALNAP</w:t>
      </w:r>
      <w:proofErr w:type="spellEnd"/>
      <w:r w:rsidRPr="001A3C95">
        <w:rPr>
          <w:rFonts w:ascii="Arial" w:hAnsi="Arial" w:cs="Arial"/>
          <w:sz w:val="28"/>
          <w:szCs w:val="28"/>
        </w:rPr>
        <w:t xml:space="preserve"> </w:t>
      </w:r>
      <w:r w:rsidRPr="001A3C95">
        <w:rPr>
          <w:rFonts w:ascii="Arial" w:hAnsi="Arial" w:cs="Arial"/>
          <w:sz w:val="28"/>
          <w:szCs w:val="28"/>
        </w:rPr>
        <w:br/>
      </w:r>
      <w:hyperlink r:id="rId9" w:history="1">
        <w:r w:rsidRPr="001A3C95">
          <w:rPr>
            <w:rStyle w:val="Hyperlink"/>
            <w:rFonts w:ascii="Arial" w:eastAsia="Times New Roman" w:hAnsi="Arial" w:cs="Arial"/>
            <w:sz w:val="28"/>
            <w:szCs w:val="28"/>
          </w:rPr>
          <w:t>http://www.alnap.org/resource/5253</w:t>
        </w:r>
      </w:hyperlink>
    </w:p>
    <w:sectPr w:rsidR="00740127" w:rsidRPr="001A3C95" w:rsidSect="004966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802C69"/>
    <w:multiLevelType w:val="hybridMultilevel"/>
    <w:tmpl w:val="DB48D382"/>
    <w:lvl w:ilvl="0" w:tplc="617E7DD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1F37"/>
    <w:rsid w:val="00166CCA"/>
    <w:rsid w:val="001A3C95"/>
    <w:rsid w:val="001A7F79"/>
    <w:rsid w:val="001C0FDC"/>
    <w:rsid w:val="002940D3"/>
    <w:rsid w:val="00370E4C"/>
    <w:rsid w:val="004174FF"/>
    <w:rsid w:val="00462BCE"/>
    <w:rsid w:val="0049669E"/>
    <w:rsid w:val="00583295"/>
    <w:rsid w:val="005A0BA0"/>
    <w:rsid w:val="00651F37"/>
    <w:rsid w:val="00665F29"/>
    <w:rsid w:val="006F5ED7"/>
    <w:rsid w:val="00740127"/>
    <w:rsid w:val="007E58F0"/>
    <w:rsid w:val="00801735"/>
    <w:rsid w:val="00A20DC3"/>
    <w:rsid w:val="00A43214"/>
    <w:rsid w:val="00A43F4A"/>
    <w:rsid w:val="00A94EA6"/>
    <w:rsid w:val="00B229A1"/>
    <w:rsid w:val="00B23AA8"/>
    <w:rsid w:val="00C377E8"/>
    <w:rsid w:val="00C84481"/>
    <w:rsid w:val="00DE5282"/>
    <w:rsid w:val="00E0436B"/>
    <w:rsid w:val="00E1541F"/>
    <w:rsid w:val="00E61F07"/>
    <w:rsid w:val="00EB5DD7"/>
    <w:rsid w:val="00ED014C"/>
    <w:rsid w:val="00ED3133"/>
    <w:rsid w:val="00F3502A"/>
    <w:rsid w:val="00FE2E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6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735"/>
    <w:rPr>
      <w:rFonts w:ascii="Tahoma" w:hAnsi="Tahoma" w:cs="Tahoma"/>
      <w:sz w:val="16"/>
      <w:szCs w:val="16"/>
    </w:rPr>
  </w:style>
  <w:style w:type="paragraph" w:styleId="ListParagraph">
    <w:name w:val="List Paragraph"/>
    <w:basedOn w:val="Normal"/>
    <w:uiPriority w:val="34"/>
    <w:qFormat/>
    <w:rsid w:val="00801735"/>
    <w:pPr>
      <w:ind w:left="720"/>
      <w:contextualSpacing/>
    </w:pPr>
  </w:style>
  <w:style w:type="character" w:styleId="Hyperlink">
    <w:name w:val="Hyperlink"/>
    <w:basedOn w:val="DefaultParagraphFont"/>
    <w:uiPriority w:val="99"/>
    <w:unhideWhenUsed/>
    <w:rsid w:val="00740127"/>
    <w:rPr>
      <w:color w:val="0000FF" w:themeColor="hyperlink"/>
      <w:u w:val="single"/>
    </w:rPr>
  </w:style>
  <w:style w:type="paragraph" w:customStyle="1" w:styleId="RefItem1">
    <w:name w:val="Ref Item 1"/>
    <w:basedOn w:val="Normal"/>
    <w:rsid w:val="00740127"/>
    <w:pPr>
      <w:spacing w:after="120" w:line="240" w:lineRule="auto"/>
    </w:pPr>
    <w:rPr>
      <w:rFonts w:ascii="Arial" w:hAnsi="Arial" w:cs="Times New Roman"/>
      <w:color w:val="000000"/>
      <w:sz w:val="20"/>
      <w:szCs w:val="24"/>
      <w:lang w:eastAsia="it-IT"/>
    </w:rPr>
  </w:style>
  <w:style w:type="paragraph" w:customStyle="1" w:styleId="RefTitre">
    <w:name w:val="Ref Titre"/>
    <w:basedOn w:val="Normal"/>
    <w:rsid w:val="00740127"/>
    <w:pPr>
      <w:spacing w:after="120" w:line="240" w:lineRule="auto"/>
    </w:pPr>
    <w:rPr>
      <w:rFonts w:ascii="Arial" w:eastAsia="Times New Roman" w:hAnsi="Arial"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dihpn.org/documents%2Fgpr11.pdf"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nap.org/resource/5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dc:creator>
  <cp:keywords/>
  <dc:description/>
  <cp:lastModifiedBy>joelle</cp:lastModifiedBy>
  <cp:revision>24</cp:revision>
  <dcterms:created xsi:type="dcterms:W3CDTF">2015-12-24T12:11:00Z</dcterms:created>
  <dcterms:modified xsi:type="dcterms:W3CDTF">2016-02-20T10:39:00Z</dcterms:modified>
</cp:coreProperties>
</file>