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212A1" w:rsidRDefault="00B62C76" w:rsidP="001212A1">
      <w:pPr>
        <w:bidi/>
        <w:jc w:val="center"/>
        <w:rPr>
          <w:rFonts w:ascii="Arial" w:hAnsi="Arial" w:cs="Arial"/>
          <w:b/>
          <w:bCs/>
          <w:sz w:val="28"/>
          <w:szCs w:val="28"/>
          <w:rtl/>
        </w:rPr>
      </w:pPr>
      <w:r w:rsidRPr="001212A1">
        <w:rPr>
          <w:rFonts w:ascii="Arial" w:hAnsi="Arial" w:cs="Arial"/>
          <w:b/>
          <w:bCs/>
          <w:sz w:val="28"/>
          <w:szCs w:val="28"/>
          <w:rtl/>
        </w:rPr>
        <w:t>تنظيم ورشة عمل حول ال</w:t>
      </w:r>
      <w:r w:rsidR="00DA18A6" w:rsidRPr="001212A1">
        <w:rPr>
          <w:rFonts w:ascii="Arial" w:hAnsi="Arial" w:cs="Arial"/>
          <w:b/>
          <w:bCs/>
          <w:sz w:val="28"/>
          <w:szCs w:val="28"/>
          <w:rtl/>
        </w:rPr>
        <w:t>دروس المستفادة</w:t>
      </w:r>
    </w:p>
    <w:p w:rsidR="00DA18A6" w:rsidRPr="001212A1" w:rsidRDefault="00DA18A6" w:rsidP="00DA18A6">
      <w:pPr>
        <w:bidi/>
        <w:rPr>
          <w:rFonts w:ascii="Arial" w:hAnsi="Arial" w:cs="Arial"/>
          <w:sz w:val="28"/>
          <w:szCs w:val="28"/>
          <w:rtl/>
        </w:rPr>
      </w:pPr>
      <w:r w:rsidRPr="001212A1">
        <w:rPr>
          <w:rFonts w:ascii="Arial" w:hAnsi="Arial" w:cs="Arial"/>
          <w:sz w:val="28"/>
          <w:szCs w:val="28"/>
          <w:rtl/>
        </w:rPr>
        <w:t xml:space="preserve">تدمج ورشة عمل </w:t>
      </w:r>
      <w:r w:rsidR="00B62C76" w:rsidRPr="001212A1">
        <w:rPr>
          <w:rFonts w:ascii="Arial" w:hAnsi="Arial" w:cs="Arial"/>
          <w:sz w:val="28"/>
          <w:szCs w:val="28"/>
          <w:rtl/>
        </w:rPr>
        <w:t>حول ال</w:t>
      </w:r>
      <w:r w:rsidRPr="001212A1">
        <w:rPr>
          <w:rFonts w:ascii="Arial" w:hAnsi="Arial" w:cs="Arial"/>
          <w:sz w:val="28"/>
          <w:szCs w:val="28"/>
          <w:rtl/>
        </w:rPr>
        <w:t>دروس المستفادة  في خطة عمل برنامج التحويلات النقدية، وتهدف الورشة إلى الاستفادة من الدروس المستقاة من المحاكاة، والبرامج التجريبية، والاستجابات العملية، وتقديم التوصيات الكفيلة بتحسين الممارسات الحالية والمستقبلية، على أن تركز ورشة العمل للدروس المستفادة على كافة عملية التأهب.</w:t>
      </w:r>
    </w:p>
    <w:p w:rsidR="00DA18A6" w:rsidRPr="001212A1" w:rsidRDefault="00DA18A6" w:rsidP="00DA18A6">
      <w:pPr>
        <w:bidi/>
        <w:rPr>
          <w:rFonts w:ascii="Arial" w:hAnsi="Arial" w:cs="Arial"/>
          <w:sz w:val="28"/>
          <w:szCs w:val="28"/>
          <w:rtl/>
        </w:rPr>
      </w:pPr>
      <w:r w:rsidRPr="001212A1">
        <w:rPr>
          <w:rFonts w:ascii="Arial" w:hAnsi="Arial" w:cs="Arial"/>
          <w:sz w:val="28"/>
          <w:szCs w:val="28"/>
          <w:rtl/>
        </w:rPr>
        <w:t>النهج</w:t>
      </w:r>
    </w:p>
    <w:p w:rsidR="00555044" w:rsidRPr="001212A1" w:rsidRDefault="00D27EB7" w:rsidP="00555044">
      <w:pPr>
        <w:bidi/>
        <w:rPr>
          <w:rFonts w:ascii="Arial" w:hAnsi="Arial" w:cs="Arial"/>
          <w:sz w:val="28"/>
          <w:szCs w:val="28"/>
          <w:rtl/>
        </w:rPr>
      </w:pPr>
      <w:r w:rsidRPr="001212A1">
        <w:rPr>
          <w:rFonts w:ascii="Arial" w:hAnsi="Arial" w:cs="Arial"/>
          <w:sz w:val="28"/>
          <w:szCs w:val="28"/>
          <w:rtl/>
        </w:rPr>
        <w:t>يكون نهج الورشة مماثل لنهد ورشة العمل المعنية ب</w:t>
      </w:r>
      <w:r w:rsidR="00555044" w:rsidRPr="001212A1">
        <w:rPr>
          <w:rFonts w:ascii="Arial" w:hAnsi="Arial" w:cs="Arial"/>
          <w:sz w:val="28"/>
          <w:szCs w:val="28"/>
          <w:rtl/>
        </w:rPr>
        <w:t>مشاركة الجهات المعنية التي تعقد في بداية عملية التأهب. أي يجب أن يتسم هذا النهج بالتشاور والمشاركة. وحيثما امكن، يجب أن تكون هذه الورشة مرتبطة بورش العمل ذات الصلة بعملية التأهب، وخطط الاستجابة لحالات الطوارئ.</w:t>
      </w:r>
    </w:p>
    <w:p w:rsidR="00555044" w:rsidRPr="001212A1" w:rsidRDefault="00555044" w:rsidP="00555044">
      <w:pPr>
        <w:bidi/>
        <w:rPr>
          <w:rFonts w:ascii="Arial" w:hAnsi="Arial" w:cs="Arial"/>
          <w:sz w:val="28"/>
          <w:szCs w:val="28"/>
          <w:rtl/>
        </w:rPr>
      </w:pPr>
      <w:r w:rsidRPr="001212A1">
        <w:rPr>
          <w:rFonts w:ascii="Arial" w:hAnsi="Arial" w:cs="Arial"/>
          <w:sz w:val="28"/>
          <w:szCs w:val="28"/>
          <w:rtl/>
        </w:rPr>
        <w:t>المشاركون</w:t>
      </w:r>
    </w:p>
    <w:p w:rsidR="00DA18A6" w:rsidRPr="001212A1" w:rsidRDefault="00555044" w:rsidP="00555044">
      <w:pPr>
        <w:bidi/>
        <w:rPr>
          <w:rFonts w:ascii="Arial" w:hAnsi="Arial" w:cs="Arial"/>
          <w:sz w:val="28"/>
          <w:szCs w:val="28"/>
          <w:rtl/>
        </w:rPr>
      </w:pPr>
      <w:r w:rsidRPr="001212A1">
        <w:rPr>
          <w:rFonts w:ascii="Arial" w:hAnsi="Arial" w:cs="Arial"/>
          <w:sz w:val="28"/>
          <w:szCs w:val="28"/>
          <w:rtl/>
        </w:rPr>
        <w:t xml:space="preserve"> يدعى كل الموظفين والأقسام المعنيين بعملية اتأهب لحضور ورشة العمل. ويشمل الحضور ما يلي:</w:t>
      </w:r>
    </w:p>
    <w:p w:rsidR="00555044" w:rsidRPr="001212A1" w:rsidRDefault="001C5243" w:rsidP="00555044">
      <w:pPr>
        <w:pStyle w:val="ListParagraph"/>
        <w:numPr>
          <w:ilvl w:val="0"/>
          <w:numId w:val="1"/>
        </w:numPr>
        <w:bidi/>
        <w:rPr>
          <w:rFonts w:ascii="Arial" w:hAnsi="Arial" w:cs="Arial"/>
          <w:sz w:val="28"/>
          <w:szCs w:val="28"/>
        </w:rPr>
      </w:pPr>
      <w:r w:rsidRPr="001212A1">
        <w:rPr>
          <w:rFonts w:ascii="Arial" w:hAnsi="Arial" w:cs="Arial"/>
          <w:sz w:val="28"/>
          <w:szCs w:val="28"/>
          <w:rtl/>
        </w:rPr>
        <w:t>المسؤول في مجال برامج التحويلات النقدية وأعضاء فريق العمل الفني.</w:t>
      </w:r>
    </w:p>
    <w:p w:rsidR="001C5243" w:rsidRPr="001212A1" w:rsidRDefault="000C2986" w:rsidP="001C5243">
      <w:pPr>
        <w:pStyle w:val="ListParagraph"/>
        <w:numPr>
          <w:ilvl w:val="0"/>
          <w:numId w:val="1"/>
        </w:numPr>
        <w:bidi/>
        <w:rPr>
          <w:rFonts w:ascii="Arial" w:hAnsi="Arial" w:cs="Arial"/>
          <w:sz w:val="28"/>
          <w:szCs w:val="28"/>
        </w:rPr>
      </w:pPr>
      <w:r w:rsidRPr="001212A1">
        <w:rPr>
          <w:rFonts w:ascii="Arial" w:hAnsi="Arial" w:cs="Arial"/>
          <w:sz w:val="28"/>
          <w:szCs w:val="28"/>
          <w:rtl/>
        </w:rPr>
        <w:t xml:space="preserve">الجهات </w:t>
      </w:r>
      <w:r w:rsidR="00426094" w:rsidRPr="001212A1">
        <w:rPr>
          <w:rFonts w:ascii="Arial" w:hAnsi="Arial" w:cs="Arial"/>
          <w:sz w:val="28"/>
          <w:szCs w:val="28"/>
          <w:rtl/>
        </w:rPr>
        <w:t>القيادية الحكومية (لحضور الجلسات الخاصة بتقديم النتائج والتوصيات على الأقل).</w:t>
      </w:r>
    </w:p>
    <w:p w:rsidR="00426094" w:rsidRPr="001212A1" w:rsidRDefault="00426094" w:rsidP="00426094">
      <w:pPr>
        <w:pStyle w:val="ListParagraph"/>
        <w:numPr>
          <w:ilvl w:val="0"/>
          <w:numId w:val="1"/>
        </w:numPr>
        <w:bidi/>
        <w:rPr>
          <w:rFonts w:ascii="Arial" w:hAnsi="Arial" w:cs="Arial"/>
          <w:sz w:val="28"/>
          <w:szCs w:val="28"/>
        </w:rPr>
      </w:pPr>
      <w:r w:rsidRPr="001212A1">
        <w:rPr>
          <w:rFonts w:ascii="Arial" w:hAnsi="Arial" w:cs="Arial"/>
          <w:sz w:val="28"/>
          <w:szCs w:val="28"/>
          <w:rtl/>
        </w:rPr>
        <w:t>المدراء (المسؤولين عن الأقسام).</w:t>
      </w:r>
    </w:p>
    <w:p w:rsidR="00426094" w:rsidRPr="001212A1" w:rsidRDefault="00837CB0" w:rsidP="00426094">
      <w:pPr>
        <w:pStyle w:val="ListParagraph"/>
        <w:numPr>
          <w:ilvl w:val="0"/>
          <w:numId w:val="1"/>
        </w:numPr>
        <w:bidi/>
        <w:rPr>
          <w:rFonts w:ascii="Arial" w:hAnsi="Arial" w:cs="Arial"/>
          <w:sz w:val="28"/>
          <w:szCs w:val="28"/>
        </w:rPr>
      </w:pPr>
      <w:r w:rsidRPr="001212A1">
        <w:rPr>
          <w:rFonts w:ascii="Arial" w:hAnsi="Arial" w:cs="Arial"/>
          <w:sz w:val="28"/>
          <w:szCs w:val="28"/>
          <w:rtl/>
        </w:rPr>
        <w:t>الموظفون في المراكز الأساسية والفروع المعنيون بالبرمجة والخدمات المساندة .</w:t>
      </w:r>
    </w:p>
    <w:p w:rsidR="00837CB0" w:rsidRPr="001212A1" w:rsidRDefault="00D65B2C" w:rsidP="00837CB0">
      <w:pPr>
        <w:pStyle w:val="ListParagraph"/>
        <w:numPr>
          <w:ilvl w:val="0"/>
          <w:numId w:val="1"/>
        </w:numPr>
        <w:bidi/>
        <w:rPr>
          <w:rFonts w:ascii="Arial" w:hAnsi="Arial" w:cs="Arial"/>
          <w:sz w:val="28"/>
          <w:szCs w:val="28"/>
        </w:rPr>
      </w:pPr>
      <w:r w:rsidRPr="001212A1">
        <w:rPr>
          <w:rFonts w:ascii="Arial" w:hAnsi="Arial" w:cs="Arial"/>
          <w:sz w:val="28"/>
          <w:szCs w:val="28"/>
          <w:rtl/>
        </w:rPr>
        <w:t>شركاء "الحركة" في البلاد/المنطقة.</w:t>
      </w:r>
    </w:p>
    <w:p w:rsidR="00D65B2C" w:rsidRPr="001212A1" w:rsidRDefault="00D65B2C" w:rsidP="00D65B2C">
      <w:pPr>
        <w:pStyle w:val="ListParagraph"/>
        <w:numPr>
          <w:ilvl w:val="0"/>
          <w:numId w:val="1"/>
        </w:numPr>
        <w:bidi/>
        <w:rPr>
          <w:rFonts w:ascii="Arial" w:hAnsi="Arial" w:cs="Arial"/>
          <w:sz w:val="28"/>
          <w:szCs w:val="28"/>
        </w:rPr>
      </w:pPr>
      <w:r w:rsidRPr="001212A1">
        <w:rPr>
          <w:rFonts w:ascii="Arial" w:hAnsi="Arial" w:cs="Arial"/>
          <w:sz w:val="28"/>
          <w:szCs w:val="28"/>
          <w:rtl/>
        </w:rPr>
        <w:t>المشاركون الخارجيون (الشركاء، الجهات المانحة، إلخ) المعنيون ببرامج التحويلات النقدية (لحضور جلسات معنية).</w:t>
      </w:r>
    </w:p>
    <w:p w:rsidR="00D65B2C" w:rsidRPr="001212A1" w:rsidRDefault="00D65B2C" w:rsidP="00D65B2C">
      <w:pPr>
        <w:bidi/>
        <w:ind w:left="360"/>
        <w:rPr>
          <w:rFonts w:ascii="Arial" w:hAnsi="Arial" w:cs="Arial"/>
          <w:sz w:val="28"/>
          <w:szCs w:val="28"/>
          <w:rtl/>
        </w:rPr>
      </w:pPr>
      <w:r w:rsidRPr="001212A1">
        <w:rPr>
          <w:rFonts w:ascii="Arial" w:hAnsi="Arial" w:cs="Arial"/>
          <w:sz w:val="28"/>
          <w:szCs w:val="28"/>
          <w:rtl/>
        </w:rPr>
        <w:t>الجلسات الرئيسية</w:t>
      </w:r>
    </w:p>
    <w:p w:rsidR="00D65B2C" w:rsidRPr="001212A1" w:rsidRDefault="00D65B2C" w:rsidP="00D65B2C">
      <w:pPr>
        <w:pStyle w:val="ListParagraph"/>
        <w:numPr>
          <w:ilvl w:val="0"/>
          <w:numId w:val="1"/>
        </w:numPr>
        <w:bidi/>
        <w:rPr>
          <w:rFonts w:ascii="Arial" w:hAnsi="Arial" w:cs="Arial"/>
          <w:sz w:val="28"/>
          <w:szCs w:val="28"/>
        </w:rPr>
      </w:pPr>
      <w:r w:rsidRPr="001212A1">
        <w:rPr>
          <w:rFonts w:ascii="Arial" w:hAnsi="Arial" w:cs="Arial"/>
          <w:sz w:val="28"/>
          <w:szCs w:val="28"/>
          <w:rtl/>
        </w:rPr>
        <w:t xml:space="preserve">لمحة حول عملية التأهب في مجال برامج التحويلات النقدية: تقدم هذه الجلسة للمشاركين لمحة حول نتائج ونشاطات التأهب الرئيسية بما فيها النظم المؤاتية، أدوات البرامج، الدورات التدريبية، الموارد والمهارات، والتعاون والتواصل. </w:t>
      </w:r>
    </w:p>
    <w:p w:rsidR="00D65B2C" w:rsidRPr="001212A1" w:rsidRDefault="00D65B2C" w:rsidP="00FA6B4C">
      <w:pPr>
        <w:pStyle w:val="ListParagraph"/>
        <w:numPr>
          <w:ilvl w:val="0"/>
          <w:numId w:val="1"/>
        </w:numPr>
        <w:bidi/>
        <w:rPr>
          <w:rFonts w:ascii="Arial" w:hAnsi="Arial" w:cs="Arial"/>
          <w:sz w:val="28"/>
          <w:szCs w:val="28"/>
        </w:rPr>
      </w:pPr>
      <w:r w:rsidRPr="001212A1">
        <w:rPr>
          <w:rFonts w:ascii="Arial" w:hAnsi="Arial" w:cs="Arial"/>
          <w:sz w:val="28"/>
          <w:szCs w:val="28"/>
          <w:rtl/>
        </w:rPr>
        <w:t>تحديد الفرص</w:t>
      </w:r>
      <w:r w:rsidR="00FA6B4C" w:rsidRPr="001212A1">
        <w:rPr>
          <w:rFonts w:ascii="Arial" w:hAnsi="Arial" w:cs="Arial"/>
          <w:sz w:val="28"/>
          <w:szCs w:val="28"/>
          <w:rtl/>
        </w:rPr>
        <w:t xml:space="preserve"> المستفادة</w:t>
      </w:r>
      <w:r w:rsidRPr="001212A1">
        <w:rPr>
          <w:rFonts w:ascii="Arial" w:hAnsi="Arial" w:cs="Arial"/>
          <w:sz w:val="28"/>
          <w:szCs w:val="28"/>
          <w:rtl/>
        </w:rPr>
        <w:t xml:space="preserve">: تسمح هذه الجلسة بمساعدة المشاركين على تحديد </w:t>
      </w:r>
      <w:r w:rsidR="00FA6B4C" w:rsidRPr="001212A1">
        <w:rPr>
          <w:rFonts w:ascii="Arial" w:hAnsi="Arial" w:cs="Arial"/>
          <w:sz w:val="28"/>
          <w:szCs w:val="28"/>
          <w:rtl/>
        </w:rPr>
        <w:t xml:space="preserve">ماهية </w:t>
      </w:r>
      <w:r w:rsidRPr="001212A1">
        <w:rPr>
          <w:rFonts w:ascii="Arial" w:hAnsi="Arial" w:cs="Arial"/>
          <w:sz w:val="28"/>
          <w:szCs w:val="28"/>
          <w:rtl/>
        </w:rPr>
        <w:t xml:space="preserve">التعديلات </w:t>
      </w:r>
      <w:r w:rsidR="00FA6B4C" w:rsidRPr="001212A1">
        <w:rPr>
          <w:rFonts w:ascii="Arial" w:hAnsi="Arial" w:cs="Arial"/>
          <w:sz w:val="28"/>
          <w:szCs w:val="28"/>
          <w:rtl/>
        </w:rPr>
        <w:t>التي يجب إدخالها على الأنظمة، والاجراءات، والأدوات بعد أن خضعت للاختبار في مرحلة التأهب.  وتتطلب هذه الجلسة مشاركة الجهات المعنية العاملة في المراكز الأساسية والفروع والمنظمات المعنية. وهي تسمح للمشاركين بالتمعن في ما يلي: كيفية تأمين استدامة عملية التأهب؛ مدى واقعية وطموح النتائج التي كانت متوقعة؛ مدى تناسب الموارد تخصيص الموارد (بالاستناد إلى تحليل النفقات مقابل الميزانية)؛ والسبب وراء نجاح أو فشل تدابير معينة؛ والتغيرات التي يجب تطبيقها في المستقبل.</w:t>
      </w:r>
    </w:p>
    <w:p w:rsidR="00B256F0" w:rsidRPr="001212A1" w:rsidRDefault="00B256F0" w:rsidP="001212A1">
      <w:pPr>
        <w:pStyle w:val="ListParagraph"/>
        <w:numPr>
          <w:ilvl w:val="0"/>
          <w:numId w:val="1"/>
        </w:numPr>
        <w:bidi/>
        <w:jc w:val="both"/>
        <w:rPr>
          <w:rFonts w:ascii="Arial" w:hAnsi="Arial" w:cs="Arial"/>
          <w:sz w:val="28"/>
          <w:szCs w:val="28"/>
        </w:rPr>
      </w:pPr>
      <w:r w:rsidRPr="001212A1">
        <w:rPr>
          <w:rFonts w:ascii="Arial" w:hAnsi="Arial" w:cs="Arial"/>
          <w:sz w:val="28"/>
          <w:szCs w:val="28"/>
          <w:rtl/>
        </w:rPr>
        <w:lastRenderedPageBreak/>
        <w:t>تحديث التحليل الرباعي: تتمحور هذه الجلسة حول إدخال التحديثات لتحسين قدرة الجمعيات الوطنية على إجرا</w:t>
      </w:r>
      <w:r w:rsidR="00724E03" w:rsidRPr="001212A1">
        <w:rPr>
          <w:rFonts w:ascii="Arial" w:hAnsi="Arial" w:cs="Arial"/>
          <w:sz w:val="28"/>
          <w:szCs w:val="28"/>
          <w:rtl/>
        </w:rPr>
        <w:t>ء التحاليل الرباعية من أجل تحديد التقدم المحرز في هذا الشأن، والمعوقات التي لا تزال قائمة، والتحديات التي يجب التصدي لها. وتسمح هذه الجسلة بإثراء المناقشات والتوصيات والخطوات المستقبلية</w:t>
      </w:r>
      <w:r w:rsidR="00C21D8C" w:rsidRPr="001212A1">
        <w:rPr>
          <w:rFonts w:ascii="Arial" w:hAnsi="Arial" w:cs="Arial"/>
          <w:sz w:val="28"/>
          <w:szCs w:val="28"/>
          <w:rtl/>
        </w:rPr>
        <w:t xml:space="preserve">. كما تسمح بتعزيز التزام الجمعيات الوطنية نحو الاستمرار بتنمية القدرات في مجال برامج التحويلات النقدية. </w:t>
      </w:r>
    </w:p>
    <w:p w:rsidR="00C21D8C" w:rsidRPr="001212A1" w:rsidRDefault="00C21D8C" w:rsidP="00C21D8C">
      <w:pPr>
        <w:pStyle w:val="ListParagraph"/>
        <w:numPr>
          <w:ilvl w:val="0"/>
          <w:numId w:val="1"/>
        </w:numPr>
        <w:bidi/>
        <w:rPr>
          <w:rFonts w:ascii="Arial" w:hAnsi="Arial" w:cs="Arial"/>
          <w:sz w:val="28"/>
          <w:szCs w:val="28"/>
        </w:rPr>
      </w:pPr>
      <w:r w:rsidRPr="001212A1">
        <w:rPr>
          <w:rFonts w:ascii="Arial" w:hAnsi="Arial" w:cs="Arial"/>
          <w:sz w:val="28"/>
          <w:szCs w:val="28"/>
          <w:rtl/>
        </w:rPr>
        <w:t>الم</w:t>
      </w:r>
      <w:r w:rsidR="00236717" w:rsidRPr="001212A1">
        <w:rPr>
          <w:rFonts w:ascii="Arial" w:hAnsi="Arial" w:cs="Arial"/>
          <w:sz w:val="28"/>
          <w:szCs w:val="28"/>
          <w:rtl/>
        </w:rPr>
        <w:t>ناقش</w:t>
      </w:r>
      <w:r w:rsidRPr="001212A1">
        <w:rPr>
          <w:rFonts w:ascii="Arial" w:hAnsi="Arial" w:cs="Arial"/>
          <w:sz w:val="28"/>
          <w:szCs w:val="28"/>
          <w:rtl/>
        </w:rPr>
        <w:t xml:space="preserve">ة حول التوصيات: </w:t>
      </w:r>
      <w:r w:rsidR="00236717" w:rsidRPr="001212A1">
        <w:rPr>
          <w:rFonts w:ascii="Arial" w:hAnsi="Arial" w:cs="Arial"/>
          <w:sz w:val="28"/>
          <w:szCs w:val="28"/>
          <w:rtl/>
        </w:rPr>
        <w:t xml:space="preserve">تسمح هذه الجلسة </w:t>
      </w:r>
      <w:r w:rsidR="00943363" w:rsidRPr="001212A1">
        <w:rPr>
          <w:rFonts w:ascii="Arial" w:hAnsi="Arial" w:cs="Arial"/>
          <w:sz w:val="28"/>
          <w:szCs w:val="28"/>
          <w:rtl/>
        </w:rPr>
        <w:t>باطلاع المشاركين على قدرة الاستجابة الحالية ونقاط العمل الموصى بها. وتشمل الجلسة: خيارات تعبئة الموارد المحتملة إذا استمرت الجمعية الوطنية في تطبيق برامج التحويلات النقدية، وامكانية اعادة التجربة نفسها في مناطف:فروع أخرى؛ وأدوار المسؤول وفريق العمل الفني في مجال برامج التحويلات النقدية.</w:t>
      </w:r>
    </w:p>
    <w:p w:rsidR="00943363" w:rsidRPr="001212A1" w:rsidRDefault="00F10197" w:rsidP="00943363">
      <w:pPr>
        <w:pStyle w:val="ListParagraph"/>
        <w:numPr>
          <w:ilvl w:val="0"/>
          <w:numId w:val="1"/>
        </w:numPr>
        <w:bidi/>
        <w:rPr>
          <w:rFonts w:ascii="Arial" w:hAnsi="Arial" w:cs="Arial"/>
          <w:sz w:val="28"/>
          <w:szCs w:val="28"/>
        </w:rPr>
      </w:pPr>
      <w:r w:rsidRPr="001212A1">
        <w:rPr>
          <w:rFonts w:ascii="Arial" w:hAnsi="Arial" w:cs="Arial"/>
          <w:sz w:val="28"/>
          <w:szCs w:val="28"/>
          <w:rtl/>
        </w:rPr>
        <w:t xml:space="preserve">نقاط العمل والدروس المستفادة: تسمح هذه الجلسة بإعداد موجز عن الدروس المستفادة من عملية التأهب ونقاط العمل التي وضعت في خلال ورشة العمل. ويجب أن يتم توثيق هذه المخرجات وتعميمها على الجهات المعنية. </w:t>
      </w:r>
    </w:p>
    <w:p w:rsidR="00B62C76" w:rsidRPr="001212A1" w:rsidRDefault="00B62C76" w:rsidP="00F25990">
      <w:pPr>
        <w:pStyle w:val="ListParagraph"/>
        <w:bidi/>
        <w:rPr>
          <w:rFonts w:ascii="Arial" w:hAnsi="Arial" w:cs="Arial"/>
          <w:sz w:val="28"/>
          <w:szCs w:val="28"/>
          <w:rtl/>
        </w:rPr>
      </w:pPr>
      <w:r w:rsidRPr="001212A1">
        <w:rPr>
          <w:rFonts w:ascii="Arial" w:hAnsi="Arial" w:cs="Arial"/>
          <w:sz w:val="28"/>
          <w:szCs w:val="28"/>
          <w:rtl/>
        </w:rPr>
        <w:t>و</w:t>
      </w:r>
      <w:r w:rsidR="00F25990" w:rsidRPr="001212A1">
        <w:rPr>
          <w:rFonts w:ascii="Arial" w:hAnsi="Arial" w:cs="Arial"/>
          <w:sz w:val="28"/>
          <w:szCs w:val="28"/>
          <w:rtl/>
        </w:rPr>
        <w:t>تمتثل</w:t>
      </w:r>
      <w:r w:rsidRPr="001212A1">
        <w:rPr>
          <w:rFonts w:ascii="Arial" w:hAnsi="Arial" w:cs="Arial"/>
          <w:sz w:val="28"/>
          <w:szCs w:val="28"/>
          <w:rtl/>
        </w:rPr>
        <w:t xml:space="preserve"> ورشة العمل حول الدروس المستفادة </w:t>
      </w:r>
      <w:r w:rsidR="00F25990" w:rsidRPr="001212A1">
        <w:rPr>
          <w:rFonts w:ascii="Arial" w:hAnsi="Arial" w:cs="Arial"/>
          <w:sz w:val="28"/>
          <w:szCs w:val="28"/>
          <w:rtl/>
        </w:rPr>
        <w:t>ل</w:t>
      </w:r>
      <w:r w:rsidRPr="001212A1">
        <w:rPr>
          <w:rFonts w:ascii="Arial" w:hAnsi="Arial" w:cs="Arial"/>
          <w:sz w:val="28"/>
          <w:szCs w:val="28"/>
          <w:rtl/>
        </w:rPr>
        <w:t>ما يلي:</w:t>
      </w:r>
    </w:p>
    <w:p w:rsidR="00B62C76" w:rsidRPr="001212A1" w:rsidRDefault="00F25990" w:rsidP="00B62C76">
      <w:pPr>
        <w:pStyle w:val="ListParagraph"/>
        <w:numPr>
          <w:ilvl w:val="1"/>
          <w:numId w:val="1"/>
        </w:numPr>
        <w:bidi/>
        <w:rPr>
          <w:rFonts w:ascii="Arial" w:hAnsi="Arial" w:cs="Arial"/>
          <w:sz w:val="28"/>
          <w:szCs w:val="28"/>
        </w:rPr>
      </w:pPr>
      <w:r w:rsidRPr="001212A1">
        <w:rPr>
          <w:rFonts w:ascii="Arial" w:hAnsi="Arial" w:cs="Arial"/>
          <w:sz w:val="28"/>
          <w:szCs w:val="28"/>
          <w:rtl/>
        </w:rPr>
        <w:t>البدء بموجز حول الانجازات الرئيسية والممارسات السليمة</w:t>
      </w:r>
      <w:r w:rsidR="007D425C" w:rsidRPr="001212A1">
        <w:rPr>
          <w:rFonts w:ascii="Arial" w:hAnsi="Arial" w:cs="Arial"/>
          <w:sz w:val="28"/>
          <w:szCs w:val="28"/>
          <w:rtl/>
        </w:rPr>
        <w:t>.</w:t>
      </w:r>
    </w:p>
    <w:p w:rsidR="00F25990" w:rsidRPr="001212A1" w:rsidRDefault="00CE285D" w:rsidP="00F25990">
      <w:pPr>
        <w:pStyle w:val="ListParagraph"/>
        <w:numPr>
          <w:ilvl w:val="1"/>
          <w:numId w:val="1"/>
        </w:numPr>
        <w:bidi/>
        <w:rPr>
          <w:rFonts w:ascii="Arial" w:hAnsi="Arial" w:cs="Arial"/>
          <w:sz w:val="28"/>
          <w:szCs w:val="28"/>
        </w:rPr>
      </w:pPr>
      <w:r w:rsidRPr="001212A1">
        <w:rPr>
          <w:rFonts w:ascii="Arial" w:hAnsi="Arial" w:cs="Arial"/>
          <w:sz w:val="28"/>
          <w:szCs w:val="28"/>
          <w:rtl/>
        </w:rPr>
        <w:t>تضمن موجز تفسيري والتحليل الرباعي</w:t>
      </w:r>
      <w:r w:rsidR="007D425C" w:rsidRPr="001212A1">
        <w:rPr>
          <w:rFonts w:ascii="Arial" w:hAnsi="Arial" w:cs="Arial"/>
          <w:sz w:val="28"/>
          <w:szCs w:val="28"/>
          <w:rtl/>
        </w:rPr>
        <w:t>.</w:t>
      </w:r>
    </w:p>
    <w:p w:rsidR="00CE285D" w:rsidRPr="001212A1" w:rsidRDefault="00CE285D" w:rsidP="00CE285D">
      <w:pPr>
        <w:pStyle w:val="ListParagraph"/>
        <w:numPr>
          <w:ilvl w:val="1"/>
          <w:numId w:val="1"/>
        </w:numPr>
        <w:bidi/>
        <w:rPr>
          <w:rFonts w:ascii="Arial" w:hAnsi="Arial" w:cs="Arial"/>
          <w:sz w:val="28"/>
          <w:szCs w:val="28"/>
        </w:rPr>
      </w:pPr>
      <w:r w:rsidRPr="001212A1">
        <w:rPr>
          <w:rFonts w:ascii="Arial" w:hAnsi="Arial" w:cs="Arial"/>
          <w:sz w:val="28"/>
          <w:szCs w:val="28"/>
          <w:rtl/>
        </w:rPr>
        <w:t>تضمن التوصيات لتحسين بعض المخرجات (النظم، الأدوات، مواد التدريب، إلخ).</w:t>
      </w:r>
    </w:p>
    <w:p w:rsidR="00CE285D" w:rsidRPr="001212A1" w:rsidRDefault="007D425C" w:rsidP="00CE285D">
      <w:pPr>
        <w:pStyle w:val="ListParagraph"/>
        <w:numPr>
          <w:ilvl w:val="1"/>
          <w:numId w:val="1"/>
        </w:numPr>
        <w:bidi/>
        <w:rPr>
          <w:rFonts w:ascii="Arial" w:hAnsi="Arial" w:cs="Arial"/>
          <w:sz w:val="28"/>
          <w:szCs w:val="28"/>
        </w:rPr>
      </w:pPr>
      <w:r w:rsidRPr="001212A1">
        <w:rPr>
          <w:rFonts w:ascii="Arial" w:hAnsi="Arial" w:cs="Arial"/>
          <w:sz w:val="28"/>
          <w:szCs w:val="28"/>
          <w:rtl/>
        </w:rPr>
        <w:t>تضمن التوصيات لتحسين/تكييف عملية التأهب.</w:t>
      </w:r>
    </w:p>
    <w:p w:rsidR="007D425C" w:rsidRPr="001212A1" w:rsidRDefault="007D425C" w:rsidP="007D425C">
      <w:pPr>
        <w:pStyle w:val="ListParagraph"/>
        <w:numPr>
          <w:ilvl w:val="1"/>
          <w:numId w:val="1"/>
        </w:numPr>
        <w:bidi/>
        <w:rPr>
          <w:rFonts w:ascii="Arial" w:hAnsi="Arial" w:cs="Arial"/>
          <w:sz w:val="28"/>
          <w:szCs w:val="28"/>
        </w:rPr>
      </w:pPr>
      <w:r w:rsidRPr="001212A1">
        <w:rPr>
          <w:rFonts w:ascii="Arial" w:hAnsi="Arial" w:cs="Arial"/>
          <w:sz w:val="28"/>
          <w:szCs w:val="28"/>
          <w:rtl/>
        </w:rPr>
        <w:t xml:space="preserve">الختام بالخطوات المستقبلية والتوصيات </w:t>
      </w:r>
    </w:p>
    <w:p w:rsidR="007D425C" w:rsidRPr="001212A1" w:rsidRDefault="007D425C" w:rsidP="007D425C">
      <w:pPr>
        <w:pStyle w:val="ListParagraph"/>
        <w:numPr>
          <w:ilvl w:val="1"/>
          <w:numId w:val="1"/>
        </w:numPr>
        <w:bidi/>
        <w:rPr>
          <w:rFonts w:ascii="Arial" w:hAnsi="Arial" w:cs="Arial"/>
          <w:sz w:val="28"/>
          <w:szCs w:val="28"/>
        </w:rPr>
      </w:pPr>
      <w:r w:rsidRPr="001212A1">
        <w:rPr>
          <w:rFonts w:ascii="Arial" w:hAnsi="Arial" w:cs="Arial"/>
          <w:sz w:val="28"/>
          <w:szCs w:val="28"/>
          <w:rtl/>
        </w:rPr>
        <w:t>تقديم الروابط المتعلقة بمجموعة أدوات التحويلات النقدية عبر قائمة بالأدوات/الاجراءات التي أدت إلى تنمية القدرات في مجال تطبيق برامج التحويلات النقدية على نطاق واسع.</w:t>
      </w:r>
    </w:p>
    <w:p w:rsidR="00C82AC6" w:rsidRPr="001212A1" w:rsidRDefault="00C82AC6" w:rsidP="00DB5D05">
      <w:pPr>
        <w:bidi/>
        <w:ind w:left="1080"/>
        <w:rPr>
          <w:rFonts w:ascii="Arial" w:hAnsi="Arial" w:cs="Arial"/>
          <w:sz w:val="28"/>
          <w:szCs w:val="28"/>
        </w:rPr>
      </w:pPr>
      <w:r w:rsidRPr="001212A1">
        <w:rPr>
          <w:rFonts w:ascii="Arial" w:hAnsi="Arial" w:cs="Arial"/>
          <w:sz w:val="28"/>
          <w:szCs w:val="28"/>
          <w:rtl/>
        </w:rPr>
        <w:t>من المفضل أن يعمل قسم التواصل على إعداد بيان صحفي أو تقديم أخبار عبر الانرنت يمكن تعميمها على الشركاء ووسائل الإعلام. ويمكن أن ي</w:t>
      </w:r>
      <w:r w:rsidR="00DB5D05" w:rsidRPr="001212A1">
        <w:rPr>
          <w:rFonts w:ascii="Arial" w:hAnsi="Arial" w:cs="Arial"/>
          <w:sz w:val="28"/>
          <w:szCs w:val="28"/>
          <w:rtl/>
        </w:rPr>
        <w:t>وثق</w:t>
      </w:r>
      <w:r w:rsidRPr="001212A1">
        <w:rPr>
          <w:rFonts w:ascii="Arial" w:hAnsi="Arial" w:cs="Arial"/>
          <w:sz w:val="28"/>
          <w:szCs w:val="28"/>
          <w:rtl/>
        </w:rPr>
        <w:t xml:space="preserve"> القسم </w:t>
      </w:r>
      <w:r w:rsidR="00DB5D05" w:rsidRPr="001212A1">
        <w:rPr>
          <w:rFonts w:ascii="Arial" w:hAnsi="Arial" w:cs="Arial"/>
          <w:sz w:val="28"/>
          <w:szCs w:val="28"/>
          <w:rtl/>
        </w:rPr>
        <w:t xml:space="preserve">ورشة العمل (كتابياً أو على شريط فيديو) لتعميمها على مراكز الجمعيات الوطنية الرئيسية والفروع، والشركاء الذي لم يتمكنوا من الحضور. </w:t>
      </w:r>
    </w:p>
    <w:sectPr w:rsidR="00C82AC6" w:rsidRPr="00121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4DBB"/>
    <w:multiLevelType w:val="hybridMultilevel"/>
    <w:tmpl w:val="771CD5E8"/>
    <w:lvl w:ilvl="0" w:tplc="E78C7FFC">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18A6"/>
    <w:rsid w:val="000C2986"/>
    <w:rsid w:val="001212A1"/>
    <w:rsid w:val="001C5243"/>
    <w:rsid w:val="00236717"/>
    <w:rsid w:val="00426094"/>
    <w:rsid w:val="00555044"/>
    <w:rsid w:val="00724E03"/>
    <w:rsid w:val="007D425C"/>
    <w:rsid w:val="00837CB0"/>
    <w:rsid w:val="00943363"/>
    <w:rsid w:val="00B256F0"/>
    <w:rsid w:val="00B62C76"/>
    <w:rsid w:val="00C21D8C"/>
    <w:rsid w:val="00C82AC6"/>
    <w:rsid w:val="00CE285D"/>
    <w:rsid w:val="00D27EB7"/>
    <w:rsid w:val="00D65B2C"/>
    <w:rsid w:val="00DA18A6"/>
    <w:rsid w:val="00DB5D05"/>
    <w:rsid w:val="00F10197"/>
    <w:rsid w:val="00F25990"/>
    <w:rsid w:val="00FA6B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14</cp:revision>
  <dcterms:created xsi:type="dcterms:W3CDTF">2015-12-28T10:22:00Z</dcterms:created>
  <dcterms:modified xsi:type="dcterms:W3CDTF">2015-12-28T12:50:00Z</dcterms:modified>
</cp:coreProperties>
</file>