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0" w:rsidRPr="0023304F" w:rsidRDefault="008565B9" w:rsidP="004573C6">
      <w:p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23304F">
        <w:rPr>
          <w:rFonts w:ascii="Arial" w:hAnsi="Arial" w:cs="Arial"/>
          <w:b/>
          <w:bCs/>
          <w:sz w:val="28"/>
          <w:szCs w:val="28"/>
          <w:rtl/>
        </w:rPr>
        <w:t xml:space="preserve">مصفوفة </w:t>
      </w:r>
      <w:r w:rsidR="004573C6">
        <w:rPr>
          <w:rFonts w:ascii="Arial" w:hAnsi="Arial" w:cs="Arial" w:hint="cs"/>
          <w:b/>
          <w:bCs/>
          <w:sz w:val="28"/>
          <w:szCs w:val="28"/>
          <w:rtl/>
        </w:rPr>
        <w:t>الجهات المعنية</w:t>
      </w:r>
      <w:r w:rsidR="004573C6">
        <w:rPr>
          <w:rFonts w:ascii="Arial" w:hAnsi="Arial" w:cs="Arial"/>
          <w:b/>
          <w:bCs/>
          <w:sz w:val="28"/>
          <w:szCs w:val="28"/>
          <w:rtl/>
        </w:rPr>
        <w:t xml:space="preserve"> الرئيسي</w:t>
      </w:r>
      <w:r w:rsidR="004573C6">
        <w:rPr>
          <w:rFonts w:ascii="Arial" w:hAnsi="Arial" w:cs="Arial" w:hint="cs"/>
          <w:b/>
          <w:bCs/>
          <w:sz w:val="28"/>
          <w:szCs w:val="28"/>
          <w:rtl/>
        </w:rPr>
        <w:t>ّة</w:t>
      </w:r>
    </w:p>
    <w:p w:rsidR="008565B9" w:rsidRPr="0023304F" w:rsidRDefault="00B77AA7" w:rsidP="004573C6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23304F">
        <w:rPr>
          <w:rFonts w:ascii="Arial" w:hAnsi="Arial" w:cs="Arial"/>
          <w:sz w:val="28"/>
          <w:szCs w:val="28"/>
          <w:rtl/>
        </w:rPr>
        <w:t xml:space="preserve">يسمح الجدول أدناه </w:t>
      </w:r>
      <w:r w:rsidR="0023304F">
        <w:rPr>
          <w:rFonts w:ascii="Arial" w:hAnsi="Arial" w:cs="Arial" w:hint="cs"/>
          <w:sz w:val="28"/>
          <w:szCs w:val="28"/>
          <w:rtl/>
        </w:rPr>
        <w:t>ب</w:t>
      </w:r>
      <w:r w:rsidR="0023304F">
        <w:rPr>
          <w:rFonts w:ascii="Arial" w:hAnsi="Arial" w:cs="Arial"/>
          <w:sz w:val="28"/>
          <w:szCs w:val="28"/>
          <w:rtl/>
        </w:rPr>
        <w:t xml:space="preserve">رصد </w:t>
      </w:r>
      <w:r w:rsidR="004573C6">
        <w:rPr>
          <w:rFonts w:ascii="Arial" w:hAnsi="Arial" w:cs="Arial" w:hint="cs"/>
          <w:sz w:val="28"/>
          <w:szCs w:val="28"/>
          <w:rtl/>
        </w:rPr>
        <w:t>الجهات الرئيسية</w:t>
      </w:r>
      <w:r w:rsidR="0023304F">
        <w:rPr>
          <w:rFonts w:ascii="Arial" w:hAnsi="Arial" w:cs="Arial"/>
          <w:sz w:val="28"/>
          <w:szCs w:val="28"/>
          <w:rtl/>
        </w:rPr>
        <w:t xml:space="preserve"> </w:t>
      </w:r>
      <w:r w:rsidR="0023304F">
        <w:rPr>
          <w:rFonts w:ascii="Arial" w:hAnsi="Arial" w:cs="Arial" w:hint="cs"/>
          <w:sz w:val="28"/>
          <w:szCs w:val="28"/>
          <w:rtl/>
        </w:rPr>
        <w:t xml:space="preserve">المعنية </w:t>
      </w:r>
      <w:r w:rsidR="004573C6">
        <w:rPr>
          <w:rFonts w:ascii="Arial" w:hAnsi="Arial" w:cs="Arial" w:hint="cs"/>
          <w:sz w:val="28"/>
          <w:szCs w:val="28"/>
          <w:rtl/>
        </w:rPr>
        <w:t>ب</w:t>
      </w:r>
      <w:r w:rsidR="0023304F">
        <w:rPr>
          <w:rFonts w:ascii="Arial" w:hAnsi="Arial" w:cs="Arial" w:hint="cs"/>
          <w:sz w:val="28"/>
          <w:szCs w:val="28"/>
          <w:rtl/>
        </w:rPr>
        <w:t>الاستجابة</w:t>
      </w:r>
      <w:r w:rsidRPr="0023304F">
        <w:rPr>
          <w:rFonts w:ascii="Arial" w:hAnsi="Arial" w:cs="Arial"/>
          <w:sz w:val="28"/>
          <w:szCs w:val="28"/>
          <w:rtl/>
        </w:rPr>
        <w:t xml:space="preserve"> </w:t>
      </w:r>
      <w:r w:rsidR="0023304F">
        <w:rPr>
          <w:rFonts w:ascii="Arial" w:hAnsi="Arial" w:cs="Arial" w:hint="cs"/>
          <w:sz w:val="28"/>
          <w:szCs w:val="28"/>
          <w:rtl/>
        </w:rPr>
        <w:t>ال</w:t>
      </w:r>
      <w:r w:rsidRPr="0023304F">
        <w:rPr>
          <w:rFonts w:ascii="Arial" w:hAnsi="Arial" w:cs="Arial"/>
          <w:sz w:val="28"/>
          <w:szCs w:val="28"/>
          <w:rtl/>
        </w:rPr>
        <w:t xml:space="preserve">نقدية </w:t>
      </w:r>
      <w:r w:rsidR="0023304F">
        <w:rPr>
          <w:rFonts w:ascii="Arial" w:hAnsi="Arial" w:cs="Arial" w:hint="cs"/>
          <w:sz w:val="28"/>
          <w:szCs w:val="28"/>
          <w:rtl/>
        </w:rPr>
        <w:t>ال</w:t>
      </w:r>
      <w:r w:rsidRPr="0023304F">
        <w:rPr>
          <w:rFonts w:ascii="Arial" w:hAnsi="Arial" w:cs="Arial"/>
          <w:sz w:val="28"/>
          <w:szCs w:val="28"/>
          <w:rtl/>
        </w:rPr>
        <w:t xml:space="preserve">محتملة. </w:t>
      </w:r>
      <w:r w:rsidR="004573C6">
        <w:rPr>
          <w:rFonts w:ascii="Arial" w:hAnsi="Arial" w:cs="Arial" w:hint="cs"/>
          <w:sz w:val="28"/>
          <w:szCs w:val="28"/>
          <w:rtl/>
        </w:rPr>
        <w:t>والجهات المعنية الرئيسية</w:t>
      </w:r>
      <w:r w:rsidRPr="0023304F">
        <w:rPr>
          <w:rFonts w:ascii="Arial" w:hAnsi="Arial" w:cs="Arial"/>
          <w:sz w:val="28"/>
          <w:szCs w:val="28"/>
          <w:rtl/>
        </w:rPr>
        <w:t xml:space="preserve"> </w:t>
      </w:r>
      <w:r w:rsidR="004573C6">
        <w:rPr>
          <w:rFonts w:ascii="Arial" w:hAnsi="Arial" w:cs="Arial" w:hint="cs"/>
          <w:sz w:val="28"/>
          <w:szCs w:val="28"/>
          <w:rtl/>
        </w:rPr>
        <w:t>هي الكيانات</w:t>
      </w:r>
      <w:r w:rsidRPr="0023304F">
        <w:rPr>
          <w:rFonts w:ascii="Arial" w:hAnsi="Arial" w:cs="Arial"/>
          <w:sz w:val="28"/>
          <w:szCs w:val="28"/>
          <w:rtl/>
        </w:rPr>
        <w:t xml:space="preserve"> التي قد تؤثر بشك</w:t>
      </w:r>
      <w:r w:rsidR="0023304F">
        <w:rPr>
          <w:rFonts w:ascii="Arial" w:hAnsi="Arial" w:cs="Arial" w:hint="cs"/>
          <w:sz w:val="28"/>
          <w:szCs w:val="28"/>
          <w:rtl/>
        </w:rPr>
        <w:t>ل</w:t>
      </w:r>
      <w:r w:rsidRPr="0023304F">
        <w:rPr>
          <w:rFonts w:ascii="Arial" w:hAnsi="Arial" w:cs="Arial"/>
          <w:sz w:val="28"/>
          <w:szCs w:val="28"/>
          <w:rtl/>
        </w:rPr>
        <w:t xml:space="preserve"> كبير </w:t>
      </w:r>
      <w:r w:rsidR="001A3BF7" w:rsidRPr="0023304F">
        <w:rPr>
          <w:rFonts w:ascii="Arial" w:hAnsi="Arial" w:cs="Arial"/>
          <w:sz w:val="28"/>
          <w:szCs w:val="28"/>
          <w:rtl/>
        </w:rPr>
        <w:t>على نجاح التدخ</w:t>
      </w:r>
      <w:r w:rsidR="0023304F">
        <w:rPr>
          <w:rFonts w:ascii="Arial" w:hAnsi="Arial" w:cs="Arial" w:hint="cs"/>
          <w:sz w:val="28"/>
          <w:szCs w:val="28"/>
          <w:rtl/>
        </w:rPr>
        <w:t>ّ</w:t>
      </w:r>
      <w:r w:rsidR="0023304F">
        <w:rPr>
          <w:rFonts w:ascii="Arial" w:hAnsi="Arial" w:cs="Arial"/>
          <w:sz w:val="28"/>
          <w:szCs w:val="28"/>
          <w:rtl/>
        </w:rPr>
        <w:t>لات ال</w:t>
      </w:r>
      <w:r w:rsidR="0023304F">
        <w:rPr>
          <w:rFonts w:ascii="Arial" w:hAnsi="Arial" w:cs="Arial" w:hint="cs"/>
          <w:sz w:val="28"/>
          <w:szCs w:val="28"/>
          <w:rtl/>
        </w:rPr>
        <w:t>ن</w:t>
      </w:r>
      <w:r w:rsidR="001A3BF7" w:rsidRPr="0023304F">
        <w:rPr>
          <w:rFonts w:ascii="Arial" w:hAnsi="Arial" w:cs="Arial"/>
          <w:sz w:val="28"/>
          <w:szCs w:val="28"/>
          <w:rtl/>
        </w:rPr>
        <w:t>قدية المحتملة. في هذا السياق، يوف</w:t>
      </w:r>
      <w:r w:rsidR="0023304F">
        <w:rPr>
          <w:rFonts w:ascii="Arial" w:hAnsi="Arial" w:cs="Arial" w:hint="cs"/>
          <w:sz w:val="28"/>
          <w:szCs w:val="28"/>
          <w:rtl/>
        </w:rPr>
        <w:t>ّ</w:t>
      </w:r>
      <w:r w:rsidR="001A3BF7" w:rsidRPr="0023304F">
        <w:rPr>
          <w:rFonts w:ascii="Arial" w:hAnsi="Arial" w:cs="Arial"/>
          <w:sz w:val="28"/>
          <w:szCs w:val="28"/>
          <w:rtl/>
        </w:rPr>
        <w:t xml:space="preserve">ر الجدول معلومات </w:t>
      </w:r>
      <w:r w:rsidR="004573C6">
        <w:rPr>
          <w:rFonts w:ascii="Arial" w:hAnsi="Arial" w:cs="Arial" w:hint="cs"/>
          <w:sz w:val="28"/>
          <w:szCs w:val="28"/>
          <w:rtl/>
        </w:rPr>
        <w:t>حول</w:t>
      </w:r>
      <w:r w:rsidR="001A3BF7" w:rsidRPr="0023304F">
        <w:rPr>
          <w:rFonts w:ascii="Arial" w:hAnsi="Arial" w:cs="Arial"/>
          <w:sz w:val="28"/>
          <w:szCs w:val="28"/>
          <w:rtl/>
        </w:rPr>
        <w:t xml:space="preserve"> علاقات </w:t>
      </w:r>
      <w:r w:rsidR="004573C6">
        <w:rPr>
          <w:rFonts w:ascii="Arial" w:hAnsi="Arial" w:cs="Arial" w:hint="cs"/>
          <w:sz w:val="28"/>
          <w:szCs w:val="28"/>
          <w:rtl/>
        </w:rPr>
        <w:t>الجهات الرئيسية</w:t>
      </w:r>
      <w:r w:rsidR="001A3BF7" w:rsidRPr="0023304F">
        <w:rPr>
          <w:rFonts w:ascii="Arial" w:hAnsi="Arial" w:cs="Arial"/>
          <w:sz w:val="28"/>
          <w:szCs w:val="28"/>
          <w:rtl/>
        </w:rPr>
        <w:t xml:space="preserve"> بالمنظمة المعنية </w:t>
      </w:r>
      <w:r w:rsidR="004573C6">
        <w:rPr>
          <w:rFonts w:ascii="Arial" w:hAnsi="Arial" w:cs="Arial" w:hint="cs"/>
          <w:sz w:val="28"/>
          <w:szCs w:val="28"/>
          <w:rtl/>
        </w:rPr>
        <w:t>والجهات الرئيسية الأخرى</w:t>
      </w:r>
      <w:r w:rsidR="004573C6">
        <w:rPr>
          <w:rFonts w:ascii="Arial" w:hAnsi="Arial" w:cs="Arial"/>
          <w:sz w:val="28"/>
          <w:szCs w:val="28"/>
          <w:rtl/>
        </w:rPr>
        <w:t xml:space="preserve">، </w:t>
      </w:r>
      <w:r w:rsidR="004573C6">
        <w:rPr>
          <w:rFonts w:ascii="Arial" w:hAnsi="Arial" w:cs="Arial" w:hint="cs"/>
          <w:sz w:val="28"/>
          <w:szCs w:val="28"/>
          <w:rtl/>
        </w:rPr>
        <w:t>و</w:t>
      </w:r>
      <w:r w:rsidR="004573C6">
        <w:rPr>
          <w:rFonts w:ascii="Arial" w:hAnsi="Arial" w:cs="Arial"/>
          <w:sz w:val="28"/>
          <w:szCs w:val="28"/>
          <w:rtl/>
        </w:rPr>
        <w:t>مصالح</w:t>
      </w:r>
      <w:r w:rsidR="004573C6">
        <w:rPr>
          <w:rFonts w:ascii="Arial" w:hAnsi="Arial" w:cs="Arial" w:hint="cs"/>
          <w:sz w:val="28"/>
          <w:szCs w:val="28"/>
          <w:rtl/>
        </w:rPr>
        <w:t>ها</w:t>
      </w:r>
      <w:r w:rsidR="004573C6">
        <w:rPr>
          <w:rFonts w:ascii="Arial" w:hAnsi="Arial" w:cs="Arial"/>
          <w:sz w:val="28"/>
          <w:szCs w:val="28"/>
          <w:rtl/>
        </w:rPr>
        <w:t xml:space="preserve"> ا</w:t>
      </w:r>
      <w:r w:rsidR="004573C6">
        <w:rPr>
          <w:rFonts w:ascii="Arial" w:hAnsi="Arial" w:cs="Arial" w:hint="cs"/>
          <w:sz w:val="28"/>
          <w:szCs w:val="28"/>
          <w:rtl/>
        </w:rPr>
        <w:t>لأساسية</w:t>
      </w:r>
      <w:r w:rsidR="004573C6">
        <w:rPr>
          <w:rFonts w:ascii="Arial" w:hAnsi="Arial" w:cs="Arial"/>
          <w:sz w:val="28"/>
          <w:szCs w:val="28"/>
          <w:rtl/>
        </w:rPr>
        <w:t>، واحتمالية مساهمته</w:t>
      </w:r>
      <w:r w:rsidR="004573C6">
        <w:rPr>
          <w:rFonts w:ascii="Arial" w:hAnsi="Arial" w:cs="Arial" w:hint="cs"/>
          <w:sz w:val="28"/>
          <w:szCs w:val="28"/>
          <w:rtl/>
        </w:rPr>
        <w:t>ا</w:t>
      </w:r>
      <w:r w:rsidR="0023304F">
        <w:rPr>
          <w:rFonts w:ascii="Arial" w:hAnsi="Arial" w:cs="Arial" w:hint="cs"/>
          <w:sz w:val="28"/>
          <w:szCs w:val="28"/>
          <w:rtl/>
        </w:rPr>
        <w:t xml:space="preserve"> في عملية الاستجابة</w:t>
      </w:r>
      <w:r w:rsidR="001A3BF7" w:rsidRPr="0023304F">
        <w:rPr>
          <w:rFonts w:ascii="Arial" w:hAnsi="Arial" w:cs="Arial"/>
          <w:sz w:val="28"/>
          <w:szCs w:val="28"/>
          <w:rtl/>
        </w:rPr>
        <w:t xml:space="preserve">. وتؤدي هذه المعلومات دوراً بارزاً عند </w:t>
      </w:r>
      <w:r w:rsidR="0023304F">
        <w:rPr>
          <w:rFonts w:ascii="Arial" w:hAnsi="Arial" w:cs="Arial"/>
          <w:sz w:val="28"/>
          <w:szCs w:val="28"/>
          <w:rtl/>
        </w:rPr>
        <w:t>تقييم الظروف النقدية والتخطيط ل</w:t>
      </w:r>
      <w:r w:rsidR="004573C6">
        <w:rPr>
          <w:rFonts w:ascii="Arial" w:hAnsi="Arial" w:cs="Arial" w:hint="cs"/>
          <w:sz w:val="28"/>
          <w:szCs w:val="28"/>
          <w:rtl/>
        </w:rPr>
        <w:t>لا</w:t>
      </w:r>
      <w:r w:rsidR="0023304F">
        <w:rPr>
          <w:rFonts w:ascii="Arial" w:hAnsi="Arial" w:cs="Arial" w:hint="cs"/>
          <w:sz w:val="28"/>
          <w:szCs w:val="28"/>
          <w:rtl/>
        </w:rPr>
        <w:t>ستجابة</w:t>
      </w:r>
      <w:r w:rsidR="001A3BF7" w:rsidRPr="0023304F">
        <w:rPr>
          <w:rFonts w:ascii="Arial" w:hAnsi="Arial" w:cs="Arial"/>
          <w:sz w:val="28"/>
          <w:szCs w:val="28"/>
          <w:rtl/>
        </w:rPr>
        <w:t xml:space="preserve">. ويجوز تعديل الجدول ليتناسب مع السياق المطروح. </w:t>
      </w:r>
    </w:p>
    <w:tbl>
      <w:tblPr>
        <w:tblStyle w:val="TableGrid"/>
        <w:bidiVisual/>
        <w:tblW w:w="9670" w:type="dxa"/>
        <w:jc w:val="center"/>
        <w:tblLook w:val="04A0"/>
      </w:tblPr>
      <w:tblGrid>
        <w:gridCol w:w="2507"/>
        <w:gridCol w:w="2545"/>
        <w:gridCol w:w="2309"/>
        <w:gridCol w:w="2309"/>
      </w:tblGrid>
      <w:tr w:rsidR="00504E98" w:rsidRPr="0023304F" w:rsidTr="00EF2EDF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04E98" w:rsidRPr="0023304F" w:rsidRDefault="00504E98" w:rsidP="00091A2D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330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أصحاب المصالح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04E98" w:rsidRPr="0023304F" w:rsidRDefault="00504E98" w:rsidP="00091A2D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330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العلاقات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04E98" w:rsidRPr="0023304F" w:rsidRDefault="00504E98" w:rsidP="00091A2D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330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المصالح الرئيسية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04E98" w:rsidRPr="0023304F" w:rsidRDefault="00504E98" w:rsidP="00091A2D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3304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احتمالية التدخل/المساهمة</w:t>
            </w:r>
          </w:p>
        </w:tc>
      </w:tr>
      <w:tr w:rsidR="00504E98" w:rsidRPr="0023304F" w:rsidTr="00EF2EDF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:rsidR="00504E98" w:rsidRPr="0023304F" w:rsidRDefault="00504E98" w:rsidP="00091A2D">
            <w:pPr>
              <w:bidi/>
              <w:spacing w:before="60" w:after="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 xml:space="preserve">الوزارات، المجتمعات الوطنية المضيفة، الاتحاد الدولي لجمعيات الصليب الأحمر والهلال الحمر، اللجنة الدولية للصليب الأحمر، المجتمعات الوطنية المشاركة، منظمات المجتمع المحلي ومنظمات المجتمع المدني، ممثلي الشعوب والمجتمعات المتضررة.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E6E6E6"/>
          </w:tcPr>
          <w:p w:rsidR="001E575B" w:rsidRPr="0023304F" w:rsidRDefault="009449F8" w:rsidP="004573C6">
            <w:pPr>
              <w:bidi/>
              <w:spacing w:before="60" w:after="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 xml:space="preserve">العلاقة القائمة مع المنظمة المعنية وسائر </w:t>
            </w:r>
            <w:r w:rsidR="004573C6">
              <w:rPr>
                <w:rFonts w:ascii="Arial" w:hAnsi="Arial" w:cs="Arial" w:hint="cs"/>
                <w:i/>
                <w:sz w:val="28"/>
                <w:szCs w:val="28"/>
                <w:rtl/>
              </w:rPr>
              <w:t>الجهات المعنية.</w:t>
            </w:r>
          </w:p>
        </w:tc>
        <w:tc>
          <w:tcPr>
            <w:tcW w:w="2309" w:type="dxa"/>
            <w:shd w:val="clear" w:color="auto" w:fill="E6E6E6"/>
          </w:tcPr>
          <w:p w:rsidR="00504E98" w:rsidRPr="0023304F" w:rsidRDefault="00696FC8" w:rsidP="00091A2D">
            <w:pPr>
              <w:bidi/>
              <w:spacing w:before="60" w:after="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 xml:space="preserve">التوقعات، </w:t>
            </w:r>
            <w:r w:rsidR="0023304F">
              <w:rPr>
                <w:rFonts w:ascii="Arial" w:hAnsi="Arial" w:cs="Arial" w:hint="cs"/>
                <w:i/>
                <w:sz w:val="28"/>
                <w:szCs w:val="28"/>
                <w:rtl/>
              </w:rPr>
              <w:t>و</w:t>
            </w: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>الفوائد</w:t>
            </w:r>
            <w:r w:rsidR="0023304F">
              <w:rPr>
                <w:rFonts w:ascii="Arial" w:hAnsi="Arial" w:cs="Arial" w:hint="cs"/>
                <w:i/>
                <w:sz w:val="28"/>
                <w:szCs w:val="28"/>
                <w:rtl/>
              </w:rPr>
              <w:t>،</w:t>
            </w: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 xml:space="preserve"> والصراعات المحتملة (السلطة، المكانة، الموارد الاقتصادية، إلخ). </w:t>
            </w:r>
          </w:p>
        </w:tc>
        <w:tc>
          <w:tcPr>
            <w:tcW w:w="2309" w:type="dxa"/>
            <w:shd w:val="clear" w:color="auto" w:fill="E6E6E6"/>
          </w:tcPr>
          <w:p w:rsidR="00EF2EDF" w:rsidRPr="0023304F" w:rsidRDefault="00EF2EDF" w:rsidP="00091A2D">
            <w:pPr>
              <w:bidi/>
              <w:spacing w:before="60" w:after="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>المعلومات، الموارد الاقتصادية، القيا</w:t>
            </w:r>
            <w:r w:rsidR="00303D36" w:rsidRPr="0023304F">
              <w:rPr>
                <w:rFonts w:ascii="Arial" w:hAnsi="Arial" w:cs="Arial"/>
                <w:i/>
                <w:sz w:val="28"/>
                <w:szCs w:val="28"/>
                <w:rtl/>
              </w:rPr>
              <w:t>دة، الشرعية، تقديم الخدمات، إلخ</w:t>
            </w:r>
            <w:r w:rsidRPr="0023304F">
              <w:rPr>
                <w:rFonts w:ascii="Arial" w:hAnsi="Arial" w:cs="Arial"/>
                <w:i/>
                <w:sz w:val="28"/>
                <w:szCs w:val="28"/>
                <w:rtl/>
              </w:rPr>
              <w:t>.</w:t>
            </w:r>
          </w:p>
        </w:tc>
      </w:tr>
      <w:tr w:rsidR="00504E98" w:rsidRPr="0023304F" w:rsidTr="00EF2EDF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4E98" w:rsidRPr="0023304F" w:rsidTr="00EF2EDF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E98" w:rsidRPr="0023304F" w:rsidTr="00EF2EDF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E98" w:rsidRPr="0023304F" w:rsidTr="00EF2EDF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3F3F3"/>
          </w:tcPr>
          <w:p w:rsidR="00504E98" w:rsidRPr="0023304F" w:rsidRDefault="00504E98" w:rsidP="00091A2D">
            <w:pPr>
              <w:bidi/>
              <w:spacing w:before="360" w:after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4E98" w:rsidRPr="0023304F" w:rsidRDefault="00504E98" w:rsidP="00091A2D">
      <w:pPr>
        <w:bidi/>
        <w:jc w:val="both"/>
        <w:rPr>
          <w:rFonts w:ascii="Arial" w:hAnsi="Arial" w:cs="Arial"/>
          <w:sz w:val="28"/>
          <w:szCs w:val="28"/>
        </w:rPr>
      </w:pPr>
    </w:p>
    <w:sectPr w:rsidR="00504E98" w:rsidRPr="0023304F" w:rsidSect="00A0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5B9"/>
    <w:rsid w:val="00091A2D"/>
    <w:rsid w:val="001A126C"/>
    <w:rsid w:val="001A3BF7"/>
    <w:rsid w:val="001E575B"/>
    <w:rsid w:val="0023304F"/>
    <w:rsid w:val="00303D36"/>
    <w:rsid w:val="004573C6"/>
    <w:rsid w:val="00504E98"/>
    <w:rsid w:val="00696FC8"/>
    <w:rsid w:val="007736FD"/>
    <w:rsid w:val="008565B9"/>
    <w:rsid w:val="009449F8"/>
    <w:rsid w:val="00A05540"/>
    <w:rsid w:val="00B77AA7"/>
    <w:rsid w:val="00D060FE"/>
    <w:rsid w:val="00E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98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42F5-D612-4786-89AC-E41D8CD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13</cp:revision>
  <dcterms:created xsi:type="dcterms:W3CDTF">2015-12-05T12:27:00Z</dcterms:created>
  <dcterms:modified xsi:type="dcterms:W3CDTF">2015-12-09T09:01:00Z</dcterms:modified>
</cp:coreProperties>
</file>