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768" w:rsidRPr="00A55E0C" w:rsidRDefault="00CD4768" w:rsidP="00A55E0C">
      <w:pPr>
        <w:pStyle w:val="H1"/>
        <w:bidi/>
        <w:rPr>
          <w:rFonts w:cs="Arial"/>
          <w:sz w:val="28"/>
          <w:szCs w:val="28"/>
          <w:rtl/>
        </w:rPr>
      </w:pPr>
      <w:r w:rsidRPr="00A55E0C">
        <w:rPr>
          <w:rFonts w:cs="Arial"/>
          <w:noProof/>
          <w:sz w:val="28"/>
          <w:szCs w:val="28"/>
          <w:lang w:val="en-GB" w:eastAsia="en-GB"/>
        </w:rPr>
        <w:drawing>
          <wp:anchor distT="0" distB="0" distL="114300" distR="114300" simplePos="0" relativeHeight="251661312" behindDoc="0" locked="0" layoutInCell="1" allowOverlap="1">
            <wp:simplePos x="0" y="0"/>
            <wp:positionH relativeFrom="column">
              <wp:posOffset>1956435</wp:posOffset>
            </wp:positionH>
            <wp:positionV relativeFrom="paragraph">
              <wp:posOffset>-196215</wp:posOffset>
            </wp:positionV>
            <wp:extent cx="2466975" cy="47625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_logo_AR-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2530" cy="474980"/>
                    </a:xfrm>
                    <a:prstGeom prst="rect">
                      <a:avLst/>
                    </a:prstGeom>
                  </pic:spPr>
                </pic:pic>
              </a:graphicData>
            </a:graphic>
          </wp:anchor>
        </w:drawing>
      </w:r>
      <w:r w:rsidRPr="00A55E0C">
        <w:rPr>
          <w:rFonts w:cs="Arial"/>
          <w:noProof/>
          <w:sz w:val="28"/>
          <w:szCs w:val="28"/>
          <w:lang w:val="en-GB" w:eastAsia="en-GB"/>
        </w:rPr>
        <w:drawing>
          <wp:anchor distT="0" distB="0" distL="114300" distR="114300" simplePos="0" relativeHeight="251659264" behindDoc="0" locked="0" layoutInCell="1" allowOverlap="1">
            <wp:simplePos x="0" y="0"/>
            <wp:positionH relativeFrom="column">
              <wp:posOffset>5213985</wp:posOffset>
            </wp:positionH>
            <wp:positionV relativeFrom="paragraph">
              <wp:posOffset>-577215</wp:posOffset>
            </wp:positionV>
            <wp:extent cx="981075" cy="952500"/>
            <wp:effectExtent l="19050" t="0" r="9525" b="0"/>
            <wp:wrapNone/>
            <wp:docPr id="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52500"/>
                    </a:xfrm>
                    <a:prstGeom prst="rect">
                      <a:avLst/>
                    </a:prstGeom>
                  </pic:spPr>
                </pic:pic>
              </a:graphicData>
            </a:graphic>
          </wp:anchor>
        </w:drawing>
      </w:r>
    </w:p>
    <w:p w:rsidR="00CD4768" w:rsidRPr="00A55E0C" w:rsidRDefault="00CD4768" w:rsidP="00A55E0C">
      <w:pPr>
        <w:pStyle w:val="H1"/>
        <w:bidi/>
        <w:rPr>
          <w:rFonts w:cs="Arial"/>
          <w:sz w:val="28"/>
          <w:szCs w:val="28"/>
          <w:rtl/>
        </w:rPr>
      </w:pPr>
      <w:r w:rsidRPr="00A55E0C">
        <w:rPr>
          <w:rFonts w:cs="Arial"/>
          <w:color w:val="DC281E"/>
          <w:sz w:val="28"/>
          <w:szCs w:val="28"/>
          <w:rtl/>
        </w:rPr>
        <w:t>مجموعة الأدوات المرتبطة بالتحويلات النقدية في حالات الطوارئ</w:t>
      </w:r>
    </w:p>
    <w:p w:rsidR="00CD4768" w:rsidRPr="00D1378C" w:rsidRDefault="00CD4768" w:rsidP="00D1378C">
      <w:pPr>
        <w:pStyle w:val="H1"/>
        <w:bidi/>
        <w:jc w:val="center"/>
        <w:rPr>
          <w:rFonts w:cs="Arial"/>
          <w:b w:val="0"/>
          <w:bCs/>
          <w:sz w:val="28"/>
          <w:szCs w:val="28"/>
        </w:rPr>
      </w:pPr>
      <w:r w:rsidRPr="00D1378C">
        <w:rPr>
          <w:rFonts w:cs="Arial"/>
          <w:b w:val="0"/>
          <w:bCs/>
          <w:sz w:val="28"/>
          <w:szCs w:val="28"/>
          <w:rtl/>
        </w:rPr>
        <w:t>خارطة الطريق تقييم الشؤون النقدية على مستوى المجتمع</w:t>
      </w:r>
    </w:p>
    <w:p w:rsidR="002B4DCC" w:rsidRPr="00A55E0C" w:rsidRDefault="001C2376" w:rsidP="00A55E0C">
      <w:pPr>
        <w:pStyle w:val="H1"/>
        <w:bidi/>
        <w:ind w:left="-170"/>
        <w:rPr>
          <w:rFonts w:cs="Arial"/>
          <w:sz w:val="28"/>
          <w:szCs w:val="28"/>
        </w:rPr>
      </w:pPr>
      <w:r>
        <w:rPr>
          <w:rFonts w:cs="Arial"/>
          <w:sz w:val="28"/>
          <w:szCs w:val="28"/>
        </w:rPr>
        <w:pict w14:anchorId="37A04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249.75pt">
            <v:imagedata r:id="rId9" o:title="02-Assessment-rodmap-EN2"/>
          </v:shape>
        </w:pict>
      </w:r>
    </w:p>
    <w:p w:rsidR="00E66A9A" w:rsidRPr="00A55E0C" w:rsidRDefault="002B483A" w:rsidP="00A55E0C">
      <w:pPr>
        <w:pStyle w:val="Heading2"/>
        <w:bidi/>
        <w:rPr>
          <w:rFonts w:cs="Arial"/>
          <w:b w:val="0"/>
          <w:bCs/>
          <w:sz w:val="28"/>
          <w:szCs w:val="28"/>
          <w:rtl/>
        </w:rPr>
      </w:pPr>
      <w:r w:rsidRPr="00A55E0C">
        <w:rPr>
          <w:rFonts w:cs="Arial"/>
          <w:b w:val="0"/>
          <w:bCs/>
          <w:sz w:val="28"/>
          <w:szCs w:val="28"/>
          <w:rtl/>
        </w:rPr>
        <w:t>المقدمة</w:t>
      </w:r>
    </w:p>
    <w:p w:rsidR="002B483A" w:rsidRPr="00A55E0C" w:rsidRDefault="002B483A" w:rsidP="00A55E0C">
      <w:pPr>
        <w:bidi/>
        <w:jc w:val="left"/>
        <w:rPr>
          <w:rFonts w:cs="Arial"/>
          <w:sz w:val="28"/>
          <w:szCs w:val="28"/>
          <w:rtl/>
        </w:rPr>
      </w:pPr>
      <w:r w:rsidRPr="00A55E0C">
        <w:rPr>
          <w:rFonts w:cs="Arial"/>
          <w:sz w:val="28"/>
          <w:szCs w:val="28"/>
          <w:rtl/>
        </w:rPr>
        <w:t>لكي تدرج التحويلات النقدية من بين وسائل الاستجابة المتاحة، لا بد من أن يشمل التقييم الشؤؤون النقدية. في هذا السياق تساعد خارطة الطريق هذه على جمع البيانات الخاصة بالشؤون النقدية في خلال التقييم على مستوى المجتمع المحلي.</w:t>
      </w:r>
    </w:p>
    <w:p w:rsidR="002B483A" w:rsidRPr="00A55E0C" w:rsidRDefault="002B483A" w:rsidP="00A55E0C">
      <w:pPr>
        <w:bidi/>
        <w:jc w:val="left"/>
        <w:rPr>
          <w:rFonts w:cs="Arial"/>
          <w:sz w:val="28"/>
          <w:szCs w:val="28"/>
          <w:rtl/>
        </w:rPr>
      </w:pPr>
      <w:r w:rsidRPr="00A55E0C">
        <w:rPr>
          <w:rFonts w:cs="Arial"/>
          <w:sz w:val="28"/>
          <w:szCs w:val="28"/>
          <w:rtl/>
        </w:rPr>
        <w:t xml:space="preserve">ويقسم التقييم على مستوى المجتمع إلى اربع خطوات فرعية غير متسلسلة، ترفق كل منها بمجموعة من الأدوات تسمح بجمع معلومات حول الشؤون النقدية من المجتمعات والأسر المتضررة جراء الصدمة. وقد وضعت هذه الخطوات الفرعية والأدوات على أساس الافتراض القائل بأن غالبية نهج التقييم والأدوات لا تسمح بالحصول على معلومات حول الشؤون النقدية. </w:t>
      </w:r>
      <w:r w:rsidR="001D00A3" w:rsidRPr="00A55E0C">
        <w:rPr>
          <w:rFonts w:cs="Arial"/>
          <w:sz w:val="28"/>
          <w:szCs w:val="28"/>
          <w:rtl/>
        </w:rPr>
        <w:t>وهي تقدم مجموعة من المواضيع والأسئلة  تتمحور حول الشؤون النقدية، على أن تدمج في التقييم الطارئ على مستوى المجتمع والأسر. ويمكن اختيار أداة واحدة أم أكثر بحسب وقت وعمق التحليل.</w:t>
      </w:r>
    </w:p>
    <w:p w:rsidR="001D00A3" w:rsidRPr="00A55E0C" w:rsidRDefault="001D00A3" w:rsidP="00A55E0C">
      <w:pPr>
        <w:bidi/>
        <w:jc w:val="left"/>
        <w:rPr>
          <w:rFonts w:cs="Arial"/>
          <w:sz w:val="28"/>
          <w:szCs w:val="28"/>
          <w:rtl/>
        </w:rPr>
      </w:pPr>
      <w:r w:rsidRPr="00A55E0C">
        <w:rPr>
          <w:rFonts w:cs="Arial"/>
          <w:sz w:val="28"/>
          <w:szCs w:val="28"/>
          <w:rtl/>
        </w:rPr>
        <w:t xml:space="preserve">وتسمح الخطوة الفرعية الأولى بجمع المعلومات حول امكانية وصول المجتمعات والأسر إلى التحويلات النقدية، واستخدامها لها، وتفضيلاتها في هذا الشأن. وتمكّن الخطوة الفرعية الثانية من جمع المزيد من المعلومات الدقيقة حول وصول أفراد المجتمع إلى الأسواق والسلع الرئيسية والخدمات المالية. </w:t>
      </w:r>
      <w:r w:rsidR="007743BF" w:rsidRPr="00A55E0C">
        <w:rPr>
          <w:rFonts w:cs="Arial"/>
          <w:sz w:val="28"/>
          <w:szCs w:val="28"/>
          <w:rtl/>
        </w:rPr>
        <w:t>وبدورها، تسمح الخطوة الفرعية الثالثة بتحديد الحاجات الرئيسية للسكان المتضررين من الصدمة. أما الخطوة الفرعية الرابعة والأخيرة فتسمح بتنظيم المعلومات النقدية التي جمعت على مستوى المجتمع والأسر من أجل تحسين دمجها في تقرير التقييم العام.</w:t>
      </w:r>
    </w:p>
    <w:p w:rsidR="00173D58" w:rsidRPr="00A55E0C" w:rsidRDefault="00173D58" w:rsidP="00A55E0C">
      <w:pPr>
        <w:bidi/>
        <w:jc w:val="left"/>
        <w:rPr>
          <w:rFonts w:cs="Arial"/>
          <w:sz w:val="28"/>
          <w:szCs w:val="28"/>
          <w:rtl/>
        </w:rPr>
      </w:pPr>
      <w:r w:rsidRPr="00A55E0C">
        <w:rPr>
          <w:rFonts w:cs="Arial"/>
          <w:sz w:val="28"/>
          <w:szCs w:val="28"/>
          <w:rtl/>
        </w:rPr>
        <w:t>ويمكن الحصول على المزيد من الموارد المفيدة لدمج الشؤون النقدية في التقييم من خلال الوثائق المرجعية أدناه.</w:t>
      </w:r>
      <w:bookmarkStart w:id="0" w:name="_GoBack"/>
      <w:bookmarkEnd w:id="0"/>
    </w:p>
    <w:p w:rsidR="00E66A9A" w:rsidRPr="00A55E0C" w:rsidRDefault="00E66A9A" w:rsidP="00A55E0C">
      <w:pPr>
        <w:pStyle w:val="Heading2"/>
        <w:bidi/>
        <w:rPr>
          <w:rFonts w:cs="Arial"/>
          <w:sz w:val="28"/>
          <w:szCs w:val="28"/>
          <w:rtl/>
        </w:rPr>
      </w:pPr>
    </w:p>
    <w:p w:rsidR="0044445D" w:rsidRPr="00A573CC" w:rsidRDefault="0044445D" w:rsidP="00A55E0C">
      <w:pPr>
        <w:bidi/>
        <w:jc w:val="left"/>
        <w:rPr>
          <w:rFonts w:cs="Arial"/>
          <w:b/>
          <w:bCs/>
          <w:sz w:val="28"/>
          <w:szCs w:val="28"/>
          <w:rtl/>
        </w:rPr>
      </w:pPr>
      <w:r w:rsidRPr="00A573CC">
        <w:rPr>
          <w:rFonts w:cs="Arial"/>
          <w:b/>
          <w:bCs/>
          <w:sz w:val="28"/>
          <w:szCs w:val="28"/>
          <w:rtl/>
        </w:rPr>
        <w:t>المعايير الدنيا</w:t>
      </w:r>
    </w:p>
    <w:p w:rsidR="0044445D" w:rsidRPr="00A55E0C" w:rsidRDefault="00ED1F6E" w:rsidP="00A55E0C">
      <w:pPr>
        <w:pStyle w:val="ListParagraph"/>
        <w:numPr>
          <w:ilvl w:val="0"/>
          <w:numId w:val="50"/>
        </w:numPr>
        <w:bidi/>
        <w:jc w:val="left"/>
        <w:rPr>
          <w:rFonts w:cs="Arial"/>
          <w:sz w:val="28"/>
          <w:szCs w:val="28"/>
        </w:rPr>
      </w:pPr>
      <w:r w:rsidRPr="00A55E0C">
        <w:rPr>
          <w:rFonts w:cs="Arial"/>
          <w:sz w:val="28"/>
          <w:szCs w:val="28"/>
          <w:rtl/>
        </w:rPr>
        <w:t>تجمع المعلومات حول وصول أفراد المجتمع والأسر إلى النقود واستخدامهم لها وتفضيلاتهم في ما يتعلق بنوع المساعدة، في مرحلة التقييم.</w:t>
      </w:r>
    </w:p>
    <w:p w:rsidR="00ED1F6E" w:rsidRPr="00A55E0C" w:rsidRDefault="00110F37" w:rsidP="00A55E0C">
      <w:pPr>
        <w:pStyle w:val="ListParagraph"/>
        <w:numPr>
          <w:ilvl w:val="0"/>
          <w:numId w:val="50"/>
        </w:numPr>
        <w:bidi/>
        <w:jc w:val="left"/>
        <w:rPr>
          <w:rFonts w:cs="Arial"/>
          <w:sz w:val="28"/>
          <w:szCs w:val="28"/>
        </w:rPr>
      </w:pPr>
      <w:r w:rsidRPr="00A55E0C">
        <w:rPr>
          <w:rFonts w:cs="Arial"/>
          <w:sz w:val="28"/>
          <w:szCs w:val="28"/>
          <w:rtl/>
        </w:rPr>
        <w:t>تجمع المعلومات حول وصول أفراد المجتمع والسر غلى الأسواق والخدمات المالية في أولى مراحل التقييم على مستوى المجتمع والأسر.</w:t>
      </w:r>
    </w:p>
    <w:p w:rsidR="00110F37" w:rsidRPr="00A55E0C" w:rsidRDefault="00D904E2" w:rsidP="00A55E0C">
      <w:pPr>
        <w:pStyle w:val="ListParagraph"/>
        <w:numPr>
          <w:ilvl w:val="0"/>
          <w:numId w:val="50"/>
        </w:numPr>
        <w:bidi/>
        <w:jc w:val="left"/>
        <w:rPr>
          <w:rFonts w:cs="Arial"/>
          <w:sz w:val="28"/>
          <w:szCs w:val="28"/>
        </w:rPr>
      </w:pPr>
      <w:r w:rsidRPr="00A55E0C">
        <w:rPr>
          <w:rFonts w:cs="Arial"/>
          <w:sz w:val="28"/>
          <w:szCs w:val="28"/>
          <w:rtl/>
        </w:rPr>
        <w:t xml:space="preserve">تحدد أولويات السكان المتضررين من الصدمة بحسب قيمتها النقدية وبالاستناد إلى الأسعار المحلية. </w:t>
      </w:r>
    </w:p>
    <w:p w:rsidR="00D904E2" w:rsidRPr="00A55E0C" w:rsidRDefault="008F6CC6" w:rsidP="00A55E0C">
      <w:pPr>
        <w:pStyle w:val="ListParagraph"/>
        <w:numPr>
          <w:ilvl w:val="0"/>
          <w:numId w:val="50"/>
        </w:numPr>
        <w:bidi/>
        <w:jc w:val="left"/>
        <w:rPr>
          <w:rFonts w:cs="Arial"/>
          <w:sz w:val="28"/>
          <w:szCs w:val="28"/>
        </w:rPr>
      </w:pPr>
      <w:r w:rsidRPr="00A55E0C">
        <w:rPr>
          <w:rFonts w:cs="Arial"/>
          <w:sz w:val="28"/>
          <w:szCs w:val="28"/>
          <w:rtl/>
        </w:rPr>
        <w:t xml:space="preserve">تدمج </w:t>
      </w:r>
      <w:r w:rsidR="00863929" w:rsidRPr="00A55E0C">
        <w:rPr>
          <w:rFonts w:cs="Arial"/>
          <w:sz w:val="28"/>
          <w:szCs w:val="28"/>
          <w:rtl/>
        </w:rPr>
        <w:t>المعلومات حول الشؤون النقدية التي جمعت على مستوى المجتمع والأسر في تقرير ال</w:t>
      </w:r>
      <w:r w:rsidR="00CF1FCB" w:rsidRPr="00A55E0C">
        <w:rPr>
          <w:rFonts w:cs="Arial"/>
          <w:sz w:val="28"/>
          <w:szCs w:val="28"/>
          <w:rtl/>
        </w:rPr>
        <w:t>ت</w:t>
      </w:r>
      <w:r w:rsidR="00863929" w:rsidRPr="00A55E0C">
        <w:rPr>
          <w:rFonts w:cs="Arial"/>
          <w:sz w:val="28"/>
          <w:szCs w:val="28"/>
          <w:rtl/>
        </w:rPr>
        <w:t xml:space="preserve">قييم المعياري. </w:t>
      </w:r>
    </w:p>
    <w:p w:rsidR="00A22FB8" w:rsidRPr="00A55E0C" w:rsidRDefault="00A22FB8" w:rsidP="00A55E0C">
      <w:pPr>
        <w:pStyle w:val="Heading2"/>
        <w:bidi/>
        <w:rPr>
          <w:rFonts w:cs="Arial"/>
          <w:sz w:val="28"/>
          <w:szCs w:val="28"/>
          <w:rtl/>
        </w:rPr>
      </w:pPr>
    </w:p>
    <w:p w:rsidR="00CE3280" w:rsidRPr="00A55E0C" w:rsidRDefault="00CE3280" w:rsidP="00A55E0C">
      <w:pPr>
        <w:bidi/>
        <w:jc w:val="left"/>
        <w:rPr>
          <w:rFonts w:cs="Arial"/>
          <w:b/>
          <w:bCs/>
          <w:sz w:val="28"/>
          <w:szCs w:val="28"/>
          <w:rtl/>
        </w:rPr>
      </w:pPr>
      <w:r w:rsidRPr="00A55E0C">
        <w:rPr>
          <w:rFonts w:cs="Arial"/>
          <w:b/>
          <w:bCs/>
          <w:sz w:val="28"/>
          <w:szCs w:val="28"/>
          <w:rtl/>
        </w:rPr>
        <w:t xml:space="preserve">الخطوات </w:t>
      </w:r>
      <w:r w:rsidR="00C119BC" w:rsidRPr="00A55E0C">
        <w:rPr>
          <w:rFonts w:cs="Arial"/>
          <w:b/>
          <w:bCs/>
          <w:sz w:val="28"/>
          <w:szCs w:val="28"/>
          <w:rtl/>
        </w:rPr>
        <w:t>الفرعية والأ</w:t>
      </w:r>
      <w:r w:rsidRPr="00A55E0C">
        <w:rPr>
          <w:rFonts w:cs="Arial"/>
          <w:b/>
          <w:bCs/>
          <w:sz w:val="28"/>
          <w:szCs w:val="28"/>
          <w:rtl/>
        </w:rPr>
        <w:t>دوات</w:t>
      </w:r>
    </w:p>
    <w:p w:rsidR="00CE3280" w:rsidRPr="00A55E0C" w:rsidRDefault="00CE3280" w:rsidP="00A55E0C">
      <w:pPr>
        <w:bidi/>
        <w:jc w:val="left"/>
        <w:rPr>
          <w:rFonts w:cs="Arial"/>
          <w:b/>
          <w:bCs/>
          <w:sz w:val="28"/>
          <w:szCs w:val="28"/>
          <w:rtl/>
        </w:rPr>
      </w:pPr>
      <w:r w:rsidRPr="00A55E0C">
        <w:rPr>
          <w:rFonts w:cs="Arial"/>
          <w:b/>
          <w:bCs/>
          <w:sz w:val="28"/>
          <w:szCs w:val="28"/>
          <w:rtl/>
        </w:rPr>
        <w:t>الحصول على معلومات حول الشؤون النقدية من المجتمع</w:t>
      </w:r>
    </w:p>
    <w:p w:rsidR="00CE3280" w:rsidRPr="00A55E0C" w:rsidRDefault="00CE3280" w:rsidP="00A55E0C">
      <w:pPr>
        <w:bidi/>
        <w:jc w:val="left"/>
        <w:rPr>
          <w:rFonts w:cs="Arial"/>
          <w:sz w:val="28"/>
          <w:szCs w:val="28"/>
          <w:rtl/>
        </w:rPr>
      </w:pPr>
      <w:r w:rsidRPr="00A55E0C">
        <w:rPr>
          <w:rFonts w:cs="Arial"/>
          <w:sz w:val="28"/>
          <w:szCs w:val="28"/>
          <w:rtl/>
        </w:rPr>
        <w:t>يسمح تقييم الطوارئ بفهم تداعيات الصد</w:t>
      </w:r>
      <w:r w:rsidR="00C208A2" w:rsidRPr="00A55E0C">
        <w:rPr>
          <w:rFonts w:cs="Arial"/>
          <w:sz w:val="28"/>
          <w:szCs w:val="28"/>
          <w:rtl/>
        </w:rPr>
        <w:t xml:space="preserve">مة على السكان المتضررين وقدرتهم على تلبية حاجاتهم الرئيسية والوصول إلى السواق والخدمات الأساسية (بما في ذلك، الهواتف المحمولة والخدمات المالية). </w:t>
      </w:r>
      <w:r w:rsidR="000908EF" w:rsidRPr="00A55E0C">
        <w:rPr>
          <w:rFonts w:cs="Arial"/>
          <w:sz w:val="28"/>
          <w:szCs w:val="28"/>
          <w:rtl/>
        </w:rPr>
        <w:t>وبدوره يسمح فهم هذه التداعيات باتخاذ القرارات المناسبة المتعلقة بقابلية تنفيذ التحويلات النقدية وبتحديد منافعها على المدى القصير وفي مرحلة الاستجابة. وقد تختلف قابلية تنفيذ التحويلات النقدية بحسب الفئات السكانية لذلك يجب ربطها بخيار الاستجابة واستراتيجيات الاستهداف (الوحدة 3)</w:t>
      </w:r>
      <w:r w:rsidR="00062578" w:rsidRPr="00A55E0C">
        <w:rPr>
          <w:rFonts w:cs="Arial"/>
          <w:sz w:val="28"/>
          <w:szCs w:val="28"/>
          <w:rtl/>
        </w:rPr>
        <w:t>.</w:t>
      </w:r>
    </w:p>
    <w:p w:rsidR="00275BCD" w:rsidRPr="00A55E0C" w:rsidRDefault="00062578" w:rsidP="00A55E0C">
      <w:pPr>
        <w:bidi/>
        <w:jc w:val="left"/>
        <w:rPr>
          <w:rFonts w:cs="Arial"/>
          <w:sz w:val="28"/>
          <w:szCs w:val="28"/>
          <w:rtl/>
        </w:rPr>
      </w:pPr>
      <w:r w:rsidRPr="00A55E0C">
        <w:rPr>
          <w:rFonts w:cs="Arial"/>
          <w:sz w:val="28"/>
          <w:szCs w:val="28"/>
          <w:rtl/>
        </w:rPr>
        <w:t xml:space="preserve">تقدم أدوات الخطوات الفرعية مجموعة من الأسئلة </w:t>
      </w:r>
      <w:r w:rsidR="00F77D58" w:rsidRPr="00A55E0C">
        <w:rPr>
          <w:rFonts w:cs="Arial"/>
          <w:sz w:val="28"/>
          <w:szCs w:val="28"/>
          <w:rtl/>
        </w:rPr>
        <w:t>التي يجب أخذها في الاعتبار عند إ</w:t>
      </w:r>
      <w:r w:rsidRPr="00A55E0C">
        <w:rPr>
          <w:rFonts w:cs="Arial"/>
          <w:sz w:val="28"/>
          <w:szCs w:val="28"/>
          <w:rtl/>
        </w:rPr>
        <w:t xml:space="preserve">جراء مناقشات بين أعضاء فريق التنسيق ومقابلات مع مقدمي المعلومات الرئيسيين غلى مستوى المجتمع والأسر. </w:t>
      </w:r>
      <w:r w:rsidR="00F77D58" w:rsidRPr="00A55E0C">
        <w:rPr>
          <w:rFonts w:cs="Arial"/>
          <w:sz w:val="28"/>
          <w:szCs w:val="28"/>
          <w:rtl/>
        </w:rPr>
        <w:t xml:space="preserve">وتركز </w:t>
      </w:r>
      <w:r w:rsidR="00275BCD" w:rsidRPr="00A55E0C">
        <w:rPr>
          <w:rFonts w:cs="Arial"/>
          <w:sz w:val="28"/>
          <w:szCs w:val="28"/>
          <w:rtl/>
        </w:rPr>
        <w:t>الأداة الخاصة بالمجتمع</w:t>
      </w:r>
      <w:r w:rsidR="00F77D58" w:rsidRPr="00A55E0C">
        <w:rPr>
          <w:rFonts w:cs="Arial"/>
          <w:sz w:val="28"/>
          <w:szCs w:val="28"/>
          <w:rtl/>
        </w:rPr>
        <w:t xml:space="preserve"> على </w:t>
      </w:r>
      <w:r w:rsidR="001429A0" w:rsidRPr="00A55E0C">
        <w:rPr>
          <w:rFonts w:cs="Arial"/>
          <w:sz w:val="28"/>
          <w:szCs w:val="28"/>
          <w:rtl/>
        </w:rPr>
        <w:t>وصول أفراد المجتمع إلى التحويلات النقدية وعلى استخدامهم لها وتفضيلاتهم بالنسبة لنوع المساعدة</w:t>
      </w:r>
      <w:r w:rsidR="00275BCD" w:rsidRPr="00A55E0C">
        <w:rPr>
          <w:rFonts w:cs="Arial"/>
          <w:sz w:val="28"/>
          <w:szCs w:val="28"/>
          <w:rtl/>
        </w:rPr>
        <w:t xml:space="preserve">. أما </w:t>
      </w:r>
      <w:r w:rsidR="008F27EB" w:rsidRPr="00A55E0C">
        <w:rPr>
          <w:rFonts w:cs="Arial"/>
          <w:sz w:val="28"/>
          <w:szCs w:val="28"/>
          <w:rtl/>
        </w:rPr>
        <w:t>الأداة الخاصة بالأس</w:t>
      </w:r>
      <w:r w:rsidR="00275BCD" w:rsidRPr="00A55E0C">
        <w:rPr>
          <w:rFonts w:cs="Arial"/>
          <w:sz w:val="28"/>
          <w:szCs w:val="28"/>
          <w:rtl/>
        </w:rPr>
        <w:t xml:space="preserve">ر فتركز على امكانية وصول الأسر إلى التحويلات النقدية وسبل إدارتها لها، كما تركز على استخدامها للخدمات المالية  وامتلاكها للهواتف المحمولة، وخبرتها في مجال المساعدات النقدية، بالإضافة إلى تفضيلاتها من حيث نوع هذه المساعدات. </w:t>
      </w:r>
      <w:r w:rsidR="004D4752" w:rsidRPr="00A55E0C">
        <w:rPr>
          <w:rFonts w:cs="Arial"/>
          <w:sz w:val="28"/>
          <w:szCs w:val="28"/>
          <w:rtl/>
        </w:rPr>
        <w:t>ومن بين الأسئلة المقترحة، يمكن اختيار تلك التي تتناسب مع السياق المطروح، ودمجها في استبيان التقييم.</w:t>
      </w:r>
    </w:p>
    <w:p w:rsidR="00196246" w:rsidRPr="00A55E0C" w:rsidRDefault="00196246" w:rsidP="00A55E0C">
      <w:pPr>
        <w:bidi/>
        <w:jc w:val="left"/>
        <w:rPr>
          <w:rFonts w:cs="Arial"/>
          <w:b/>
          <w:bCs/>
          <w:sz w:val="28"/>
          <w:szCs w:val="28"/>
          <w:rtl/>
        </w:rPr>
      </w:pPr>
      <w:r w:rsidRPr="00A55E0C">
        <w:rPr>
          <w:rFonts w:cs="Arial"/>
          <w:b/>
          <w:bCs/>
          <w:sz w:val="28"/>
          <w:szCs w:val="28"/>
          <w:rtl/>
        </w:rPr>
        <w:t>فهم امكانية الوصول إلى السواق والخدمات المالية</w:t>
      </w:r>
    </w:p>
    <w:p w:rsidR="008F0A8C" w:rsidRPr="00A55E0C" w:rsidRDefault="008F0A8C" w:rsidP="00A55E0C">
      <w:pPr>
        <w:bidi/>
        <w:jc w:val="left"/>
        <w:rPr>
          <w:rFonts w:cs="Arial"/>
          <w:sz w:val="28"/>
          <w:szCs w:val="28"/>
          <w:rtl/>
        </w:rPr>
      </w:pPr>
      <w:r w:rsidRPr="00A55E0C">
        <w:rPr>
          <w:rFonts w:cs="Arial"/>
          <w:sz w:val="28"/>
          <w:szCs w:val="28"/>
          <w:rtl/>
        </w:rPr>
        <w:t xml:space="preserve">تسمح هذه الخطوة الفرعية بتقديم توجيهات لإجراء تقييم السوق (الخطوة 3) والخدمات المالية (الخطوة 4). وهي </w:t>
      </w:r>
      <w:r w:rsidR="008F27EB" w:rsidRPr="00A55E0C">
        <w:rPr>
          <w:rFonts w:cs="Arial"/>
          <w:sz w:val="28"/>
          <w:szCs w:val="28"/>
          <w:rtl/>
        </w:rPr>
        <w:t xml:space="preserve">تقدم لمحة حول السلع </w:t>
      </w:r>
      <w:r w:rsidRPr="00A55E0C">
        <w:rPr>
          <w:rFonts w:cs="Arial"/>
          <w:sz w:val="28"/>
          <w:szCs w:val="28"/>
          <w:rtl/>
        </w:rPr>
        <w:t xml:space="preserve">والأسواق </w:t>
      </w:r>
      <w:r w:rsidR="008F27EB" w:rsidRPr="00A55E0C">
        <w:rPr>
          <w:rFonts w:cs="Arial"/>
          <w:sz w:val="28"/>
          <w:szCs w:val="28"/>
          <w:rtl/>
        </w:rPr>
        <w:t xml:space="preserve">الرئيسية التي يلجأ إليها السكان المتضررين، وحول استخدام هؤلاء السكان للخدمات المالية وتكنولوجيا الهاتف المحمول. </w:t>
      </w:r>
      <w:r w:rsidR="003A4D0F" w:rsidRPr="00A55E0C">
        <w:rPr>
          <w:rFonts w:cs="Arial"/>
          <w:sz w:val="28"/>
          <w:szCs w:val="28"/>
          <w:rtl/>
        </w:rPr>
        <w:t xml:space="preserve">بذلك يمكن </w:t>
      </w:r>
      <w:r w:rsidR="00F41A73" w:rsidRPr="00A55E0C">
        <w:rPr>
          <w:rFonts w:cs="Arial"/>
          <w:sz w:val="28"/>
          <w:szCs w:val="28"/>
          <w:rtl/>
        </w:rPr>
        <w:t xml:space="preserve">تحديد السواق التي يجب التركيز عليها (الخطوة 3) ومقدمي الخدمات الذين يجب </w:t>
      </w:r>
      <w:r w:rsidR="004E6296" w:rsidRPr="00A55E0C">
        <w:rPr>
          <w:rFonts w:cs="Arial"/>
          <w:sz w:val="28"/>
          <w:szCs w:val="28"/>
          <w:rtl/>
        </w:rPr>
        <w:t xml:space="preserve">أن يخضعوا للمزيد من التحقيق (الخطوة 4 وخلال تحليل الاستجابة). </w:t>
      </w:r>
    </w:p>
    <w:p w:rsidR="00196A24" w:rsidRPr="00A55E0C" w:rsidRDefault="00196A24" w:rsidP="00A55E0C">
      <w:pPr>
        <w:bidi/>
        <w:jc w:val="left"/>
        <w:rPr>
          <w:rFonts w:cs="Arial"/>
          <w:sz w:val="28"/>
          <w:szCs w:val="28"/>
          <w:rtl/>
        </w:rPr>
      </w:pPr>
      <w:r w:rsidRPr="00A55E0C">
        <w:rPr>
          <w:rFonts w:cs="Arial"/>
          <w:sz w:val="28"/>
          <w:szCs w:val="28"/>
          <w:rtl/>
        </w:rPr>
        <w:t xml:space="preserve">وأدوات الخطوات الفرعية هي عبارة عن استبيانات يمكن استخدامها لجمع المعلومات الضرورية للتوصل إلى المعرفة المطلوبة عند إجراء مناقشات فرق التنسيق </w:t>
      </w:r>
      <w:r w:rsidR="000F48B4" w:rsidRPr="00A55E0C">
        <w:rPr>
          <w:rFonts w:cs="Arial"/>
          <w:sz w:val="28"/>
          <w:szCs w:val="28"/>
          <w:rtl/>
        </w:rPr>
        <w:t>مع أعضاء من المجتمع أو ممثليهم.</w:t>
      </w:r>
    </w:p>
    <w:p w:rsidR="000D6B41" w:rsidRDefault="000D6B41" w:rsidP="00A55E0C">
      <w:pPr>
        <w:bidi/>
        <w:jc w:val="left"/>
        <w:rPr>
          <w:rFonts w:cs="Arial"/>
          <w:b/>
          <w:bCs/>
          <w:sz w:val="28"/>
          <w:szCs w:val="28"/>
          <w:rtl/>
        </w:rPr>
      </w:pPr>
      <w:r w:rsidRPr="00A55E0C">
        <w:rPr>
          <w:rFonts w:cs="Arial"/>
          <w:b/>
          <w:bCs/>
          <w:sz w:val="28"/>
          <w:szCs w:val="28"/>
          <w:rtl/>
        </w:rPr>
        <w:t xml:space="preserve">تحديد الاحتياجات الأولوية </w:t>
      </w:r>
    </w:p>
    <w:p w:rsidR="00A55E0C" w:rsidRDefault="00A55E0C" w:rsidP="00A55E0C">
      <w:pPr>
        <w:bidi/>
        <w:jc w:val="left"/>
        <w:rPr>
          <w:rFonts w:cs="Arial"/>
          <w:sz w:val="28"/>
          <w:szCs w:val="28"/>
          <w:rtl/>
        </w:rPr>
      </w:pPr>
      <w:r w:rsidRPr="00A55E0C">
        <w:rPr>
          <w:rFonts w:cs="Arial" w:hint="cs"/>
          <w:sz w:val="28"/>
          <w:szCs w:val="28"/>
          <w:rtl/>
        </w:rPr>
        <w:t>يهدف</w:t>
      </w:r>
      <w:r>
        <w:rPr>
          <w:rFonts w:cs="Arial" w:hint="cs"/>
          <w:b/>
          <w:bCs/>
          <w:sz w:val="28"/>
          <w:szCs w:val="28"/>
          <w:rtl/>
        </w:rPr>
        <w:t xml:space="preserve"> </w:t>
      </w:r>
      <w:r>
        <w:rPr>
          <w:rFonts w:cs="Arial" w:hint="cs"/>
          <w:sz w:val="28"/>
          <w:szCs w:val="28"/>
          <w:rtl/>
        </w:rPr>
        <w:t>هذا التقييم إلى تحديد الحاجات الأولية للسكان المتضررين من الصدمة. وتقسم هذه الحاجات إلى سلات غذائية وغير غذائية، ونفقات اساسية وسيبل العيش، وذلك بحسب أهداف الاستجابة. ويمكن الحصول على معلومات حول مضمون السلات من المعلومات الثانوية (مثل استبيانات الانفاق الوطنية) أو الزيارات الميدانية (مناقشات فريق التنسيق مع ممثلين عن مجموعات الثروة المختلفة)</w:t>
      </w:r>
      <w:r w:rsidR="00BF642F">
        <w:rPr>
          <w:rFonts w:cs="Arial" w:hint="cs"/>
          <w:sz w:val="28"/>
          <w:szCs w:val="28"/>
          <w:rtl/>
        </w:rPr>
        <w:t>.</w:t>
      </w:r>
    </w:p>
    <w:p w:rsidR="00BF642F" w:rsidRPr="00A55E0C" w:rsidRDefault="00A4062E" w:rsidP="00BF642F">
      <w:pPr>
        <w:bidi/>
        <w:jc w:val="left"/>
        <w:rPr>
          <w:rFonts w:cs="Arial"/>
          <w:sz w:val="28"/>
          <w:szCs w:val="28"/>
          <w:rtl/>
        </w:rPr>
      </w:pPr>
      <w:r>
        <w:rPr>
          <w:rFonts w:cs="Arial" w:hint="cs"/>
          <w:sz w:val="28"/>
          <w:szCs w:val="28"/>
          <w:rtl/>
        </w:rPr>
        <w:lastRenderedPageBreak/>
        <w:t xml:space="preserve">ومتى تم تحديد الأولويات، يجب تحديد قيمتها النقدية بالاستناد إلى الأسعار المحلية، من أجل اللجوء إلى التحويلات النقدية كخيار للاستجابة. وتدمج هذه القيمة في الآليات المختلفة بشكل يسمح بتحليل فعالية الخيارات المتعددة من حيث التكلفة، وتحديد قيمة التحويل في حال كانت الاستجابة النقدية الحل المناسب. </w:t>
      </w:r>
    </w:p>
    <w:p w:rsidR="00196246" w:rsidRPr="00A55E0C" w:rsidRDefault="00196246" w:rsidP="00A55E0C">
      <w:pPr>
        <w:bidi/>
        <w:jc w:val="left"/>
        <w:rPr>
          <w:rFonts w:cs="Arial"/>
          <w:sz w:val="28"/>
          <w:szCs w:val="28"/>
          <w:rtl/>
        </w:rPr>
      </w:pPr>
    </w:p>
    <w:p w:rsidR="00700C87" w:rsidRDefault="00FA13CC" w:rsidP="00700C87">
      <w:pPr>
        <w:bidi/>
        <w:jc w:val="left"/>
        <w:rPr>
          <w:rFonts w:cs="Arial"/>
          <w:sz w:val="28"/>
          <w:szCs w:val="28"/>
          <w:rtl/>
        </w:rPr>
      </w:pPr>
      <w:r>
        <w:rPr>
          <w:rFonts w:cs="Arial" w:hint="cs"/>
          <w:sz w:val="28"/>
          <w:szCs w:val="28"/>
          <w:rtl/>
        </w:rPr>
        <w:t>وفي أدوات الخطوات الفرعية، يمكن الحصول على أداة تستخدم في مرحلة التقييم بتحديد قيمة الحاجات الأولية وفي مرحلة تحليل الاستجابة لاحتساب قيمة التحويل النقدي المحتم</w:t>
      </w:r>
      <w:r w:rsidR="00700C87">
        <w:rPr>
          <w:rFonts w:cs="Arial" w:hint="cs"/>
          <w:sz w:val="28"/>
          <w:szCs w:val="28"/>
          <w:rtl/>
        </w:rPr>
        <w:t>ل.</w:t>
      </w:r>
    </w:p>
    <w:p w:rsidR="00700C87" w:rsidRPr="00700C87" w:rsidRDefault="00700C87" w:rsidP="00700C87">
      <w:pPr>
        <w:bidi/>
        <w:jc w:val="left"/>
        <w:rPr>
          <w:rFonts w:cs="Arial"/>
          <w:b/>
          <w:bCs/>
          <w:sz w:val="28"/>
          <w:szCs w:val="28"/>
          <w:rtl/>
        </w:rPr>
      </w:pPr>
      <w:r w:rsidRPr="00700C87">
        <w:rPr>
          <w:rFonts w:cs="Arial" w:hint="cs"/>
          <w:b/>
          <w:bCs/>
          <w:sz w:val="28"/>
          <w:szCs w:val="28"/>
          <w:rtl/>
        </w:rPr>
        <w:t xml:space="preserve">توحيد </w:t>
      </w:r>
      <w:r>
        <w:rPr>
          <w:rFonts w:cs="Arial" w:hint="cs"/>
          <w:b/>
          <w:bCs/>
          <w:sz w:val="28"/>
          <w:szCs w:val="28"/>
          <w:rtl/>
        </w:rPr>
        <w:t>النتائج</w:t>
      </w:r>
    </w:p>
    <w:p w:rsidR="003B4D61" w:rsidRPr="00A55E0C" w:rsidRDefault="000F4269" w:rsidP="00700C87">
      <w:pPr>
        <w:bidi/>
        <w:jc w:val="left"/>
        <w:rPr>
          <w:rFonts w:cs="Arial"/>
          <w:sz w:val="28"/>
          <w:szCs w:val="28"/>
        </w:rPr>
      </w:pPr>
      <w:r w:rsidRPr="00A55E0C">
        <w:rPr>
          <w:rFonts w:cs="Arial"/>
          <w:sz w:val="28"/>
          <w:szCs w:val="28"/>
        </w:rPr>
        <w:t xml:space="preserve"> </w:t>
      </w:r>
      <w:r w:rsidR="00700C87">
        <w:rPr>
          <w:rFonts w:cs="Arial" w:hint="cs"/>
          <w:sz w:val="28"/>
          <w:szCs w:val="28"/>
          <w:rtl/>
        </w:rPr>
        <w:t>بالاستناد إلى الأدوات المتوفرة في هذه الخطوة، من المرجح أن تكون قد جمعت كل المعلومات المفيدة المتعلقة بالشؤون النقدية على مستوى المجتمع والأسر. وتسمح أداة الخطوة الفرعية هذه بتوحيد النتائج وتنظيمها ودمجها في تقرير التقييم المعياري.</w:t>
      </w:r>
    </w:p>
    <w:p w:rsidR="000F4269" w:rsidRPr="00A55E0C" w:rsidRDefault="000F4269" w:rsidP="00A55E0C">
      <w:pPr>
        <w:bidi/>
        <w:spacing w:after="360"/>
        <w:jc w:val="left"/>
        <w:rPr>
          <w:rFonts w:cs="Arial"/>
          <w:sz w:val="28"/>
          <w:szCs w:val="28"/>
        </w:rPr>
      </w:pPr>
    </w:p>
    <w:tbl>
      <w:tblPr>
        <w:tblStyle w:val="TableGray"/>
        <w:tblW w:w="0" w:type="auto"/>
        <w:tblLook w:val="04A0" w:firstRow="1" w:lastRow="0" w:firstColumn="1" w:lastColumn="0" w:noHBand="0" w:noVBand="1"/>
      </w:tblPr>
      <w:tblGrid>
        <w:gridCol w:w="9848"/>
      </w:tblGrid>
      <w:tr w:rsidR="00F52885" w:rsidRPr="00A55E0C" w:rsidTr="00F52885">
        <w:tc>
          <w:tcPr>
            <w:tcW w:w="9848" w:type="dxa"/>
          </w:tcPr>
          <w:p w:rsidR="00F52885" w:rsidRPr="00A55E0C" w:rsidRDefault="000F191C" w:rsidP="00A55E0C">
            <w:pPr>
              <w:pStyle w:val="RefTitre"/>
              <w:bidi/>
              <w:rPr>
                <w:rFonts w:cs="Arial"/>
                <w:sz w:val="28"/>
                <w:szCs w:val="28"/>
              </w:rPr>
            </w:pPr>
            <w:r>
              <w:rPr>
                <w:rFonts w:cs="Arial" w:hint="cs"/>
                <w:sz w:val="28"/>
                <w:szCs w:val="28"/>
                <w:rtl/>
              </w:rPr>
              <w:t>المراجع</w:t>
            </w:r>
          </w:p>
          <w:p w:rsidR="00F52885" w:rsidRPr="00A55E0C" w:rsidRDefault="00F52885" w:rsidP="00A55E0C">
            <w:pPr>
              <w:pStyle w:val="RefItem1"/>
              <w:bidi/>
              <w:rPr>
                <w:rFonts w:cs="Arial"/>
                <w:color w:val="0000D4"/>
                <w:sz w:val="28"/>
                <w:szCs w:val="28"/>
                <w:u w:val="single"/>
              </w:rPr>
            </w:pPr>
            <w:r w:rsidRPr="00A55E0C">
              <w:rPr>
                <w:rFonts w:cs="Arial"/>
                <w:sz w:val="28"/>
                <w:szCs w:val="28"/>
              </w:rPr>
              <w:t xml:space="preserve">Guidelines for Cash Transfer Programming - International Red Cross and Red Crescent Movement. </w:t>
            </w:r>
            <w:hyperlink r:id="rId10" w:history="1">
              <w:r w:rsidRPr="00A55E0C">
                <w:rPr>
                  <w:rStyle w:val="Hyperlink"/>
                  <w:rFonts w:cs="Arial"/>
                  <w:sz w:val="28"/>
                  <w:szCs w:val="28"/>
                </w:rPr>
                <w:t>http://www.ifrc.org/Global/Publications/disasters/finance/cash-guidelines-en.pdf</w:t>
              </w:r>
            </w:hyperlink>
          </w:p>
          <w:p w:rsidR="00F52885" w:rsidRPr="00A55E0C" w:rsidRDefault="00F52885" w:rsidP="00A55E0C">
            <w:pPr>
              <w:pStyle w:val="RefItem1"/>
              <w:bidi/>
              <w:rPr>
                <w:rFonts w:cs="Arial"/>
                <w:sz w:val="28"/>
                <w:szCs w:val="28"/>
              </w:rPr>
            </w:pPr>
            <w:r w:rsidRPr="00A55E0C">
              <w:rPr>
                <w:rFonts w:cs="Arial"/>
                <w:sz w:val="28"/>
                <w:szCs w:val="28"/>
              </w:rPr>
              <w:t xml:space="preserve">Good Practice Review: Cash Transfer Programming in Emergencies. Humanitarian Practice Network (2011)  </w:t>
            </w:r>
            <w:hyperlink r:id="rId11" w:history="1">
              <w:r w:rsidRPr="00A55E0C">
                <w:rPr>
                  <w:rStyle w:val="Hyperlink"/>
                  <w:rFonts w:cs="Arial"/>
                  <w:sz w:val="28"/>
                  <w:szCs w:val="28"/>
                </w:rPr>
                <w:t>http://www.odihpn.org/documents%2Fgpr11.pdf</w:t>
              </w:r>
            </w:hyperlink>
          </w:p>
        </w:tc>
      </w:tr>
    </w:tbl>
    <w:p w:rsidR="00F52885" w:rsidRPr="00A55E0C" w:rsidRDefault="00F52885" w:rsidP="00A55E0C">
      <w:pPr>
        <w:bidi/>
        <w:jc w:val="left"/>
        <w:rPr>
          <w:rFonts w:cs="Arial"/>
          <w:sz w:val="28"/>
          <w:szCs w:val="28"/>
        </w:rPr>
      </w:pPr>
    </w:p>
    <w:sectPr w:rsidR="00F52885" w:rsidRPr="00A55E0C" w:rsidSect="002B4DCC">
      <w:headerReference w:type="default" r:id="rId12"/>
      <w:footerReference w:type="default" r:id="rId13"/>
      <w:footerReference w:type="first" r:id="rId14"/>
      <w:pgSz w:w="11900" w:h="16840"/>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8B" w:rsidRDefault="0053268B">
      <w:r>
        <w:separator/>
      </w:r>
    </w:p>
  </w:endnote>
  <w:endnote w:type="continuationSeparator" w:id="0">
    <w:p w:rsidR="0053268B" w:rsidRDefault="0053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CC" w:rsidRPr="00B45C74" w:rsidRDefault="00C17F6F"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2B4DCC"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1C2376">
      <w:rPr>
        <w:b/>
        <w:noProof/>
        <w:color w:val="808080" w:themeColor="background1" w:themeShade="80"/>
        <w:sz w:val="18"/>
        <w:szCs w:val="18"/>
      </w:rPr>
      <w:t>3</w:t>
    </w:r>
    <w:r w:rsidRPr="00B45C74">
      <w:rPr>
        <w:b/>
        <w:color w:val="808080" w:themeColor="background1" w:themeShade="80"/>
        <w:sz w:val="18"/>
        <w:szCs w:val="18"/>
      </w:rPr>
      <w:fldChar w:fldCharType="end"/>
    </w:r>
  </w:p>
  <w:p w:rsidR="00057E7E" w:rsidRPr="00057E7E" w:rsidRDefault="00057E7E" w:rsidP="00057E7E">
    <w:pPr>
      <w:pStyle w:val="Footer"/>
    </w:pPr>
    <w:r w:rsidRPr="00107E15">
      <w:rPr>
        <w:b/>
      </w:rPr>
      <w:t xml:space="preserve">Module </w:t>
    </w:r>
    <w:r>
      <w:rPr>
        <w:b/>
      </w:rPr>
      <w:t>2</w:t>
    </w:r>
    <w:r w:rsidRPr="00107E15">
      <w:rPr>
        <w:b/>
      </w:rPr>
      <w:t>.</w:t>
    </w:r>
    <w:r w:rsidR="001C2376">
      <w:rPr>
        <w:b/>
      </w:rPr>
      <w:t xml:space="preserve"> </w:t>
    </w:r>
    <w:r w:rsidR="0020717B">
      <w:t xml:space="preserve">Step 2. </w:t>
    </w:r>
    <w:r>
      <w:t>Roadmap for cash-sensitive community assessment</w:t>
    </w:r>
    <w:r w:rsidR="00C17F6F" w:rsidRPr="00057E7E">
      <w:fldChar w:fldCharType="begin"/>
    </w:r>
    <w:r w:rsidRPr="00057E7E">
      <w:instrText xml:space="preserve"> STYLEREF  H1 \t  \* MERGEFORMAT </w:instrText>
    </w:r>
    <w:r w:rsidR="00C17F6F" w:rsidRPr="00057E7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E7E" w:rsidRPr="00B45C74" w:rsidRDefault="00C17F6F"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057E7E"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1C2376">
      <w:rPr>
        <w:b/>
        <w:noProof/>
        <w:color w:val="808080" w:themeColor="background1" w:themeShade="80"/>
        <w:sz w:val="18"/>
        <w:szCs w:val="18"/>
      </w:rPr>
      <w:t>1</w:t>
    </w:r>
    <w:r w:rsidRPr="00B45C74">
      <w:rPr>
        <w:b/>
        <w:color w:val="808080" w:themeColor="background1" w:themeShade="80"/>
        <w:sz w:val="18"/>
        <w:szCs w:val="18"/>
      </w:rPr>
      <w:fldChar w:fldCharType="end"/>
    </w:r>
  </w:p>
  <w:p w:rsidR="00057E7E" w:rsidRPr="00057E7E" w:rsidRDefault="001C2376" w:rsidP="001C2376">
    <w:pPr>
      <w:pStyle w:val="Footer"/>
    </w:pPr>
    <w:r w:rsidRPr="00107E15">
      <w:rPr>
        <w:b/>
      </w:rPr>
      <w:t xml:space="preserve">Module </w:t>
    </w:r>
    <w:r>
      <w:rPr>
        <w:b/>
      </w:rPr>
      <w:t>2</w:t>
    </w:r>
    <w:r w:rsidRPr="00107E15">
      <w:rPr>
        <w:b/>
      </w:rPr>
      <w:t>.</w:t>
    </w:r>
    <w:r>
      <w:rPr>
        <w:b/>
      </w:rPr>
      <w:t xml:space="preserve"> </w:t>
    </w:r>
    <w:r>
      <w:t>Step 2. Roadmap for cash-sensitive community assessment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8B" w:rsidRDefault="0053268B">
      <w:r>
        <w:separator/>
      </w:r>
    </w:p>
  </w:footnote>
  <w:footnote w:type="continuationSeparator" w:id="0">
    <w:p w:rsidR="0053268B" w:rsidRDefault="0053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CC" w:rsidRPr="00074036" w:rsidRDefault="002B4DCC" w:rsidP="00173FF2">
    <w:pPr>
      <w:pStyle w:val="Header"/>
      <w:rPr>
        <w:szCs w:val="16"/>
      </w:rPr>
    </w:pPr>
    <w:r w:rsidRPr="004B5DA9">
      <w:rPr>
        <w:rStyle w:val="Pantone485"/>
      </w:rPr>
      <w:t>International Red Cross and Red Crescent Movement</w:t>
    </w:r>
    <w:r w:rsidR="001C2376">
      <w:rPr>
        <w:rStyle w:val="Pantone485"/>
      </w:rPr>
      <w:t xml:space="preserve"> </w:t>
    </w:r>
    <w:r w:rsidRPr="002B5D03">
      <w:rPr>
        <w:rStyle w:val="PageNumber"/>
        <w:bCs/>
        <w:szCs w:val="16"/>
      </w:rPr>
      <w:t>I</w:t>
    </w:r>
    <w:r w:rsidR="001C2376">
      <w:rPr>
        <w:rStyle w:val="PageNumber"/>
        <w:bCs/>
        <w:szCs w:val="16"/>
      </w:rPr>
      <w:t xml:space="preserve"> </w:t>
    </w:r>
    <w:r w:rsidRPr="009F6986">
      <w:rPr>
        <w:b/>
        <w:szCs w:val="16"/>
      </w:rPr>
      <w:t>Cash in Emergenc</w:t>
    </w:r>
    <w:r>
      <w:rPr>
        <w:b/>
        <w:szCs w:val="16"/>
      </w:rPr>
      <w:t>ies</w:t>
    </w:r>
    <w:r w:rsidRPr="009F6986">
      <w:rPr>
        <w:b/>
        <w:szCs w:val="16"/>
      </w:rPr>
      <w:t xml:space="preserve"> Toolkit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56EC08"/>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9392B3B8"/>
    <w:lvl w:ilvl="0">
      <w:start w:val="1"/>
      <w:numFmt w:val="decimal"/>
      <w:lvlText w:val="%1."/>
      <w:lvlJc w:val="left"/>
      <w:pPr>
        <w:tabs>
          <w:tab w:val="num" w:pos="643"/>
        </w:tabs>
        <w:ind w:left="643" w:hanging="360"/>
      </w:pPr>
    </w:lvl>
  </w:abstractNum>
  <w:abstractNum w:abstractNumId="2" w15:restartNumberingAfterBreak="0">
    <w:nsid w:val="00BC61D7"/>
    <w:multiLevelType w:val="hybridMultilevel"/>
    <w:tmpl w:val="7A78EDE6"/>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0EF0BE4"/>
    <w:multiLevelType w:val="hybridMultilevel"/>
    <w:tmpl w:val="FCEA503A"/>
    <w:lvl w:ilvl="0" w:tplc="3A3A22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1751EC"/>
    <w:multiLevelType w:val="hybridMultilevel"/>
    <w:tmpl w:val="D4A2DDAC"/>
    <w:lvl w:ilvl="0" w:tplc="AF5CCA70">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656F75"/>
    <w:multiLevelType w:val="hybridMultilevel"/>
    <w:tmpl w:val="5FEC3BEE"/>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80971EF"/>
    <w:multiLevelType w:val="hybridMultilevel"/>
    <w:tmpl w:val="FA4E0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53F03"/>
    <w:multiLevelType w:val="hybridMultilevel"/>
    <w:tmpl w:val="2B62B312"/>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F735E8"/>
    <w:multiLevelType w:val="hybridMultilevel"/>
    <w:tmpl w:val="A8A435C2"/>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832A81"/>
    <w:multiLevelType w:val="hybridMultilevel"/>
    <w:tmpl w:val="8C70376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952B4"/>
    <w:multiLevelType w:val="hybridMultilevel"/>
    <w:tmpl w:val="22E0685E"/>
    <w:lvl w:ilvl="0" w:tplc="5A4C774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C3C3D"/>
    <w:multiLevelType w:val="hybridMultilevel"/>
    <w:tmpl w:val="3B92B9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77B14"/>
    <w:multiLevelType w:val="hybridMultilevel"/>
    <w:tmpl w:val="F06CEA2E"/>
    <w:lvl w:ilvl="0" w:tplc="5A4C774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71477B"/>
    <w:multiLevelType w:val="hybridMultilevel"/>
    <w:tmpl w:val="7D688CB0"/>
    <w:lvl w:ilvl="0" w:tplc="AF5CCA70">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A817A36"/>
    <w:multiLevelType w:val="hybridMultilevel"/>
    <w:tmpl w:val="9B32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5B14FD"/>
    <w:multiLevelType w:val="hybridMultilevel"/>
    <w:tmpl w:val="A06CDB80"/>
    <w:lvl w:ilvl="0" w:tplc="AF5CCA70">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4226C8E"/>
    <w:multiLevelType w:val="hybridMultilevel"/>
    <w:tmpl w:val="B6D8F0D4"/>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44C36C6"/>
    <w:multiLevelType w:val="hybridMultilevel"/>
    <w:tmpl w:val="8D5C82F2"/>
    <w:lvl w:ilvl="0" w:tplc="AF5CCA70">
      <w:numFmt w:val="bullet"/>
      <w:lvlText w:val=""/>
      <w:lvlJc w:val="left"/>
      <w:pPr>
        <w:ind w:left="360" w:hanging="360"/>
      </w:pPr>
      <w:rPr>
        <w:rFonts w:ascii="Symbol" w:hAnsi="Symbol" w:hint="default"/>
        <w:sz w:val="22"/>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29C817CF"/>
    <w:multiLevelType w:val="hybridMultilevel"/>
    <w:tmpl w:val="4FCCC656"/>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2A0A0B08"/>
    <w:multiLevelType w:val="hybridMultilevel"/>
    <w:tmpl w:val="CA3E531A"/>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31D2D1A"/>
    <w:multiLevelType w:val="hybridMultilevel"/>
    <w:tmpl w:val="EDF46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146E76"/>
    <w:multiLevelType w:val="hybridMultilevel"/>
    <w:tmpl w:val="F796D27A"/>
    <w:lvl w:ilvl="0" w:tplc="AF5CCA70">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A2D1CE0"/>
    <w:multiLevelType w:val="hybridMultilevel"/>
    <w:tmpl w:val="CAD62C0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227D5"/>
    <w:multiLevelType w:val="hybridMultilevel"/>
    <w:tmpl w:val="A4DE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2B6393"/>
    <w:multiLevelType w:val="hybridMultilevel"/>
    <w:tmpl w:val="A8A435C2"/>
    <w:lvl w:ilvl="0" w:tplc="AF5CCA70">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D3845E3"/>
    <w:multiLevelType w:val="hybridMultilevel"/>
    <w:tmpl w:val="41DE663E"/>
    <w:lvl w:ilvl="0" w:tplc="C58031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3A2DD8"/>
    <w:multiLevelType w:val="hybridMultilevel"/>
    <w:tmpl w:val="5FEC3BEE"/>
    <w:lvl w:ilvl="0" w:tplc="AF5CCA70">
      <w:numFmt w:val="bullet"/>
      <w:lvlText w:val=""/>
      <w:lvlJc w:val="left"/>
      <w:pPr>
        <w:ind w:left="360" w:hanging="360"/>
      </w:pPr>
      <w:rPr>
        <w:rFonts w:ascii="Symbol" w:hAnsi="Symbol" w:hint="default"/>
        <w:sz w:val="22"/>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40F10D53"/>
    <w:multiLevelType w:val="hybridMultilevel"/>
    <w:tmpl w:val="A8A435C2"/>
    <w:lvl w:ilvl="0" w:tplc="AF5CCA70">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58F4509"/>
    <w:multiLevelType w:val="hybridMultilevel"/>
    <w:tmpl w:val="C0504110"/>
    <w:lvl w:ilvl="0" w:tplc="AF5CCA70">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5B74F19"/>
    <w:multiLevelType w:val="hybridMultilevel"/>
    <w:tmpl w:val="8D5C82F2"/>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54C02A8"/>
    <w:multiLevelType w:val="hybridMultilevel"/>
    <w:tmpl w:val="133071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07442C"/>
    <w:multiLevelType w:val="hybridMultilevel"/>
    <w:tmpl w:val="3E18AA5C"/>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C904900"/>
    <w:multiLevelType w:val="hybridMultilevel"/>
    <w:tmpl w:val="B6D8F0D4"/>
    <w:lvl w:ilvl="0" w:tplc="AF5CCA70">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CA02CD1"/>
    <w:multiLevelType w:val="hybridMultilevel"/>
    <w:tmpl w:val="CA3E531A"/>
    <w:lvl w:ilvl="0" w:tplc="AF5CCA70">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5FD54C4F"/>
    <w:multiLevelType w:val="hybridMultilevel"/>
    <w:tmpl w:val="7D688CB0"/>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3323F3D"/>
    <w:multiLevelType w:val="hybridMultilevel"/>
    <w:tmpl w:val="974EF3AE"/>
    <w:lvl w:ilvl="0" w:tplc="9926E7D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5A3B98"/>
    <w:multiLevelType w:val="hybridMultilevel"/>
    <w:tmpl w:val="D4A2DDAC"/>
    <w:lvl w:ilvl="0" w:tplc="E542903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4D1867"/>
    <w:multiLevelType w:val="hybridMultilevel"/>
    <w:tmpl w:val="C0504110"/>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4991041"/>
    <w:multiLevelType w:val="hybridMultilevel"/>
    <w:tmpl w:val="A6409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3A580E"/>
    <w:multiLevelType w:val="hybridMultilevel"/>
    <w:tmpl w:val="A06CDB80"/>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16615D1"/>
    <w:multiLevelType w:val="hybridMultilevel"/>
    <w:tmpl w:val="5AC8323C"/>
    <w:lvl w:ilvl="0" w:tplc="04090001">
      <w:start w:val="1"/>
      <w:numFmt w:val="bullet"/>
      <w:lvlText w:val=""/>
      <w:lvlJc w:val="left"/>
      <w:pPr>
        <w:ind w:left="720" w:hanging="360"/>
      </w:pPr>
      <w:rPr>
        <w:rFonts w:ascii="Symbol" w:hAnsi="Symbol" w:hint="default"/>
      </w:rPr>
    </w:lvl>
    <w:lvl w:ilvl="1" w:tplc="8046A16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917F87"/>
    <w:multiLevelType w:val="hybridMultilevel"/>
    <w:tmpl w:val="3E18AA5C"/>
    <w:lvl w:ilvl="0" w:tplc="AF5CCA70">
      <w:numFmt w:val="bullet"/>
      <w:lvlText w:val=""/>
      <w:lvlJc w:val="left"/>
      <w:pPr>
        <w:ind w:left="720" w:hanging="360"/>
      </w:pPr>
      <w:rPr>
        <w:rFonts w:ascii="Symbol" w:hAnsi="Symbol" w:hint="default"/>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5CB4014"/>
    <w:multiLevelType w:val="hybridMultilevel"/>
    <w:tmpl w:val="F796D27A"/>
    <w:lvl w:ilvl="0" w:tplc="AF5CCA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5F50707"/>
    <w:multiLevelType w:val="hybridMultilevel"/>
    <w:tmpl w:val="7A78EDE6"/>
    <w:lvl w:ilvl="0" w:tplc="AF5CCA70">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3"/>
  </w:num>
  <w:num w:numId="2">
    <w:abstractNumId w:val="18"/>
  </w:num>
  <w:num w:numId="3">
    <w:abstractNumId w:val="35"/>
  </w:num>
  <w:num w:numId="4">
    <w:abstractNumId w:val="30"/>
  </w:num>
  <w:num w:numId="5">
    <w:abstractNumId w:val="41"/>
  </w:num>
  <w:num w:numId="6">
    <w:abstractNumId w:val="4"/>
  </w:num>
  <w:num w:numId="7">
    <w:abstractNumId w:val="31"/>
  </w:num>
  <w:num w:numId="8">
    <w:abstractNumId w:val="19"/>
  </w:num>
  <w:num w:numId="9">
    <w:abstractNumId w:val="9"/>
  </w:num>
  <w:num w:numId="10">
    <w:abstractNumId w:val="26"/>
  </w:num>
  <w:num w:numId="11">
    <w:abstractNumId w:val="29"/>
  </w:num>
  <w:num w:numId="12">
    <w:abstractNumId w:val="6"/>
  </w:num>
  <w:num w:numId="13">
    <w:abstractNumId w:val="28"/>
  </w:num>
  <w:num w:numId="14">
    <w:abstractNumId w:val="2"/>
  </w:num>
  <w:num w:numId="15">
    <w:abstractNumId w:val="49"/>
  </w:num>
  <w:num w:numId="16">
    <w:abstractNumId w:val="34"/>
  </w:num>
  <w:num w:numId="17">
    <w:abstractNumId w:val="47"/>
  </w:num>
  <w:num w:numId="18">
    <w:abstractNumId w:val="21"/>
  </w:num>
  <w:num w:numId="19">
    <w:abstractNumId w:val="36"/>
  </w:num>
  <w:num w:numId="20">
    <w:abstractNumId w:val="16"/>
  </w:num>
  <w:num w:numId="21">
    <w:abstractNumId w:val="48"/>
  </w:num>
  <w:num w:numId="22">
    <w:abstractNumId w:val="23"/>
  </w:num>
  <w:num w:numId="23">
    <w:abstractNumId w:val="45"/>
  </w:num>
  <w:num w:numId="24">
    <w:abstractNumId w:val="17"/>
  </w:num>
  <w:num w:numId="25">
    <w:abstractNumId w:val="39"/>
  </w:num>
  <w:num w:numId="26">
    <w:abstractNumId w:val="15"/>
  </w:num>
  <w:num w:numId="27">
    <w:abstractNumId w:val="8"/>
  </w:num>
  <w:num w:numId="28">
    <w:abstractNumId w:val="14"/>
  </w:num>
  <w:num w:numId="29">
    <w:abstractNumId w:val="10"/>
  </w:num>
  <w:num w:numId="30">
    <w:abstractNumId w:val="11"/>
  </w:num>
  <w:num w:numId="31">
    <w:abstractNumId w:val="24"/>
  </w:num>
  <w:num w:numId="32">
    <w:abstractNumId w:val="3"/>
  </w:num>
  <w:num w:numId="33">
    <w:abstractNumId w:val="33"/>
  </w:num>
  <w:num w:numId="34">
    <w:abstractNumId w:val="12"/>
  </w:num>
  <w:num w:numId="35">
    <w:abstractNumId w:val="20"/>
  </w:num>
  <w:num w:numId="36">
    <w:abstractNumId w:val="44"/>
  </w:num>
  <w:num w:numId="37">
    <w:abstractNumId w:val="27"/>
  </w:num>
  <w:num w:numId="38">
    <w:abstractNumId w:val="7"/>
  </w:num>
  <w:num w:numId="39">
    <w:abstractNumId w:val="22"/>
  </w:num>
  <w:num w:numId="40">
    <w:abstractNumId w:val="46"/>
  </w:num>
  <w:num w:numId="41">
    <w:abstractNumId w:val="25"/>
  </w:num>
  <w:num w:numId="42">
    <w:abstractNumId w:val="5"/>
  </w:num>
  <w:num w:numId="43">
    <w:abstractNumId w:val="32"/>
  </w:num>
  <w:num w:numId="44">
    <w:abstractNumId w:val="13"/>
  </w:num>
  <w:num w:numId="45">
    <w:abstractNumId w:val="37"/>
  </w:num>
  <w:num w:numId="46">
    <w:abstractNumId w:val="42"/>
  </w:num>
  <w:num w:numId="47">
    <w:abstractNumId w:val="38"/>
  </w:num>
  <w:num w:numId="48">
    <w:abstractNumId w:val="1"/>
  </w:num>
  <w:num w:numId="49">
    <w:abstractNumId w:val="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linkStyle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0F7F"/>
    <w:rsid w:val="0002510F"/>
    <w:rsid w:val="00032293"/>
    <w:rsid w:val="00057E7E"/>
    <w:rsid w:val="00062578"/>
    <w:rsid w:val="000908EF"/>
    <w:rsid w:val="000A19D1"/>
    <w:rsid w:val="000A3057"/>
    <w:rsid w:val="000B6209"/>
    <w:rsid w:val="000D6B41"/>
    <w:rsid w:val="000F191C"/>
    <w:rsid w:val="000F4269"/>
    <w:rsid w:val="000F48B4"/>
    <w:rsid w:val="000F4B6F"/>
    <w:rsid w:val="00110F37"/>
    <w:rsid w:val="00136C29"/>
    <w:rsid w:val="001429A0"/>
    <w:rsid w:val="00173D58"/>
    <w:rsid w:val="00196246"/>
    <w:rsid w:val="00196A24"/>
    <w:rsid w:val="001A2D12"/>
    <w:rsid w:val="001C2376"/>
    <w:rsid w:val="001D00A3"/>
    <w:rsid w:val="001E398C"/>
    <w:rsid w:val="0020717B"/>
    <w:rsid w:val="00222CD2"/>
    <w:rsid w:val="00231111"/>
    <w:rsid w:val="002514B1"/>
    <w:rsid w:val="00273676"/>
    <w:rsid w:val="00275BCD"/>
    <w:rsid w:val="002B1145"/>
    <w:rsid w:val="002B483A"/>
    <w:rsid w:val="002B4DCC"/>
    <w:rsid w:val="002C223B"/>
    <w:rsid w:val="00310F7F"/>
    <w:rsid w:val="003712F5"/>
    <w:rsid w:val="003836BB"/>
    <w:rsid w:val="003A4D0F"/>
    <w:rsid w:val="003B4D61"/>
    <w:rsid w:val="003C42DE"/>
    <w:rsid w:val="0043228C"/>
    <w:rsid w:val="0044445D"/>
    <w:rsid w:val="004556D4"/>
    <w:rsid w:val="0046464E"/>
    <w:rsid w:val="004C1ADA"/>
    <w:rsid w:val="004D4752"/>
    <w:rsid w:val="004E6296"/>
    <w:rsid w:val="004F2AC8"/>
    <w:rsid w:val="0050270B"/>
    <w:rsid w:val="00526A30"/>
    <w:rsid w:val="0053268B"/>
    <w:rsid w:val="00551FBB"/>
    <w:rsid w:val="00576A1B"/>
    <w:rsid w:val="0059435E"/>
    <w:rsid w:val="005B5961"/>
    <w:rsid w:val="005C26EE"/>
    <w:rsid w:val="005D4958"/>
    <w:rsid w:val="00601FAE"/>
    <w:rsid w:val="00607C92"/>
    <w:rsid w:val="006167CF"/>
    <w:rsid w:val="006218BD"/>
    <w:rsid w:val="00676A42"/>
    <w:rsid w:val="006A292E"/>
    <w:rsid w:val="006B2B80"/>
    <w:rsid w:val="006B5896"/>
    <w:rsid w:val="006E099E"/>
    <w:rsid w:val="006E747E"/>
    <w:rsid w:val="006F28BB"/>
    <w:rsid w:val="00700C87"/>
    <w:rsid w:val="007743BF"/>
    <w:rsid w:val="007752EB"/>
    <w:rsid w:val="007804AA"/>
    <w:rsid w:val="007855E5"/>
    <w:rsid w:val="00794CDB"/>
    <w:rsid w:val="007E0454"/>
    <w:rsid w:val="007E1C11"/>
    <w:rsid w:val="007F033C"/>
    <w:rsid w:val="00814396"/>
    <w:rsid w:val="008217CD"/>
    <w:rsid w:val="0082647D"/>
    <w:rsid w:val="008512BB"/>
    <w:rsid w:val="00863929"/>
    <w:rsid w:val="00865F32"/>
    <w:rsid w:val="00873DF7"/>
    <w:rsid w:val="00875979"/>
    <w:rsid w:val="008E6A72"/>
    <w:rsid w:val="008F0A8C"/>
    <w:rsid w:val="008F27EB"/>
    <w:rsid w:val="008F6CC6"/>
    <w:rsid w:val="00901BDF"/>
    <w:rsid w:val="00976C88"/>
    <w:rsid w:val="009A2C3C"/>
    <w:rsid w:val="009B7AB7"/>
    <w:rsid w:val="009C1364"/>
    <w:rsid w:val="009D28B0"/>
    <w:rsid w:val="009E4609"/>
    <w:rsid w:val="00A22FB8"/>
    <w:rsid w:val="00A31AA0"/>
    <w:rsid w:val="00A4062E"/>
    <w:rsid w:val="00A5336D"/>
    <w:rsid w:val="00A55E0C"/>
    <w:rsid w:val="00A573CC"/>
    <w:rsid w:val="00A66B73"/>
    <w:rsid w:val="00A942B0"/>
    <w:rsid w:val="00AA0CB0"/>
    <w:rsid w:val="00AF0822"/>
    <w:rsid w:val="00B23B74"/>
    <w:rsid w:val="00B23CB0"/>
    <w:rsid w:val="00B30398"/>
    <w:rsid w:val="00B43B9E"/>
    <w:rsid w:val="00BD3B8D"/>
    <w:rsid w:val="00BF61F7"/>
    <w:rsid w:val="00BF642F"/>
    <w:rsid w:val="00C119BC"/>
    <w:rsid w:val="00C17F6F"/>
    <w:rsid w:val="00C208A2"/>
    <w:rsid w:val="00C416A9"/>
    <w:rsid w:val="00C6084E"/>
    <w:rsid w:val="00C638A0"/>
    <w:rsid w:val="00CB43AC"/>
    <w:rsid w:val="00CD4768"/>
    <w:rsid w:val="00CE3280"/>
    <w:rsid w:val="00CF1FCB"/>
    <w:rsid w:val="00CF77F1"/>
    <w:rsid w:val="00D1005D"/>
    <w:rsid w:val="00D1378C"/>
    <w:rsid w:val="00D139C7"/>
    <w:rsid w:val="00D2556E"/>
    <w:rsid w:val="00D44268"/>
    <w:rsid w:val="00D6680B"/>
    <w:rsid w:val="00D70C54"/>
    <w:rsid w:val="00D81822"/>
    <w:rsid w:val="00D904E2"/>
    <w:rsid w:val="00D90668"/>
    <w:rsid w:val="00D92D39"/>
    <w:rsid w:val="00DA3D66"/>
    <w:rsid w:val="00DB3811"/>
    <w:rsid w:val="00DF20CC"/>
    <w:rsid w:val="00E14DDB"/>
    <w:rsid w:val="00E22574"/>
    <w:rsid w:val="00E26533"/>
    <w:rsid w:val="00E66A9A"/>
    <w:rsid w:val="00E909CC"/>
    <w:rsid w:val="00EC7F80"/>
    <w:rsid w:val="00ED1F6E"/>
    <w:rsid w:val="00ED72A3"/>
    <w:rsid w:val="00F053FA"/>
    <w:rsid w:val="00F250D2"/>
    <w:rsid w:val="00F41A73"/>
    <w:rsid w:val="00F52885"/>
    <w:rsid w:val="00F54024"/>
    <w:rsid w:val="00F77D58"/>
    <w:rsid w:val="00FA13CC"/>
    <w:rsid w:val="00FD7CCB"/>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639A86"/>
  <w15:docId w15:val="{B1994516-06F9-4279-A9DD-5DC72A9E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0717B"/>
    <w:pPr>
      <w:spacing w:after="120"/>
      <w:jc w:val="both"/>
    </w:pPr>
    <w:rPr>
      <w:rFonts w:ascii="Arial" w:eastAsiaTheme="minorEastAsia" w:hAnsi="Arial" w:cs="Times New Roman"/>
      <w:sz w:val="20"/>
      <w:szCs w:val="20"/>
    </w:rPr>
  </w:style>
  <w:style w:type="paragraph" w:styleId="Heading1">
    <w:name w:val="heading 1"/>
    <w:basedOn w:val="H1"/>
    <w:next w:val="Normal"/>
    <w:link w:val="Heading1Char"/>
    <w:uiPriority w:val="9"/>
    <w:rsid w:val="0020717B"/>
  </w:style>
  <w:style w:type="paragraph" w:styleId="Heading2">
    <w:name w:val="heading 2"/>
    <w:basedOn w:val="Normal"/>
    <w:next w:val="Normal"/>
    <w:link w:val="Heading2Char"/>
    <w:uiPriority w:val="9"/>
    <w:unhideWhenUsed/>
    <w:qFormat/>
    <w:rsid w:val="0020717B"/>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20717B"/>
    <w:pPr>
      <w:keepNext/>
      <w:spacing w:before="240"/>
      <w:jc w:val="left"/>
      <w:outlineLvl w:val="2"/>
    </w:pPr>
    <w:rPr>
      <w:b/>
      <w:sz w:val="22"/>
      <w:szCs w:val="24"/>
    </w:rPr>
  </w:style>
  <w:style w:type="paragraph" w:styleId="Heading5">
    <w:name w:val="heading 5"/>
    <w:basedOn w:val="Normal"/>
    <w:next w:val="Normal"/>
    <w:link w:val="Heading5Char"/>
    <w:rsid w:val="00F053FA"/>
    <w:pPr>
      <w:keepNext/>
      <w:keepLines/>
      <w:spacing w:before="20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717B"/>
    <w:pPr>
      <w:spacing w:after="240"/>
      <w:ind w:left="720"/>
      <w:contextualSpacing/>
    </w:pPr>
    <w:rPr>
      <w:rFonts w:eastAsiaTheme="minorHAnsi" w:cstheme="minorBidi"/>
      <w:szCs w:val="22"/>
    </w:rPr>
  </w:style>
  <w:style w:type="table" w:styleId="TableGrid">
    <w:name w:val="Table Grid"/>
    <w:basedOn w:val="TableNormal"/>
    <w:uiPriority w:val="59"/>
    <w:rsid w:val="0020717B"/>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0717B"/>
    <w:pPr>
      <w:spacing w:after="0"/>
    </w:pPr>
    <w:rPr>
      <w:sz w:val="16"/>
      <w:szCs w:val="22"/>
    </w:rPr>
  </w:style>
  <w:style w:type="character" w:customStyle="1" w:styleId="FootnoteTextChar">
    <w:name w:val="Footnote Text Char"/>
    <w:basedOn w:val="DefaultParagraphFont"/>
    <w:link w:val="FootnoteText"/>
    <w:uiPriority w:val="99"/>
    <w:rsid w:val="0020717B"/>
    <w:rPr>
      <w:rFonts w:ascii="Arial" w:eastAsiaTheme="minorEastAsia" w:hAnsi="Arial" w:cs="Times New Roman"/>
      <w:sz w:val="16"/>
      <w:szCs w:val="22"/>
    </w:rPr>
  </w:style>
  <w:style w:type="character" w:styleId="FootnoteReference">
    <w:name w:val="footnote reference"/>
    <w:basedOn w:val="DefaultParagraphFont"/>
    <w:uiPriority w:val="99"/>
    <w:unhideWhenUsed/>
    <w:rsid w:val="0020717B"/>
    <w:rPr>
      <w:vertAlign w:val="superscript"/>
    </w:rPr>
  </w:style>
  <w:style w:type="character" w:customStyle="1" w:styleId="ListParagraphChar">
    <w:name w:val="List Paragraph Char"/>
    <w:basedOn w:val="DefaultParagraphFont"/>
    <w:link w:val="ListParagraph"/>
    <w:uiPriority w:val="34"/>
    <w:rsid w:val="0020717B"/>
    <w:rPr>
      <w:rFonts w:ascii="Arial" w:hAnsi="Arial"/>
      <w:sz w:val="20"/>
      <w:szCs w:val="22"/>
    </w:rPr>
  </w:style>
  <w:style w:type="paragraph" w:styleId="BalloonText">
    <w:name w:val="Balloon Text"/>
    <w:basedOn w:val="Normal"/>
    <w:link w:val="BalloonTextChar"/>
    <w:uiPriority w:val="99"/>
    <w:unhideWhenUsed/>
    <w:rsid w:val="0020717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20717B"/>
    <w:rPr>
      <w:rFonts w:ascii="Lucida Grande" w:eastAsiaTheme="minorEastAsia" w:hAnsi="Lucida Grande" w:cs="Lucida Grande"/>
      <w:sz w:val="18"/>
      <w:szCs w:val="18"/>
    </w:rPr>
  </w:style>
  <w:style w:type="paragraph" w:styleId="Header">
    <w:name w:val="header"/>
    <w:basedOn w:val="Normal"/>
    <w:link w:val="HeaderChar"/>
    <w:uiPriority w:val="99"/>
    <w:unhideWhenUsed/>
    <w:rsid w:val="0020717B"/>
    <w:pPr>
      <w:spacing w:after="0" w:line="288" w:lineRule="auto"/>
      <w:jc w:val="left"/>
    </w:pPr>
    <w:rPr>
      <w:sz w:val="16"/>
    </w:rPr>
  </w:style>
  <w:style w:type="character" w:customStyle="1" w:styleId="HeaderChar">
    <w:name w:val="Header Char"/>
    <w:basedOn w:val="DefaultParagraphFont"/>
    <w:link w:val="Header"/>
    <w:uiPriority w:val="99"/>
    <w:rsid w:val="0020717B"/>
    <w:rPr>
      <w:rFonts w:ascii="Arial" w:eastAsiaTheme="minorEastAsia" w:hAnsi="Arial" w:cs="Times New Roman"/>
      <w:sz w:val="16"/>
      <w:szCs w:val="20"/>
    </w:rPr>
  </w:style>
  <w:style w:type="paragraph" w:styleId="Footer">
    <w:name w:val="footer"/>
    <w:basedOn w:val="Normal"/>
    <w:link w:val="FooterChar"/>
    <w:uiPriority w:val="99"/>
    <w:unhideWhenUsed/>
    <w:rsid w:val="0020717B"/>
    <w:pPr>
      <w:spacing w:after="0"/>
      <w:jc w:val="left"/>
    </w:pPr>
    <w:rPr>
      <w:sz w:val="16"/>
      <w:szCs w:val="18"/>
    </w:rPr>
  </w:style>
  <w:style w:type="character" w:customStyle="1" w:styleId="FooterChar">
    <w:name w:val="Footer Char"/>
    <w:basedOn w:val="DefaultParagraphFont"/>
    <w:link w:val="Footer"/>
    <w:uiPriority w:val="99"/>
    <w:rsid w:val="0020717B"/>
    <w:rPr>
      <w:rFonts w:ascii="Arial" w:eastAsiaTheme="minorEastAsia" w:hAnsi="Arial" w:cs="Times New Roman"/>
      <w:sz w:val="16"/>
      <w:szCs w:val="18"/>
    </w:rPr>
  </w:style>
  <w:style w:type="paragraph" w:customStyle="1" w:styleId="Default">
    <w:name w:val="Default"/>
    <w:rsid w:val="0020717B"/>
    <w:pPr>
      <w:widowControl w:val="0"/>
      <w:autoSpaceDE w:val="0"/>
      <w:autoSpaceDN w:val="0"/>
      <w:adjustRightInd w:val="0"/>
    </w:pPr>
    <w:rPr>
      <w:rFonts w:ascii="Arial" w:eastAsiaTheme="minorEastAsia" w:hAnsi="Arial" w:cs="Arial"/>
      <w:color w:val="000000"/>
    </w:rPr>
  </w:style>
  <w:style w:type="paragraph" w:styleId="CommentText">
    <w:name w:val="annotation text"/>
    <w:basedOn w:val="Normal"/>
    <w:link w:val="CommentTextChar"/>
    <w:uiPriority w:val="99"/>
    <w:unhideWhenUsed/>
    <w:rsid w:val="00E14DDB"/>
    <w:rPr>
      <w:rFonts w:asciiTheme="minorHAnsi" w:hAnsiTheme="minorHAnsi"/>
    </w:rPr>
  </w:style>
  <w:style w:type="character" w:customStyle="1" w:styleId="CommentTextChar">
    <w:name w:val="Comment Text Char"/>
    <w:basedOn w:val="DefaultParagraphFont"/>
    <w:link w:val="CommentText"/>
    <w:uiPriority w:val="99"/>
    <w:rsid w:val="00E14DDB"/>
    <w:rPr>
      <w:rFonts w:eastAsiaTheme="minorEastAsia"/>
    </w:rPr>
  </w:style>
  <w:style w:type="character" w:customStyle="1" w:styleId="Heading1Char">
    <w:name w:val="Heading 1 Char"/>
    <w:basedOn w:val="DefaultParagraphFont"/>
    <w:link w:val="Heading1"/>
    <w:uiPriority w:val="9"/>
    <w:rsid w:val="0020717B"/>
    <w:rPr>
      <w:rFonts w:ascii="Arial" w:eastAsiaTheme="minorEastAsia" w:hAnsi="Arial" w:cs="Times New Roman"/>
      <w:b/>
      <w:sz w:val="40"/>
      <w:szCs w:val="52"/>
    </w:rPr>
  </w:style>
  <w:style w:type="character" w:styleId="Hyperlink">
    <w:name w:val="Hyperlink"/>
    <w:basedOn w:val="DefaultParagraphFont"/>
    <w:uiPriority w:val="99"/>
    <w:unhideWhenUsed/>
    <w:rsid w:val="0020717B"/>
    <w:rPr>
      <w:color w:val="0000FF" w:themeColor="hyperlink"/>
      <w:u w:val="single"/>
    </w:rPr>
  </w:style>
  <w:style w:type="character" w:customStyle="1" w:styleId="Heading5Char">
    <w:name w:val="Heading 5 Char"/>
    <w:basedOn w:val="DefaultParagraphFont"/>
    <w:link w:val="Heading5"/>
    <w:rsid w:val="00F053FA"/>
    <w:rPr>
      <w:rFonts w:asciiTheme="majorHAnsi" w:eastAsiaTheme="majorEastAsia" w:hAnsiTheme="majorHAnsi" w:cstheme="majorBidi"/>
      <w:color w:val="243F60" w:themeColor="accent1" w:themeShade="7F"/>
      <w:lang w:val="en-GB"/>
    </w:rPr>
  </w:style>
  <w:style w:type="character" w:styleId="FollowedHyperlink">
    <w:name w:val="FollowedHyperlink"/>
    <w:basedOn w:val="DefaultParagraphFont"/>
    <w:uiPriority w:val="99"/>
    <w:unhideWhenUsed/>
    <w:rsid w:val="0020717B"/>
    <w:rPr>
      <w:color w:val="800080" w:themeColor="followedHyperlink"/>
      <w:u w:val="single"/>
    </w:rPr>
  </w:style>
  <w:style w:type="character" w:styleId="CommentReference">
    <w:name w:val="annotation reference"/>
    <w:basedOn w:val="DefaultParagraphFont"/>
    <w:uiPriority w:val="99"/>
    <w:semiHidden/>
    <w:unhideWhenUsed/>
    <w:rsid w:val="0020717B"/>
    <w:rPr>
      <w:sz w:val="18"/>
      <w:szCs w:val="18"/>
    </w:rPr>
  </w:style>
  <w:style w:type="paragraph" w:styleId="CommentSubject">
    <w:name w:val="annotation subject"/>
    <w:basedOn w:val="Normal"/>
    <w:link w:val="CommentSubjectChar"/>
    <w:uiPriority w:val="99"/>
    <w:semiHidden/>
    <w:unhideWhenUsed/>
    <w:rsid w:val="0020717B"/>
    <w:rPr>
      <w:b/>
      <w:bCs/>
    </w:rPr>
  </w:style>
  <w:style w:type="character" w:customStyle="1" w:styleId="CommentSubjectChar">
    <w:name w:val="Comment Subject Char"/>
    <w:basedOn w:val="DefaultParagraphFont"/>
    <w:link w:val="CommentSubject"/>
    <w:uiPriority w:val="99"/>
    <w:semiHidden/>
    <w:rsid w:val="0020717B"/>
    <w:rPr>
      <w:rFonts w:ascii="Arial" w:eastAsiaTheme="minorEastAsia" w:hAnsi="Arial" w:cs="Times New Roman"/>
      <w:b/>
      <w:bCs/>
      <w:sz w:val="20"/>
      <w:szCs w:val="20"/>
    </w:rPr>
  </w:style>
  <w:style w:type="character" w:customStyle="1" w:styleId="Heading2Char">
    <w:name w:val="Heading 2 Char"/>
    <w:basedOn w:val="DefaultParagraphFont"/>
    <w:link w:val="Heading2"/>
    <w:uiPriority w:val="9"/>
    <w:rsid w:val="0020717B"/>
    <w:rPr>
      <w:rFonts w:ascii="Arial" w:eastAsiaTheme="minorEastAsia" w:hAnsi="Arial" w:cs="Times New Roman"/>
      <w:b/>
      <w:caps/>
      <w:szCs w:val="26"/>
    </w:rPr>
  </w:style>
  <w:style w:type="character" w:customStyle="1" w:styleId="Heading3Char">
    <w:name w:val="Heading 3 Char"/>
    <w:basedOn w:val="DefaultParagraphFont"/>
    <w:link w:val="Heading3"/>
    <w:uiPriority w:val="9"/>
    <w:rsid w:val="0020717B"/>
    <w:rPr>
      <w:rFonts w:ascii="Arial" w:eastAsiaTheme="minorEastAsia" w:hAnsi="Arial" w:cs="Times New Roman"/>
      <w:b/>
      <w:sz w:val="22"/>
    </w:rPr>
  </w:style>
  <w:style w:type="character" w:styleId="PageNumber">
    <w:name w:val="page number"/>
    <w:basedOn w:val="DefaultParagraphFont"/>
    <w:uiPriority w:val="99"/>
    <w:unhideWhenUsed/>
    <w:rsid w:val="0020717B"/>
    <w:rPr>
      <w:b/>
    </w:rPr>
  </w:style>
  <w:style w:type="paragraph" w:styleId="Revision">
    <w:name w:val="Revision"/>
    <w:hidden/>
    <w:uiPriority w:val="99"/>
    <w:semiHidden/>
    <w:rsid w:val="0020717B"/>
    <w:rPr>
      <w:rFonts w:ascii="Arial" w:eastAsiaTheme="minorEastAsia" w:hAnsi="Arial" w:cs="Arial"/>
      <w:sz w:val="21"/>
      <w:szCs w:val="21"/>
    </w:rPr>
  </w:style>
  <w:style w:type="paragraph" w:customStyle="1" w:styleId="BasicParagraph">
    <w:name w:val="[Basic Paragraph]"/>
    <w:basedOn w:val="Normal"/>
    <w:uiPriority w:val="99"/>
    <w:rsid w:val="0020717B"/>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20717B"/>
    <w:pPr>
      <w:spacing w:before="360" w:after="240"/>
      <w:jc w:val="left"/>
      <w:outlineLvl w:val="0"/>
    </w:pPr>
    <w:rPr>
      <w:b/>
      <w:sz w:val="40"/>
      <w:szCs w:val="52"/>
    </w:rPr>
  </w:style>
  <w:style w:type="paragraph" w:customStyle="1" w:styleId="Bullet1">
    <w:name w:val="Bullet 1"/>
    <w:basedOn w:val="Normal"/>
    <w:rsid w:val="0020717B"/>
    <w:pPr>
      <w:numPr>
        <w:numId w:val="44"/>
      </w:numPr>
      <w:spacing w:before="60"/>
    </w:pPr>
    <w:rPr>
      <w:rFonts w:eastAsia="Times New Roman"/>
      <w:color w:val="000000"/>
    </w:rPr>
  </w:style>
  <w:style w:type="paragraph" w:customStyle="1" w:styleId="RefItem1">
    <w:name w:val="Ref Item 1"/>
    <w:basedOn w:val="Normal"/>
    <w:rsid w:val="0020717B"/>
    <w:pPr>
      <w:jc w:val="left"/>
    </w:pPr>
    <w:rPr>
      <w:color w:val="000000"/>
      <w:szCs w:val="24"/>
      <w:lang w:eastAsia="it-IT"/>
    </w:rPr>
  </w:style>
  <w:style w:type="paragraph" w:customStyle="1" w:styleId="RefTitre">
    <w:name w:val="Ref Titre"/>
    <w:basedOn w:val="Normal"/>
    <w:rsid w:val="0020717B"/>
    <w:pPr>
      <w:jc w:val="left"/>
    </w:pPr>
    <w:rPr>
      <w:rFonts w:eastAsia="Times New Roman"/>
      <w:b/>
      <w:bCs/>
      <w:sz w:val="26"/>
      <w:szCs w:val="26"/>
    </w:rPr>
  </w:style>
  <w:style w:type="paragraph" w:customStyle="1" w:styleId="Header1">
    <w:name w:val="Header 1"/>
    <w:basedOn w:val="Header"/>
    <w:rsid w:val="0020717B"/>
    <w:rPr>
      <w:b/>
      <w:sz w:val="24"/>
      <w:szCs w:val="24"/>
    </w:rPr>
  </w:style>
  <w:style w:type="character" w:customStyle="1" w:styleId="Pantone485">
    <w:name w:val="Pantone 485"/>
    <w:basedOn w:val="DefaultParagraphFont"/>
    <w:uiPriority w:val="1"/>
    <w:qFormat/>
    <w:rsid w:val="0020717B"/>
    <w:rPr>
      <w:rFonts w:cs="Caecilia-Light"/>
      <w:color w:val="DC281E"/>
      <w:szCs w:val="16"/>
    </w:rPr>
  </w:style>
  <w:style w:type="character" w:customStyle="1" w:styleId="H1Char">
    <w:name w:val="H1 Char"/>
    <w:basedOn w:val="DefaultParagraphFont"/>
    <w:link w:val="H1"/>
    <w:rsid w:val="0020717B"/>
    <w:rPr>
      <w:rFonts w:ascii="Arial" w:eastAsiaTheme="minorEastAsia" w:hAnsi="Arial" w:cs="Times New Roman"/>
      <w:b/>
      <w:sz w:val="40"/>
      <w:szCs w:val="52"/>
    </w:rPr>
  </w:style>
  <w:style w:type="table" w:customStyle="1" w:styleId="TableGray">
    <w:name w:val="Table Gray"/>
    <w:basedOn w:val="TableNormal"/>
    <w:uiPriority w:val="99"/>
    <w:rsid w:val="0020717B"/>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20717B"/>
    <w:pPr>
      <w:numPr>
        <w:numId w:val="45"/>
      </w:numPr>
      <w:tabs>
        <w:tab w:val="left" w:pos="7230"/>
      </w:tabs>
      <w:spacing w:before="240"/>
    </w:pPr>
    <w:rPr>
      <w:rFonts w:cs="Arial"/>
    </w:rPr>
  </w:style>
  <w:style w:type="paragraph" w:customStyle="1" w:styleId="ListNumber1">
    <w:name w:val="List Number 1"/>
    <w:basedOn w:val="Normal"/>
    <w:rsid w:val="0020717B"/>
    <w:pPr>
      <w:numPr>
        <w:ilvl w:val="1"/>
        <w:numId w:val="42"/>
      </w:numPr>
      <w:contextualSpacing/>
    </w:pPr>
    <w:rPr>
      <w:rFonts w:eastAsiaTheme="minorHAnsi" w:cstheme="minorHAnsi"/>
      <w:szCs w:val="22"/>
    </w:rPr>
  </w:style>
  <w:style w:type="paragraph" w:customStyle="1" w:styleId="NormalNo">
    <w:name w:val="Normal + No"/>
    <w:basedOn w:val="Normal"/>
    <w:qFormat/>
    <w:rsid w:val="0020717B"/>
    <w:pPr>
      <w:numPr>
        <w:numId w:val="43"/>
      </w:numPr>
    </w:pPr>
    <w:rPr>
      <w:rFonts w:eastAsia="MS Mincho"/>
      <w:b/>
      <w:sz w:val="22"/>
    </w:rPr>
  </w:style>
  <w:style w:type="paragraph" w:customStyle="1" w:styleId="Bullet3">
    <w:name w:val="Bullet 3"/>
    <w:basedOn w:val="ListParagraph"/>
    <w:qFormat/>
    <w:rsid w:val="0020717B"/>
    <w:pPr>
      <w:numPr>
        <w:numId w:val="46"/>
      </w:numPr>
      <w:spacing w:before="120" w:after="120"/>
      <w:ind w:right="425"/>
    </w:pPr>
    <w:rPr>
      <w:rFonts w:cs="Arial"/>
      <w:i/>
      <w:iCs/>
    </w:rPr>
  </w:style>
  <w:style w:type="paragraph" w:customStyle="1" w:styleId="Indent">
    <w:name w:val="Indent"/>
    <w:basedOn w:val="Normal"/>
    <w:qFormat/>
    <w:rsid w:val="0020717B"/>
    <w:pPr>
      <w:ind w:left="567"/>
    </w:pPr>
    <w:rPr>
      <w:rFonts w:cs="Arial"/>
      <w:b/>
    </w:rPr>
  </w:style>
  <w:style w:type="paragraph" w:customStyle="1" w:styleId="TitreTableau">
    <w:name w:val="Titre Tableau"/>
    <w:basedOn w:val="Normal"/>
    <w:qFormat/>
    <w:rsid w:val="0020717B"/>
    <w:pPr>
      <w:spacing w:before="120"/>
      <w:jc w:val="center"/>
    </w:pPr>
    <w:rPr>
      <w:rFonts w:cs="Arial"/>
      <w:b/>
      <w:bCs/>
      <w:color w:val="FFFFFF" w:themeColor="background1"/>
      <w:lang w:val="en-CA"/>
    </w:rPr>
  </w:style>
  <w:style w:type="paragraph" w:customStyle="1" w:styleId="BulletTableau">
    <w:name w:val="Bullet Tableau"/>
    <w:basedOn w:val="Bullet2"/>
    <w:qFormat/>
    <w:rsid w:val="0020717B"/>
    <w:pPr>
      <w:keepNext/>
      <w:keepLines/>
      <w:framePr w:hSpace="141" w:wrap="around" w:vAnchor="text" w:hAnchor="margin" w:y="402"/>
      <w:numPr>
        <w:numId w:val="47"/>
      </w:numPr>
      <w:spacing w:beforeLines="60" w:afterLines="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39335">
      <w:bodyDiv w:val="1"/>
      <w:marLeft w:val="0"/>
      <w:marRight w:val="0"/>
      <w:marTop w:val="0"/>
      <w:marBottom w:val="0"/>
      <w:divBdr>
        <w:top w:val="none" w:sz="0" w:space="0" w:color="auto"/>
        <w:left w:val="none" w:sz="0" w:space="0" w:color="auto"/>
        <w:bottom w:val="none" w:sz="0" w:space="0" w:color="auto"/>
        <w:right w:val="none" w:sz="0" w:space="0" w:color="auto"/>
      </w:divBdr>
    </w:div>
    <w:div w:id="168565393">
      <w:bodyDiv w:val="1"/>
      <w:marLeft w:val="0"/>
      <w:marRight w:val="0"/>
      <w:marTop w:val="0"/>
      <w:marBottom w:val="0"/>
      <w:divBdr>
        <w:top w:val="none" w:sz="0" w:space="0" w:color="auto"/>
        <w:left w:val="none" w:sz="0" w:space="0" w:color="auto"/>
        <w:bottom w:val="none" w:sz="0" w:space="0" w:color="auto"/>
        <w:right w:val="none" w:sz="0" w:space="0" w:color="auto"/>
      </w:divBdr>
    </w:div>
    <w:div w:id="335619331">
      <w:bodyDiv w:val="1"/>
      <w:marLeft w:val="0"/>
      <w:marRight w:val="0"/>
      <w:marTop w:val="0"/>
      <w:marBottom w:val="0"/>
      <w:divBdr>
        <w:top w:val="none" w:sz="0" w:space="0" w:color="auto"/>
        <w:left w:val="none" w:sz="0" w:space="0" w:color="auto"/>
        <w:bottom w:val="none" w:sz="0" w:space="0" w:color="auto"/>
        <w:right w:val="none" w:sz="0" w:space="0" w:color="auto"/>
      </w:divBdr>
    </w:div>
    <w:div w:id="980379860">
      <w:bodyDiv w:val="1"/>
      <w:marLeft w:val="0"/>
      <w:marRight w:val="0"/>
      <w:marTop w:val="0"/>
      <w:marBottom w:val="0"/>
      <w:divBdr>
        <w:top w:val="none" w:sz="0" w:space="0" w:color="auto"/>
        <w:left w:val="none" w:sz="0" w:space="0" w:color="auto"/>
        <w:bottom w:val="none" w:sz="0" w:space="0" w:color="auto"/>
        <w:right w:val="none" w:sz="0" w:space="0" w:color="auto"/>
      </w:divBdr>
    </w:div>
    <w:div w:id="1290237935">
      <w:bodyDiv w:val="1"/>
      <w:marLeft w:val="0"/>
      <w:marRight w:val="0"/>
      <w:marTop w:val="0"/>
      <w:marBottom w:val="0"/>
      <w:divBdr>
        <w:top w:val="none" w:sz="0" w:space="0" w:color="auto"/>
        <w:left w:val="none" w:sz="0" w:space="0" w:color="auto"/>
        <w:bottom w:val="none" w:sz="0" w:space="0" w:color="auto"/>
        <w:right w:val="none" w:sz="0" w:space="0" w:color="auto"/>
      </w:divBdr>
    </w:div>
    <w:div w:id="1436515835">
      <w:bodyDiv w:val="1"/>
      <w:marLeft w:val="0"/>
      <w:marRight w:val="0"/>
      <w:marTop w:val="0"/>
      <w:marBottom w:val="0"/>
      <w:divBdr>
        <w:top w:val="none" w:sz="0" w:space="0" w:color="auto"/>
        <w:left w:val="none" w:sz="0" w:space="0" w:color="auto"/>
        <w:bottom w:val="none" w:sz="0" w:space="0" w:color="auto"/>
        <w:right w:val="none" w:sz="0" w:space="0" w:color="auto"/>
      </w:divBdr>
    </w:div>
    <w:div w:id="156017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dihpn.org/documents%2Fgpr1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frc.org/Global/Publications/disasters/finance/cash-guidelines-en.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ICRC_Template.dotx</Template>
  <TotalTime>752</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Independent Consultant</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Creti Pantaleo</dc:creator>
  <cp:keywords/>
  <cp:lastModifiedBy>Claire HOLMAN</cp:lastModifiedBy>
  <cp:revision>57</cp:revision>
  <cp:lastPrinted>2015-09-23T22:14:00Z</cp:lastPrinted>
  <dcterms:created xsi:type="dcterms:W3CDTF">2015-05-28T10:35:00Z</dcterms:created>
  <dcterms:modified xsi:type="dcterms:W3CDTF">2016-07-27T09:00:00Z</dcterms:modified>
</cp:coreProperties>
</file>