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3B" w:rsidRPr="00AC04B8" w:rsidRDefault="0093643B" w:rsidP="00AC04B8">
      <w:pPr>
        <w:pStyle w:val="H1"/>
        <w:bidi/>
        <w:jc w:val="both"/>
        <w:rPr>
          <w:rFonts w:cs="Arial"/>
          <w:sz w:val="28"/>
          <w:szCs w:val="28"/>
          <w:shd w:val="clear" w:color="auto" w:fill="FFFFFF"/>
          <w:rtl/>
          <w:lang w:eastAsia="it-IT"/>
        </w:rPr>
      </w:pPr>
      <w:r w:rsidRPr="00AC04B8">
        <w:rPr>
          <w:rFonts w:cs="Arial"/>
          <w:noProof/>
          <w:sz w:val="28"/>
          <w:szCs w:val="28"/>
          <w:shd w:val="clear" w:color="auto" w:fill="FFFFFF"/>
          <w:rtl/>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-196215</wp:posOffset>
            </wp:positionV>
            <wp:extent cx="2466975" cy="47625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_logo_AR-300dpi.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2530" cy="474980"/>
                    </a:xfrm>
                    <a:prstGeom prst="rect">
                      <a:avLst/>
                    </a:prstGeom>
                  </pic:spPr>
                </pic:pic>
              </a:graphicData>
            </a:graphic>
          </wp:anchor>
        </w:drawing>
      </w:r>
      <w:r w:rsidRPr="00AC04B8">
        <w:rPr>
          <w:rFonts w:cs="Arial"/>
          <w:noProof/>
          <w:sz w:val="28"/>
          <w:szCs w:val="28"/>
          <w:shd w:val="clear" w:color="auto" w:fill="FFFFFF"/>
          <w:rtl/>
        </w:rPr>
        <w:drawing>
          <wp:anchor distT="0" distB="0" distL="114300" distR="114300" simplePos="0" relativeHeight="251659264" behindDoc="0" locked="0" layoutInCell="1" allowOverlap="1">
            <wp:simplePos x="0" y="0"/>
            <wp:positionH relativeFrom="column">
              <wp:posOffset>5213985</wp:posOffset>
            </wp:positionH>
            <wp:positionV relativeFrom="paragraph">
              <wp:posOffset>-520065</wp:posOffset>
            </wp:positionV>
            <wp:extent cx="981075" cy="952500"/>
            <wp:effectExtent l="19050" t="0" r="9525" b="0"/>
            <wp:wrapNone/>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1075" cy="952500"/>
                    </a:xfrm>
                    <a:prstGeom prst="rect">
                      <a:avLst/>
                    </a:prstGeom>
                  </pic:spPr>
                </pic:pic>
              </a:graphicData>
            </a:graphic>
          </wp:anchor>
        </w:drawing>
      </w:r>
    </w:p>
    <w:p w:rsidR="0093643B" w:rsidRPr="00AC04B8" w:rsidRDefault="0093643B" w:rsidP="00AC04B8">
      <w:pPr>
        <w:pStyle w:val="H1"/>
        <w:bidi/>
        <w:jc w:val="both"/>
        <w:rPr>
          <w:rFonts w:cs="Arial"/>
          <w:sz w:val="28"/>
          <w:szCs w:val="28"/>
          <w:rtl/>
        </w:rPr>
      </w:pPr>
      <w:r w:rsidRPr="00AC04B8">
        <w:rPr>
          <w:rFonts w:cs="Arial"/>
          <w:color w:val="DC281E"/>
          <w:sz w:val="28"/>
          <w:szCs w:val="28"/>
          <w:rtl/>
        </w:rPr>
        <w:t>مجموعة الأدوات المرتبطة بالتحويلات النقدية في حالات الطوارئ</w:t>
      </w:r>
    </w:p>
    <w:p w:rsidR="00A00DDE" w:rsidRPr="00AC04B8" w:rsidRDefault="00A00DDE" w:rsidP="00AC04B8">
      <w:pPr>
        <w:pStyle w:val="H1"/>
        <w:bidi/>
        <w:jc w:val="center"/>
        <w:rPr>
          <w:rFonts w:cs="Arial"/>
          <w:b w:val="0"/>
          <w:bCs/>
          <w:sz w:val="28"/>
          <w:szCs w:val="28"/>
          <w:shd w:val="clear" w:color="auto" w:fill="FFFFFF"/>
          <w:lang w:eastAsia="it-IT"/>
        </w:rPr>
      </w:pPr>
      <w:r w:rsidRPr="00AC04B8">
        <w:rPr>
          <w:rFonts w:cs="Arial"/>
          <w:b w:val="0"/>
          <w:bCs/>
          <w:sz w:val="28"/>
          <w:szCs w:val="28"/>
          <w:shd w:val="clear" w:color="auto" w:fill="FFFFFF"/>
          <w:rtl/>
          <w:lang w:eastAsia="it-IT"/>
        </w:rPr>
        <w:t>خارطة الطريق الخاصة بمقد</w:t>
      </w:r>
      <w:r w:rsidR="0060769A">
        <w:rPr>
          <w:rFonts w:cs="Arial" w:hint="cs"/>
          <w:b w:val="0"/>
          <w:bCs/>
          <w:sz w:val="28"/>
          <w:szCs w:val="28"/>
          <w:shd w:val="clear" w:color="auto" w:fill="FFFFFF"/>
          <w:rtl/>
          <w:lang w:eastAsia="it-IT"/>
        </w:rPr>
        <w:t>م</w:t>
      </w:r>
      <w:r w:rsidRPr="00AC04B8">
        <w:rPr>
          <w:rFonts w:cs="Arial"/>
          <w:b w:val="0"/>
          <w:bCs/>
          <w:sz w:val="28"/>
          <w:szCs w:val="28"/>
          <w:shd w:val="clear" w:color="auto" w:fill="FFFFFF"/>
          <w:rtl/>
          <w:lang w:eastAsia="it-IT"/>
        </w:rPr>
        <w:t>ي الخدمات، والقدرة التنظيمية، وتحليل المخاطر</w:t>
      </w:r>
    </w:p>
    <w:p w:rsidR="00E66A9A" w:rsidRPr="00AC04B8" w:rsidRDefault="0062508F" w:rsidP="00AC04B8">
      <w:pPr>
        <w:bidi/>
        <w:ind w:left="-170"/>
        <w:rPr>
          <w:rFonts w:cs="Arial"/>
          <w:sz w:val="28"/>
          <w:szCs w:val="28"/>
        </w:rPr>
      </w:pPr>
      <w:r w:rsidRPr="0062508F">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05pt;height:249.5pt">
            <v:imagedata r:id="rId10" o:title="02-Assessment-rodmap-EN4"/>
          </v:shape>
        </w:pict>
      </w:r>
    </w:p>
    <w:p w:rsidR="00C83F9A" w:rsidRPr="00AC04B8" w:rsidRDefault="00121183" w:rsidP="00AC04B8">
      <w:pPr>
        <w:pStyle w:val="Heading2"/>
        <w:bidi/>
        <w:spacing w:before="480"/>
        <w:jc w:val="both"/>
        <w:rPr>
          <w:rFonts w:cs="Arial"/>
          <w:b w:val="0"/>
          <w:bCs/>
          <w:sz w:val="28"/>
          <w:szCs w:val="28"/>
          <w:rtl/>
        </w:rPr>
      </w:pPr>
      <w:r w:rsidRPr="00AC04B8">
        <w:rPr>
          <w:rFonts w:cs="Arial"/>
          <w:b w:val="0"/>
          <w:bCs/>
          <w:sz w:val="28"/>
          <w:szCs w:val="28"/>
          <w:rtl/>
        </w:rPr>
        <w:t>المقدمة</w:t>
      </w:r>
    </w:p>
    <w:p w:rsidR="00121183" w:rsidRPr="00AC04B8" w:rsidRDefault="00121183" w:rsidP="00AC04B8">
      <w:pPr>
        <w:bidi/>
        <w:rPr>
          <w:rFonts w:cs="Arial"/>
          <w:sz w:val="28"/>
          <w:szCs w:val="28"/>
        </w:rPr>
      </w:pPr>
      <w:r w:rsidRPr="00AC04B8">
        <w:rPr>
          <w:rFonts w:cs="Arial"/>
          <w:sz w:val="28"/>
          <w:szCs w:val="28"/>
          <w:rtl/>
        </w:rPr>
        <w:t xml:space="preserve">عند إجراء تقييم، من المهم فهم القدرات المتاحة لتنفيذ التدخلات النقدية والمخاطر المرتبطة بالاستجابة النقدية. </w:t>
      </w:r>
      <w:r w:rsidR="009400AD" w:rsidRPr="00AC04B8">
        <w:rPr>
          <w:rFonts w:cs="Arial"/>
          <w:sz w:val="28"/>
          <w:szCs w:val="28"/>
          <w:rtl/>
        </w:rPr>
        <w:t xml:space="preserve">وهذا يتطلب توسيع نطاق التقييم ليشمل هذه المسائل وإجراء تقييمات منفصلة للقدرات حين يلزم الأمر. في هذه المرحلة، </w:t>
      </w:r>
      <w:r w:rsidR="002D6A1E" w:rsidRPr="00AC04B8">
        <w:rPr>
          <w:rFonts w:cs="Arial"/>
          <w:sz w:val="28"/>
          <w:szCs w:val="28"/>
          <w:rtl/>
        </w:rPr>
        <w:t>يمكن اللجوء إلى المعلومات ذات الصلة التي جمعت في مرحلة التأهب، على أن تخضع هذه المعلومات للتحديث المستمر والتكييف مع السياق.</w:t>
      </w:r>
    </w:p>
    <w:p w:rsidR="006327BB" w:rsidRPr="00AC04B8" w:rsidRDefault="00FF06BD" w:rsidP="00AC04B8">
      <w:pPr>
        <w:bidi/>
        <w:rPr>
          <w:rFonts w:cs="Arial"/>
          <w:sz w:val="28"/>
          <w:szCs w:val="28"/>
          <w:rtl/>
        </w:rPr>
      </w:pPr>
      <w:r w:rsidRPr="00AC04B8">
        <w:rPr>
          <w:rFonts w:cs="Arial"/>
          <w:sz w:val="28"/>
          <w:szCs w:val="28"/>
          <w:rtl/>
        </w:rPr>
        <w:t>ويسمح تقييم القدرات والمخاطر بتقديم المعلومات الأساسية لمراحل التصميم والتنفيذ. لذلك يجب إجراء هذا التقييم باستمرار مع العلم أن درجة سرعته تختلف باختلاف المعلومات والموارد المتاحة، وسياق الاستجابة ونطاقها. في هذا السياق تحدد خارطة الطريق هذه بعض المعايير الدنيا الضرورية لهذا الغرض.</w:t>
      </w:r>
    </w:p>
    <w:p w:rsidR="00FF06BD" w:rsidRPr="00AC04B8" w:rsidRDefault="00FF06BD" w:rsidP="00AC04B8">
      <w:pPr>
        <w:bidi/>
        <w:rPr>
          <w:rFonts w:cs="Arial"/>
          <w:sz w:val="28"/>
          <w:szCs w:val="28"/>
          <w:rtl/>
        </w:rPr>
      </w:pPr>
      <w:r w:rsidRPr="00AC04B8">
        <w:rPr>
          <w:rFonts w:cs="Arial"/>
          <w:sz w:val="28"/>
          <w:szCs w:val="28"/>
          <w:rtl/>
        </w:rPr>
        <w:t xml:space="preserve">وجمعت مكونات تقييم القدرات والمحاطر في ثلاث خطوات فرعية ترفق كل منها بمجموعة من الأدوات. وتركز الخطوة الفرعية الأولى على فهم قدرة مقدم الخدمات على دعم الاستجابة النقدية. وبدورها، تركز الخطوة الفرعية الثانية على تقييم قدرات الوكالة والشركاء على تنفيذ الاستجابة النقدية بالوقت المناسب وعلى النطاق المطلوب. </w:t>
      </w:r>
      <w:r w:rsidR="00EB20DB" w:rsidRPr="00AC04B8">
        <w:rPr>
          <w:rFonts w:cs="Arial"/>
          <w:sz w:val="28"/>
          <w:szCs w:val="28"/>
          <w:rtl/>
        </w:rPr>
        <w:t xml:space="preserve">أما الخطوة الفرعية الثالثة فتركز على المخاطر المرتبطة بالاستجابة النقدية. </w:t>
      </w:r>
    </w:p>
    <w:p w:rsidR="00F65917" w:rsidRPr="00AC04B8" w:rsidRDefault="00F65917" w:rsidP="00AC04B8">
      <w:pPr>
        <w:bidi/>
        <w:rPr>
          <w:rFonts w:cs="Arial"/>
          <w:sz w:val="28"/>
          <w:szCs w:val="28"/>
        </w:rPr>
      </w:pPr>
      <w:r w:rsidRPr="00AC04B8">
        <w:rPr>
          <w:rFonts w:cs="Arial"/>
          <w:sz w:val="28"/>
          <w:szCs w:val="28"/>
          <w:rtl/>
        </w:rPr>
        <w:t>وللحصول على المزيد من التوجيهات حول تقييم القدرات والمخاطر، يمكن اللجوء إلى الوثائق المرجعية المقترحة في نهاية خارطة الطريق.</w:t>
      </w:r>
    </w:p>
    <w:p w:rsidR="00CE1C9B" w:rsidRPr="00AC04B8" w:rsidRDefault="00CE1C9B" w:rsidP="00AC04B8">
      <w:pPr>
        <w:bidi/>
        <w:rPr>
          <w:rFonts w:cs="Arial"/>
          <w:sz w:val="28"/>
          <w:szCs w:val="28"/>
        </w:rPr>
      </w:pPr>
    </w:p>
    <w:p w:rsidR="00582E27" w:rsidRPr="00AC04B8" w:rsidRDefault="00F16351" w:rsidP="00AC04B8">
      <w:pPr>
        <w:pStyle w:val="Heading2"/>
        <w:pBdr>
          <w:top w:val="none" w:sz="0" w:space="0" w:color="auto"/>
        </w:pBdr>
        <w:bidi/>
        <w:jc w:val="both"/>
        <w:rPr>
          <w:rFonts w:eastAsiaTheme="minorHAnsi" w:cs="Arial"/>
          <w:b w:val="0"/>
          <w:bCs/>
          <w:caps w:val="0"/>
          <w:sz w:val="28"/>
          <w:szCs w:val="28"/>
          <w:shd w:val="clear" w:color="auto" w:fill="auto"/>
          <w:rtl/>
        </w:rPr>
      </w:pPr>
      <w:r w:rsidRPr="00AC04B8">
        <w:rPr>
          <w:rFonts w:cs="Arial"/>
          <w:b w:val="0"/>
          <w:bCs/>
          <w:sz w:val="28"/>
          <w:szCs w:val="28"/>
          <w:rtl/>
        </w:rPr>
        <w:lastRenderedPageBreak/>
        <w:t>المعايير الدنيا</w:t>
      </w:r>
    </w:p>
    <w:p w:rsidR="00CD508B" w:rsidRPr="00AC04B8" w:rsidRDefault="00CD508B" w:rsidP="00150F95">
      <w:pPr>
        <w:pStyle w:val="Heading2"/>
        <w:numPr>
          <w:ilvl w:val="0"/>
          <w:numId w:val="7"/>
        </w:numPr>
        <w:pBdr>
          <w:top w:val="none" w:sz="0" w:space="0" w:color="auto"/>
        </w:pBdr>
        <w:bidi/>
        <w:jc w:val="both"/>
        <w:rPr>
          <w:rFonts w:eastAsiaTheme="minorHAnsi" w:cs="Arial"/>
          <w:b w:val="0"/>
          <w:caps w:val="0"/>
          <w:sz w:val="28"/>
          <w:szCs w:val="28"/>
          <w:shd w:val="clear" w:color="auto" w:fill="auto"/>
          <w:rtl/>
        </w:rPr>
      </w:pPr>
      <w:r w:rsidRPr="00AC04B8">
        <w:rPr>
          <w:rFonts w:cs="Arial"/>
          <w:sz w:val="28"/>
          <w:szCs w:val="28"/>
          <w:rtl/>
        </w:rPr>
        <w:t>إجراء تقيمم للقدرات والخاطر يشمل الأقسام المختلفة المعنية (لاسيما قسمي الشؤون اللوجيستية والمالية)، قبل إجراء تحليل الاستجابة.</w:t>
      </w:r>
    </w:p>
    <w:p w:rsidR="00CD508B" w:rsidRPr="00AC04B8" w:rsidRDefault="00CD508B" w:rsidP="00150F95">
      <w:pPr>
        <w:pStyle w:val="ListParagraph"/>
        <w:numPr>
          <w:ilvl w:val="0"/>
          <w:numId w:val="7"/>
        </w:numPr>
        <w:bidi/>
        <w:rPr>
          <w:rFonts w:cs="Arial"/>
          <w:sz w:val="28"/>
          <w:szCs w:val="28"/>
        </w:rPr>
      </w:pPr>
      <w:r w:rsidRPr="00AC04B8">
        <w:rPr>
          <w:rFonts w:cs="Arial"/>
          <w:sz w:val="28"/>
          <w:szCs w:val="28"/>
          <w:rtl/>
        </w:rPr>
        <w:t>يجب وضع المعلومات التي جمعت من مقدمي الخدمات، والمعلومات الثانوية، والمعلومات التي جمعت على مستوى المجتمع، بشكل مثلث.</w:t>
      </w:r>
    </w:p>
    <w:p w:rsidR="00CD508B" w:rsidRPr="00AC04B8" w:rsidRDefault="00582E27" w:rsidP="00150F95">
      <w:pPr>
        <w:pStyle w:val="ListParagraph"/>
        <w:numPr>
          <w:ilvl w:val="0"/>
          <w:numId w:val="7"/>
        </w:numPr>
        <w:bidi/>
        <w:rPr>
          <w:rFonts w:cs="Arial"/>
          <w:sz w:val="28"/>
          <w:szCs w:val="28"/>
        </w:rPr>
      </w:pPr>
      <w:r w:rsidRPr="00AC04B8">
        <w:rPr>
          <w:rFonts w:cs="Arial"/>
          <w:sz w:val="28"/>
          <w:szCs w:val="28"/>
          <w:rtl/>
        </w:rPr>
        <w:t>عند تقييم الخدمات المالية، يجب الأخذ في الاعتبار الخدمات الرسمية وغير الرسمية التي يلجأ إليها السكان المتضررين من الصدمة.</w:t>
      </w:r>
    </w:p>
    <w:p w:rsidR="00582E27" w:rsidRPr="00AC04B8" w:rsidRDefault="00AF4812" w:rsidP="00150F95">
      <w:pPr>
        <w:pStyle w:val="ListParagraph"/>
        <w:numPr>
          <w:ilvl w:val="0"/>
          <w:numId w:val="7"/>
        </w:numPr>
        <w:bidi/>
        <w:rPr>
          <w:rFonts w:cs="Arial"/>
          <w:sz w:val="28"/>
          <w:szCs w:val="28"/>
        </w:rPr>
      </w:pPr>
      <w:r w:rsidRPr="00AC04B8">
        <w:rPr>
          <w:rFonts w:cs="Arial"/>
          <w:sz w:val="28"/>
          <w:szCs w:val="28"/>
          <w:rtl/>
        </w:rPr>
        <w:t>عند تقييم قدرات مقدمي الخدمات، يجب التأكد من أن أخذ شؤون حماية البيانات في الاعتبار.</w:t>
      </w:r>
    </w:p>
    <w:p w:rsidR="00AF4812" w:rsidRPr="00AC04B8" w:rsidRDefault="00AF4812" w:rsidP="00150F95">
      <w:pPr>
        <w:pStyle w:val="ListParagraph"/>
        <w:numPr>
          <w:ilvl w:val="0"/>
          <w:numId w:val="7"/>
        </w:numPr>
        <w:bidi/>
        <w:rPr>
          <w:rFonts w:cs="Arial"/>
          <w:sz w:val="28"/>
          <w:szCs w:val="28"/>
        </w:rPr>
      </w:pPr>
      <w:r w:rsidRPr="00AC04B8">
        <w:rPr>
          <w:rFonts w:cs="Arial"/>
          <w:sz w:val="28"/>
          <w:szCs w:val="28"/>
          <w:rtl/>
        </w:rPr>
        <w:t xml:space="preserve">يجب أن تشمل المناقشات حول قدرات جهات التنظيم والشركاء </w:t>
      </w:r>
      <w:r w:rsidR="004978DD" w:rsidRPr="00AC04B8">
        <w:rPr>
          <w:rFonts w:cs="Arial"/>
          <w:sz w:val="28"/>
          <w:szCs w:val="28"/>
          <w:rtl/>
        </w:rPr>
        <w:t>ا</w:t>
      </w:r>
      <w:r w:rsidRPr="00AC04B8">
        <w:rPr>
          <w:rFonts w:cs="Arial"/>
          <w:sz w:val="28"/>
          <w:szCs w:val="28"/>
          <w:rtl/>
        </w:rPr>
        <w:t>لمدراء المعنيين لضمان إمعان النظر في الفرص والمخاطر والتوجه الاستراتيجي.</w:t>
      </w:r>
    </w:p>
    <w:p w:rsidR="00A22FB8" w:rsidRPr="00AC04B8" w:rsidRDefault="004978DD" w:rsidP="00150F95">
      <w:pPr>
        <w:pStyle w:val="ListParagraph"/>
        <w:numPr>
          <w:ilvl w:val="0"/>
          <w:numId w:val="7"/>
        </w:numPr>
        <w:bidi/>
        <w:rPr>
          <w:rFonts w:cs="Arial"/>
          <w:sz w:val="28"/>
          <w:szCs w:val="28"/>
          <w:rtl/>
        </w:rPr>
      </w:pPr>
      <w:r w:rsidRPr="00AC04B8">
        <w:rPr>
          <w:rFonts w:cs="Arial"/>
          <w:sz w:val="28"/>
          <w:szCs w:val="28"/>
          <w:rtl/>
        </w:rPr>
        <w:t>يبدأ تحليل المخاطر بتحديد المخاطر على المستوى الكلي وإشمال تلك المرتبطة مباشرة مع الاستجابة النقدية في السياق المطروح.</w:t>
      </w:r>
    </w:p>
    <w:p w:rsidR="00E222B1" w:rsidRPr="00AC04B8" w:rsidRDefault="00E222B1" w:rsidP="00AC04B8">
      <w:pPr>
        <w:bidi/>
        <w:rPr>
          <w:rFonts w:cs="Arial"/>
          <w:b/>
          <w:bCs/>
          <w:sz w:val="28"/>
          <w:szCs w:val="28"/>
          <w:rtl/>
        </w:rPr>
      </w:pPr>
      <w:r w:rsidRPr="00AC04B8">
        <w:rPr>
          <w:rFonts w:cs="Arial"/>
          <w:b/>
          <w:bCs/>
          <w:sz w:val="28"/>
          <w:szCs w:val="28"/>
          <w:rtl/>
        </w:rPr>
        <w:t>الخطوات الفرعية والأدوات</w:t>
      </w:r>
    </w:p>
    <w:p w:rsidR="00E222B1" w:rsidRPr="00AC04B8" w:rsidRDefault="00E222B1" w:rsidP="00AC04B8">
      <w:pPr>
        <w:bidi/>
        <w:rPr>
          <w:rFonts w:cs="Arial"/>
          <w:b/>
          <w:bCs/>
          <w:sz w:val="28"/>
          <w:szCs w:val="28"/>
          <w:rtl/>
        </w:rPr>
      </w:pPr>
      <w:r w:rsidRPr="00AC04B8">
        <w:rPr>
          <w:rFonts w:cs="Arial"/>
          <w:b/>
          <w:bCs/>
          <w:sz w:val="28"/>
          <w:szCs w:val="28"/>
          <w:rtl/>
        </w:rPr>
        <w:t>تقييم المخاطر المالية</w:t>
      </w:r>
      <w:r w:rsidR="00BC72B7" w:rsidRPr="00AC04B8">
        <w:rPr>
          <w:rFonts w:cs="Arial"/>
          <w:b/>
          <w:bCs/>
          <w:sz w:val="28"/>
          <w:szCs w:val="28"/>
          <w:rtl/>
        </w:rPr>
        <w:t xml:space="preserve"> </w:t>
      </w:r>
    </w:p>
    <w:p w:rsidR="006D4963" w:rsidRPr="00AC04B8" w:rsidRDefault="006D4963" w:rsidP="00AC04B8">
      <w:pPr>
        <w:bidi/>
        <w:rPr>
          <w:rFonts w:cs="Arial"/>
          <w:sz w:val="28"/>
          <w:szCs w:val="28"/>
          <w:rtl/>
        </w:rPr>
      </w:pPr>
      <w:r w:rsidRPr="00AC04B8">
        <w:rPr>
          <w:rFonts w:cs="Arial"/>
          <w:sz w:val="28"/>
          <w:szCs w:val="28"/>
          <w:rtl/>
        </w:rPr>
        <w:t xml:space="preserve">من المفترض أن يسمح التقييم الأولي لمقدمي الخدمات المالية، بما فيهم مشغلي الهواتف المحمولة، بفهم السياق العملي، من ناحية الخدمات المقدمة، ونطاق التغطية، والتكاليف، والجوانب القانونية والمتعلقة بحماية البيانات. </w:t>
      </w:r>
      <w:r w:rsidR="00DE2A29" w:rsidRPr="00AC04B8">
        <w:rPr>
          <w:rFonts w:cs="Arial"/>
          <w:sz w:val="28"/>
          <w:szCs w:val="28"/>
          <w:rtl/>
        </w:rPr>
        <w:t xml:space="preserve">وتقوم الأقسام المساندة (قسمي الشؤون المالية واللوجيستية)، نسبة إلى خبرتها في هذا المجال، بدور هام </w:t>
      </w:r>
      <w:r w:rsidR="00A63F9D" w:rsidRPr="00AC04B8">
        <w:rPr>
          <w:rFonts w:cs="Arial"/>
          <w:sz w:val="28"/>
          <w:szCs w:val="28"/>
          <w:rtl/>
        </w:rPr>
        <w:t xml:space="preserve">وأحياناً بدور أساسي في تقييم قدرات مقدمي الخدمات المالية. </w:t>
      </w:r>
      <w:r w:rsidR="00EB2BF9" w:rsidRPr="00AC04B8">
        <w:rPr>
          <w:rFonts w:cs="Arial"/>
          <w:sz w:val="28"/>
          <w:szCs w:val="28"/>
          <w:rtl/>
        </w:rPr>
        <w:t>وتحدد المهام والمسؤوليات في التدابير التشغيلية المعيارية.</w:t>
      </w:r>
    </w:p>
    <w:p w:rsidR="00EB2BF9" w:rsidRPr="00AC04B8" w:rsidRDefault="00EB2BF9" w:rsidP="00AC04B8">
      <w:pPr>
        <w:bidi/>
        <w:rPr>
          <w:rFonts w:cs="Arial"/>
          <w:sz w:val="28"/>
          <w:szCs w:val="28"/>
          <w:rtl/>
        </w:rPr>
      </w:pPr>
      <w:r w:rsidRPr="00AC04B8">
        <w:rPr>
          <w:rFonts w:cs="Arial"/>
          <w:sz w:val="28"/>
          <w:szCs w:val="28"/>
          <w:rtl/>
        </w:rPr>
        <w:t xml:space="preserve">وفي النهاية، يجب أن يسمح التقييم بتحديد مقدمي الخدمات المالية وقدراتهم على تنفيذ الاستجابة النقدية. وتؤدي </w:t>
      </w:r>
      <w:r w:rsidR="003E5594" w:rsidRPr="00AC04B8">
        <w:rPr>
          <w:rFonts w:cs="Arial"/>
          <w:sz w:val="28"/>
          <w:szCs w:val="28"/>
          <w:rtl/>
        </w:rPr>
        <w:t>هذه المعلومات إلى إ</w:t>
      </w:r>
      <w:r w:rsidRPr="00AC04B8">
        <w:rPr>
          <w:rFonts w:cs="Arial"/>
          <w:sz w:val="28"/>
          <w:szCs w:val="28"/>
          <w:rtl/>
        </w:rPr>
        <w:t xml:space="preserve">ثراء المناقشات المستقبلية ذات الصلة، والقرارات الذي يجب اتخاذها في مرحلة تحليل الاستجابة (الوحدة 3)، </w:t>
      </w:r>
      <w:r w:rsidR="003E5594" w:rsidRPr="00AC04B8">
        <w:rPr>
          <w:rFonts w:cs="Arial"/>
          <w:sz w:val="28"/>
          <w:szCs w:val="28"/>
          <w:rtl/>
        </w:rPr>
        <w:t>وعملية اختيار مقدمي الخدمات المالية النهائي في مرحلة التصميم والتنفيذ (الوحدة 4). ويجب الحرص على إشمال القسم المالي في هذه الإجراءات.</w:t>
      </w:r>
    </w:p>
    <w:p w:rsidR="007165E1" w:rsidRPr="00AC04B8" w:rsidRDefault="00D31268" w:rsidP="00AC04B8">
      <w:pPr>
        <w:bidi/>
        <w:rPr>
          <w:rFonts w:cs="Arial"/>
          <w:sz w:val="28"/>
          <w:szCs w:val="28"/>
          <w:rtl/>
        </w:rPr>
      </w:pPr>
      <w:r w:rsidRPr="00AC04B8">
        <w:rPr>
          <w:rFonts w:cs="Arial"/>
          <w:sz w:val="28"/>
          <w:szCs w:val="28"/>
          <w:rtl/>
        </w:rPr>
        <w:t xml:space="preserve">وتقدم أدوات الخطوات الفرعية مصفوفة تتضمن الجوانب الرئيسية التي يجب أن تخضع للتقييم، والمصادر المحتملة للمعلومات وتعليمات حول نوع البحث (مكتبي أو مبني على المقابلات). كما تتضمن مجموعة من الأسئلة التي يمكن أن توجه المقابلات مع ممثلي مقدمي الخدمات العاملين في </w:t>
      </w:r>
      <w:r w:rsidR="00EC4061" w:rsidRPr="00AC04B8">
        <w:rPr>
          <w:rFonts w:cs="Arial"/>
          <w:sz w:val="28"/>
          <w:szCs w:val="28"/>
          <w:rtl/>
        </w:rPr>
        <w:t>المناطق المتضررة. ويجب أن توحد هذه المعلومات الأولية مع المعلومات الثانوية والمعلومات التي جمعت على مستوى المجتمع والتي تعنى بمقدرة أفراده على الوصول إلى الخدمات المالية واستخدامتهم لها (أدوات الخطوة 2). ولهذا الغرض، يمكن استخدام الجدول ا</w:t>
      </w:r>
      <w:r w:rsidR="00782D6D" w:rsidRPr="00AC04B8">
        <w:rPr>
          <w:rFonts w:cs="Arial"/>
          <w:sz w:val="28"/>
          <w:szCs w:val="28"/>
          <w:rtl/>
        </w:rPr>
        <w:t xml:space="preserve">لمتوفر في أدوات الخطوات الفرعية. بهذا يمكن رسم صورة حول مكان مقدمي الخدمات الجغرافي وقدراتهم على الوصول إلى السكان المتضررين. </w:t>
      </w:r>
    </w:p>
    <w:p w:rsidR="00782D6D" w:rsidRPr="00AC04B8" w:rsidRDefault="00782D6D" w:rsidP="00AC04B8">
      <w:pPr>
        <w:bidi/>
        <w:rPr>
          <w:rFonts w:cs="Arial"/>
          <w:sz w:val="28"/>
          <w:szCs w:val="28"/>
          <w:rtl/>
        </w:rPr>
      </w:pPr>
      <w:r w:rsidRPr="00AC04B8">
        <w:rPr>
          <w:rFonts w:cs="Arial"/>
          <w:sz w:val="28"/>
          <w:szCs w:val="28"/>
          <w:rtl/>
        </w:rPr>
        <w:t xml:space="preserve">ونسبةً إلى تعقد مجال تقديم الخدمات، لا بد من الاستفادة من الخبرة المتاحة في مرحلة التقييم، والتي تمكّن من تسهيل تحديد مقدمي الخدمات المالية واختيارهم. </w:t>
      </w:r>
      <w:r w:rsidR="00D5437F" w:rsidRPr="00AC04B8">
        <w:rPr>
          <w:rFonts w:cs="Arial"/>
          <w:sz w:val="28"/>
          <w:szCs w:val="28"/>
          <w:rtl/>
        </w:rPr>
        <w:t xml:space="preserve">كما لا بد من الحصول على معلومات </w:t>
      </w:r>
      <w:r w:rsidR="003A66DE" w:rsidRPr="00AC04B8">
        <w:rPr>
          <w:rFonts w:cs="Arial"/>
          <w:sz w:val="28"/>
          <w:szCs w:val="28"/>
          <w:rtl/>
        </w:rPr>
        <w:t xml:space="preserve">منمقة حول مقدمي الخدمات </w:t>
      </w:r>
      <w:r w:rsidR="00FF1D5D" w:rsidRPr="00AC04B8">
        <w:rPr>
          <w:rFonts w:cs="Arial"/>
          <w:sz w:val="28"/>
          <w:szCs w:val="28"/>
          <w:rtl/>
        </w:rPr>
        <w:t>والتعاون مع قسمي الشؤون اللوجيستية والمالية. ويمكن الحصول على الأدوات ذات الصلة في الوحدة 4، الخطوة 3.</w:t>
      </w:r>
    </w:p>
    <w:p w:rsidR="00A65DC3" w:rsidRPr="00AC04B8" w:rsidRDefault="00D5437F" w:rsidP="00AC04B8">
      <w:pPr>
        <w:pStyle w:val="Heading3"/>
        <w:bidi/>
        <w:jc w:val="both"/>
        <w:rPr>
          <w:rFonts w:cs="Arial"/>
          <w:b w:val="0"/>
          <w:bCs/>
          <w:sz w:val="28"/>
          <w:szCs w:val="28"/>
          <w:rtl/>
        </w:rPr>
      </w:pPr>
      <w:r w:rsidRPr="00AC04B8">
        <w:rPr>
          <w:rFonts w:cs="Arial"/>
          <w:b w:val="0"/>
          <w:bCs/>
          <w:sz w:val="28"/>
          <w:szCs w:val="28"/>
          <w:rtl/>
        </w:rPr>
        <w:t>تقييم القدرة التنظيمية</w:t>
      </w:r>
    </w:p>
    <w:p w:rsidR="00936FC9" w:rsidRPr="00AC04B8" w:rsidRDefault="00FF1D5D" w:rsidP="00AC04B8">
      <w:pPr>
        <w:bidi/>
        <w:rPr>
          <w:rFonts w:cs="Arial"/>
          <w:color w:val="000000"/>
          <w:sz w:val="28"/>
          <w:szCs w:val="28"/>
        </w:rPr>
      </w:pPr>
      <w:r w:rsidRPr="00AC04B8">
        <w:rPr>
          <w:rFonts w:cs="Arial"/>
          <w:sz w:val="28"/>
          <w:szCs w:val="28"/>
          <w:rtl/>
        </w:rPr>
        <w:t>يعتبر تقييم القدرات التنظيمية والفنية للشركاء والوكالة المنفذة</w:t>
      </w:r>
      <w:r w:rsidR="00206D9F" w:rsidRPr="00AC04B8">
        <w:rPr>
          <w:rFonts w:cs="Arial"/>
          <w:sz w:val="28"/>
          <w:szCs w:val="28"/>
          <w:rtl/>
        </w:rPr>
        <w:t xml:space="preserve"> خطوة أساسية في ضمان </w:t>
      </w:r>
      <w:r w:rsidRPr="00AC04B8">
        <w:rPr>
          <w:rFonts w:cs="Arial"/>
          <w:sz w:val="28"/>
          <w:szCs w:val="28"/>
          <w:rtl/>
        </w:rPr>
        <w:t xml:space="preserve">نوعية </w:t>
      </w:r>
      <w:r w:rsidR="00206D9F" w:rsidRPr="00AC04B8">
        <w:rPr>
          <w:rFonts w:cs="Arial"/>
          <w:sz w:val="28"/>
          <w:szCs w:val="28"/>
          <w:rtl/>
        </w:rPr>
        <w:t xml:space="preserve">الخدمات </w:t>
      </w:r>
      <w:r w:rsidRPr="00AC04B8">
        <w:rPr>
          <w:rFonts w:cs="Arial"/>
          <w:sz w:val="28"/>
          <w:szCs w:val="28"/>
          <w:rtl/>
        </w:rPr>
        <w:t>(</w:t>
      </w:r>
      <w:r w:rsidR="00206D9F" w:rsidRPr="00AC04B8">
        <w:rPr>
          <w:rFonts w:cs="Arial"/>
          <w:sz w:val="28"/>
          <w:szCs w:val="28"/>
          <w:rtl/>
        </w:rPr>
        <w:t>بما في ذلك حماية البيانات)، والحرص على تقديمها بالوقت المناسب وعلى النطاق المطلوب. وبجي ان يشمل التقييم كل الأقسام المعنية بتنفيذ برامج التحويلات النقدية (الإدارية، الفنية، والأقسام المساندة).  ويمكن الحصول في وحدة "التأهب" على قائمة مرجعية تسمح للجمعيات الوطنية بتحديد مستوى استعدادها، وقدراتها، والثغرات التي تواجهها في تنفيذ الاستجابة النقدية.</w:t>
      </w:r>
    </w:p>
    <w:p w:rsidR="00681C45" w:rsidRPr="00AC04B8" w:rsidRDefault="00D5437F" w:rsidP="00AC04B8">
      <w:pPr>
        <w:pStyle w:val="Heading3"/>
        <w:bidi/>
        <w:jc w:val="both"/>
        <w:rPr>
          <w:rFonts w:cs="Arial"/>
          <w:b w:val="0"/>
          <w:bCs/>
          <w:sz w:val="28"/>
          <w:szCs w:val="28"/>
          <w:rtl/>
        </w:rPr>
      </w:pPr>
      <w:r w:rsidRPr="00AC04B8">
        <w:rPr>
          <w:rFonts w:cs="Arial"/>
          <w:b w:val="0"/>
          <w:bCs/>
          <w:sz w:val="28"/>
          <w:szCs w:val="28"/>
          <w:rtl/>
        </w:rPr>
        <w:lastRenderedPageBreak/>
        <w:t>تحليل المخاطر</w:t>
      </w:r>
    </w:p>
    <w:p w:rsidR="001D7DE0" w:rsidRPr="00AC04B8" w:rsidRDefault="0060432F" w:rsidP="00AC04B8">
      <w:pPr>
        <w:bidi/>
        <w:rPr>
          <w:rFonts w:cs="Arial"/>
          <w:sz w:val="28"/>
          <w:szCs w:val="28"/>
          <w:rtl/>
        </w:rPr>
      </w:pPr>
      <w:r w:rsidRPr="00AC04B8">
        <w:rPr>
          <w:rFonts w:cs="Arial"/>
          <w:sz w:val="28"/>
          <w:szCs w:val="28"/>
          <w:rtl/>
        </w:rPr>
        <w:t xml:space="preserve">تحليل المخاطر هو عبارة عن عملية تسمح بتحديد المخاطر، وتقييم احتمالية حدوثها وأثرها، واتخاذ القرار المناسب حول امكانية إدارتها. </w:t>
      </w:r>
    </w:p>
    <w:p w:rsidR="0060432F" w:rsidRPr="00AC04B8" w:rsidRDefault="0060432F" w:rsidP="00AC04B8">
      <w:pPr>
        <w:bidi/>
        <w:rPr>
          <w:rFonts w:cs="Arial"/>
          <w:sz w:val="28"/>
          <w:szCs w:val="28"/>
        </w:rPr>
      </w:pPr>
      <w:r w:rsidRPr="00AC04B8">
        <w:rPr>
          <w:rFonts w:cs="Arial"/>
          <w:sz w:val="28"/>
          <w:szCs w:val="28"/>
          <w:rtl/>
        </w:rPr>
        <w:t xml:space="preserve">ويجب أن تؤخذ المخاطر في الاعتبار في خلال المشروع بأكمله بدءاً من التقييم الذي يستلزم تحديد المخاطر على المستوى الكلي </w:t>
      </w:r>
      <w:r w:rsidR="00667095" w:rsidRPr="00AC04B8">
        <w:rPr>
          <w:rFonts w:cs="Arial"/>
          <w:sz w:val="28"/>
          <w:szCs w:val="28"/>
          <w:rtl/>
        </w:rPr>
        <w:t>في المرحلة الأولى، ووصولا إلى بمرحلة تحليل الاستجابة التي تُخضع المخاطر للمزيد من التقييم والتحقيق  من أجل تحديد قابلية تنفيذ الاستجابة النقدية وملاءمة خيارات الاستجابة المختلفة. وتجدر الإشارة إلى أن المخاطر تخضع للمزيد من التتبع والرصد في مرحلة التنفيذ.</w:t>
      </w:r>
    </w:p>
    <w:p w:rsidR="00A14C63" w:rsidRPr="00AC04B8" w:rsidRDefault="00667095" w:rsidP="00AC04B8">
      <w:pPr>
        <w:bidi/>
        <w:rPr>
          <w:rFonts w:cs="Arial"/>
          <w:sz w:val="28"/>
          <w:szCs w:val="28"/>
        </w:rPr>
      </w:pPr>
      <w:r w:rsidRPr="00AC04B8">
        <w:rPr>
          <w:rFonts w:cs="Arial"/>
          <w:sz w:val="28"/>
          <w:szCs w:val="28"/>
          <w:rtl/>
        </w:rPr>
        <w:t xml:space="preserve">وتتضمن أدوات هذه الخطوة الفرعية خارطة طريق توجه عملية تحليل المخاطر، كما تتضمن قائمة مرجعية لإدارة المخاطر تسمح بتحديد التحديات التي يجب التصدي لها عند تحديد قابلية تنفيذ </w:t>
      </w:r>
      <w:r w:rsidR="006A6675" w:rsidRPr="00AC04B8">
        <w:rPr>
          <w:rFonts w:cs="Arial"/>
          <w:sz w:val="28"/>
          <w:szCs w:val="28"/>
          <w:rtl/>
        </w:rPr>
        <w:t>الاستجابة</w:t>
      </w:r>
      <w:r w:rsidRPr="00AC04B8">
        <w:rPr>
          <w:rFonts w:cs="Arial"/>
          <w:sz w:val="28"/>
          <w:szCs w:val="28"/>
          <w:rtl/>
        </w:rPr>
        <w:t xml:space="preserve"> النقدية.</w:t>
      </w:r>
    </w:p>
    <w:tbl>
      <w:tblPr>
        <w:tblStyle w:val="TableGray"/>
        <w:tblW w:w="0" w:type="auto"/>
        <w:tblLook w:val="04A0"/>
      </w:tblPr>
      <w:tblGrid>
        <w:gridCol w:w="9848"/>
      </w:tblGrid>
      <w:tr w:rsidR="00C40D97" w:rsidRPr="00AC04B8" w:rsidTr="00C40D97">
        <w:tc>
          <w:tcPr>
            <w:tcW w:w="9848" w:type="dxa"/>
          </w:tcPr>
          <w:p w:rsidR="00C40D97" w:rsidRPr="00AC04B8" w:rsidRDefault="00F423E1" w:rsidP="00AC04B8">
            <w:pPr>
              <w:pStyle w:val="RefTitre"/>
              <w:bidi/>
              <w:jc w:val="both"/>
              <w:rPr>
                <w:rFonts w:cs="Arial"/>
                <w:sz w:val="28"/>
                <w:szCs w:val="28"/>
              </w:rPr>
            </w:pPr>
            <w:r w:rsidRPr="00AC04B8">
              <w:rPr>
                <w:rFonts w:cs="Arial"/>
                <w:sz w:val="28"/>
                <w:szCs w:val="28"/>
                <w:rtl/>
              </w:rPr>
              <w:t>المراجع</w:t>
            </w:r>
          </w:p>
          <w:p w:rsidR="00C40D97" w:rsidRPr="00AC04B8" w:rsidRDefault="00C40D97" w:rsidP="00AC04B8">
            <w:pPr>
              <w:pStyle w:val="RefItem1"/>
              <w:bidi/>
              <w:jc w:val="both"/>
              <w:rPr>
                <w:rFonts w:cs="Arial"/>
                <w:color w:val="0000FF"/>
                <w:sz w:val="28"/>
                <w:szCs w:val="28"/>
                <w:u w:val="single"/>
              </w:rPr>
            </w:pPr>
            <w:r w:rsidRPr="00AC04B8">
              <w:rPr>
                <w:rFonts w:cs="Arial"/>
                <w:sz w:val="28"/>
                <w:szCs w:val="28"/>
              </w:rPr>
              <w:t xml:space="preserve">CaLP (2013) E-transfers in emergencies: Implementation support guidelines </w:t>
            </w:r>
            <w:hyperlink r:id="rId11" w:history="1">
              <w:r w:rsidR="00B20606" w:rsidRPr="00AC04B8">
                <w:rPr>
                  <w:rStyle w:val="Hyperlink"/>
                  <w:rFonts w:eastAsia="Times New Roman" w:cs="Arial"/>
                  <w:sz w:val="28"/>
                  <w:szCs w:val="28"/>
                </w:rPr>
                <w:t>http://www.cashlearning.org/resources/library/390-e-transfers-in-emergencies-implementation-support-guideline</w:t>
              </w:r>
            </w:hyperlink>
          </w:p>
          <w:p w:rsidR="00C40D97" w:rsidRPr="00AC04B8" w:rsidRDefault="00C40D97" w:rsidP="00AC04B8">
            <w:pPr>
              <w:pStyle w:val="RefItem1"/>
              <w:bidi/>
              <w:jc w:val="both"/>
              <w:rPr>
                <w:rFonts w:cs="Arial"/>
                <w:sz w:val="28"/>
                <w:szCs w:val="28"/>
              </w:rPr>
            </w:pPr>
            <w:r w:rsidRPr="00AC04B8">
              <w:rPr>
                <w:rFonts w:cs="Arial"/>
                <w:sz w:val="28"/>
                <w:szCs w:val="28"/>
              </w:rPr>
              <w:t xml:space="preserve">WFP Sharing What Works – Working with payment service providers </w:t>
            </w:r>
            <w:hyperlink r:id="rId12" w:history="1">
              <w:r w:rsidR="00B20606" w:rsidRPr="00AC04B8">
                <w:rPr>
                  <w:rStyle w:val="Hyperlink"/>
                  <w:rFonts w:cs="Arial"/>
                  <w:sz w:val="28"/>
                  <w:szCs w:val="28"/>
                </w:rPr>
                <w:t>http://www.cashlearning.org/downloads/resources/tools/share-what-works-psp.pdf</w:t>
              </w:r>
            </w:hyperlink>
          </w:p>
          <w:p w:rsidR="00C40D97" w:rsidRPr="00AC04B8" w:rsidRDefault="00C40D97" w:rsidP="00AC04B8">
            <w:pPr>
              <w:pStyle w:val="RefItem1"/>
              <w:bidi/>
              <w:jc w:val="both"/>
              <w:rPr>
                <w:rFonts w:eastAsia="Times New Roman" w:cs="Arial"/>
                <w:sz w:val="28"/>
                <w:szCs w:val="28"/>
              </w:rPr>
            </w:pPr>
            <w:r w:rsidRPr="00AC04B8">
              <w:rPr>
                <w:rFonts w:cs="Arial"/>
                <w:sz w:val="28"/>
                <w:szCs w:val="28"/>
              </w:rPr>
              <w:t xml:space="preserve">NetHope – E-payments toolkit </w:t>
            </w:r>
            <w:hyperlink r:id="rId13" w:history="1">
              <w:r w:rsidRPr="00AC04B8">
                <w:rPr>
                  <w:rStyle w:val="Hyperlink"/>
                  <w:rFonts w:cs="Arial"/>
                  <w:sz w:val="28"/>
                  <w:szCs w:val="28"/>
                </w:rPr>
                <w:t>http://solutionscenter.nethope.org/toolkit/view/c2e-toolkit</w:t>
              </w:r>
            </w:hyperlink>
          </w:p>
        </w:tc>
      </w:tr>
    </w:tbl>
    <w:p w:rsidR="008C3CDA" w:rsidRPr="00AC04B8" w:rsidRDefault="008C3CDA" w:rsidP="00AC04B8">
      <w:pPr>
        <w:bidi/>
        <w:rPr>
          <w:rFonts w:eastAsia="Times New Roman" w:cs="Arial"/>
          <w:sz w:val="28"/>
          <w:szCs w:val="28"/>
        </w:rPr>
      </w:pPr>
    </w:p>
    <w:sectPr w:rsidR="008C3CDA" w:rsidRPr="00AC04B8" w:rsidSect="00C40D97">
      <w:headerReference w:type="default" r:id="rId14"/>
      <w:footerReference w:type="default" r:id="rId15"/>
      <w:footerReference w:type="first" r:id="rId16"/>
      <w:pgSz w:w="11900" w:h="16840"/>
      <w:pgMar w:top="1134" w:right="1134" w:bottom="1134" w:left="1134" w:header="708" w:footer="708"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10ACF2" w15:done="0"/>
  <w15:commentEx w15:paraId="532FAF7C" w15:done="0"/>
  <w15:commentEx w15:paraId="2B1D247C" w15:done="0"/>
  <w15:commentEx w15:paraId="408C9FB1" w15:done="0"/>
  <w15:commentEx w15:paraId="3564F032" w15:done="0"/>
  <w15:commentEx w15:paraId="244DCBEA" w15:done="0"/>
  <w15:commentEx w15:paraId="367F318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3F1" w:rsidRDefault="007E63F1">
      <w:r>
        <w:separator/>
      </w:r>
    </w:p>
  </w:endnote>
  <w:endnote w:type="continuationSeparator" w:id="1">
    <w:p w:rsidR="007E63F1" w:rsidRDefault="007E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52" w:rsidRPr="00B45C74" w:rsidRDefault="0062508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E57B52"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60769A">
      <w:rPr>
        <w:b/>
        <w:noProof/>
        <w:color w:val="808080" w:themeColor="background1" w:themeShade="80"/>
        <w:sz w:val="18"/>
        <w:szCs w:val="18"/>
      </w:rPr>
      <w:t>3</w:t>
    </w:r>
    <w:r w:rsidRPr="00B45C74">
      <w:rPr>
        <w:b/>
        <w:color w:val="808080" w:themeColor="background1" w:themeShade="80"/>
        <w:sz w:val="18"/>
        <w:szCs w:val="18"/>
      </w:rPr>
      <w:fldChar w:fldCharType="end"/>
    </w:r>
  </w:p>
  <w:p w:rsidR="00E57B52" w:rsidRPr="003A3500" w:rsidRDefault="00E57B52" w:rsidP="00ED1B2B">
    <w:pPr>
      <w:pStyle w:val="Footer"/>
    </w:pPr>
    <w:r w:rsidRPr="00107E15">
      <w:rPr>
        <w:b/>
      </w:rPr>
      <w:t xml:space="preserve">Module </w:t>
    </w:r>
    <w:r>
      <w:rPr>
        <w:b/>
      </w:rPr>
      <w:t>2</w:t>
    </w:r>
    <w:r w:rsidRPr="00107E15">
      <w:rPr>
        <w:b/>
      </w:rPr>
      <w:t>.</w:t>
    </w:r>
    <w:r w:rsidRPr="00107E15">
      <w:t xml:space="preserve"> Step </w:t>
    </w:r>
    <w:r>
      <w:t>4</w:t>
    </w:r>
    <w:r w:rsidRPr="00107E15">
      <w:t>.</w:t>
    </w:r>
    <w:r>
      <w:t xml:space="preserve"> Roadmap for service providers, organizational capacity and risk analysis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7" w:rsidRPr="00B45C74" w:rsidRDefault="0062508F"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C40D97"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60769A">
      <w:rPr>
        <w:b/>
        <w:noProof/>
        <w:color w:val="808080" w:themeColor="background1" w:themeShade="80"/>
        <w:sz w:val="18"/>
        <w:szCs w:val="18"/>
      </w:rPr>
      <w:t>1</w:t>
    </w:r>
    <w:r w:rsidRPr="00B45C74">
      <w:rPr>
        <w:b/>
        <w:color w:val="808080" w:themeColor="background1" w:themeShade="80"/>
        <w:sz w:val="18"/>
        <w:szCs w:val="18"/>
      </w:rPr>
      <w:fldChar w:fldCharType="end"/>
    </w:r>
  </w:p>
  <w:p w:rsidR="00C40D97" w:rsidRPr="003A3500" w:rsidRDefault="00C40D97" w:rsidP="00ED1B2B">
    <w:pPr>
      <w:pStyle w:val="Footer"/>
    </w:pPr>
    <w:r w:rsidRPr="00107E15">
      <w:rPr>
        <w:b/>
      </w:rPr>
      <w:t xml:space="preserve">Module </w:t>
    </w:r>
    <w:r>
      <w:rPr>
        <w:b/>
      </w:rPr>
      <w:t>2</w:t>
    </w:r>
    <w:r w:rsidRPr="00107E15">
      <w:rPr>
        <w:b/>
      </w:rPr>
      <w:t>.</w:t>
    </w:r>
    <w:r w:rsidRPr="00107E15">
      <w:t xml:space="preserve"> Step </w:t>
    </w:r>
    <w:r>
      <w:t>4</w:t>
    </w:r>
    <w:r w:rsidRPr="00107E15">
      <w:t>.</w:t>
    </w:r>
    <w:r>
      <w:t xml:space="preserve"> Roadmap for service providers, organizational capacity and risk analysis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3F1" w:rsidRDefault="007E63F1">
      <w:r>
        <w:separator/>
      </w:r>
    </w:p>
  </w:footnote>
  <w:footnote w:type="continuationSeparator" w:id="1">
    <w:p w:rsidR="007E63F1" w:rsidRDefault="007E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97" w:rsidRPr="00074036" w:rsidRDefault="00C40D97"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FB7D7A"/>
    <w:multiLevelType w:val="hybridMultilevel"/>
    <w:tmpl w:val="0E788BF8"/>
    <w:lvl w:ilvl="0" w:tplc="1298A7DC">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ud Devred">
    <w15:presenceInfo w15:providerId="AD" w15:userId="S-1-5-21-2160216369-3329932071-3968528880-486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310F7F"/>
    <w:rsid w:val="000178A6"/>
    <w:rsid w:val="00020970"/>
    <w:rsid w:val="00063601"/>
    <w:rsid w:val="00063CB5"/>
    <w:rsid w:val="000649E7"/>
    <w:rsid w:val="000961E9"/>
    <w:rsid w:val="000A686A"/>
    <w:rsid w:val="000B0222"/>
    <w:rsid w:val="000E224B"/>
    <w:rsid w:val="000E7426"/>
    <w:rsid w:val="000F4B6F"/>
    <w:rsid w:val="00120D2C"/>
    <w:rsid w:val="00121183"/>
    <w:rsid w:val="00136C29"/>
    <w:rsid w:val="00150F95"/>
    <w:rsid w:val="00153A50"/>
    <w:rsid w:val="001579D0"/>
    <w:rsid w:val="001747FC"/>
    <w:rsid w:val="0018406F"/>
    <w:rsid w:val="001B386A"/>
    <w:rsid w:val="001C4DF9"/>
    <w:rsid w:val="001D4E36"/>
    <w:rsid w:val="001D7DE0"/>
    <w:rsid w:val="001F4A45"/>
    <w:rsid w:val="00206D9F"/>
    <w:rsid w:val="00233F6F"/>
    <w:rsid w:val="00234CB3"/>
    <w:rsid w:val="002412A3"/>
    <w:rsid w:val="00246601"/>
    <w:rsid w:val="00256F41"/>
    <w:rsid w:val="0025752B"/>
    <w:rsid w:val="00273676"/>
    <w:rsid w:val="002A76ED"/>
    <w:rsid w:val="002A7A1F"/>
    <w:rsid w:val="002B1145"/>
    <w:rsid w:val="002B6139"/>
    <w:rsid w:val="002C223B"/>
    <w:rsid w:val="002C3404"/>
    <w:rsid w:val="002C3865"/>
    <w:rsid w:val="002D6A1E"/>
    <w:rsid w:val="00310F7F"/>
    <w:rsid w:val="00351033"/>
    <w:rsid w:val="00360643"/>
    <w:rsid w:val="003731B5"/>
    <w:rsid w:val="00387C2A"/>
    <w:rsid w:val="003A0055"/>
    <w:rsid w:val="003A66DE"/>
    <w:rsid w:val="003B2DBC"/>
    <w:rsid w:val="003D262A"/>
    <w:rsid w:val="003D3486"/>
    <w:rsid w:val="003D6541"/>
    <w:rsid w:val="003E5594"/>
    <w:rsid w:val="004041C4"/>
    <w:rsid w:val="00415457"/>
    <w:rsid w:val="00442EA7"/>
    <w:rsid w:val="00454DAB"/>
    <w:rsid w:val="0049199F"/>
    <w:rsid w:val="004978DD"/>
    <w:rsid w:val="004A0CA4"/>
    <w:rsid w:val="004B6E87"/>
    <w:rsid w:val="004D55A0"/>
    <w:rsid w:val="004E61DC"/>
    <w:rsid w:val="004E6CD9"/>
    <w:rsid w:val="004E79C8"/>
    <w:rsid w:val="004F2AC8"/>
    <w:rsid w:val="00521DEF"/>
    <w:rsid w:val="00551FBB"/>
    <w:rsid w:val="00582E27"/>
    <w:rsid w:val="0059769B"/>
    <w:rsid w:val="005C26EE"/>
    <w:rsid w:val="005D29B1"/>
    <w:rsid w:val="005D631B"/>
    <w:rsid w:val="0060432F"/>
    <w:rsid w:val="0060769A"/>
    <w:rsid w:val="00615FA5"/>
    <w:rsid w:val="006167CF"/>
    <w:rsid w:val="00617205"/>
    <w:rsid w:val="00624427"/>
    <w:rsid w:val="0062508F"/>
    <w:rsid w:val="006327BB"/>
    <w:rsid w:val="006607B1"/>
    <w:rsid w:val="00667095"/>
    <w:rsid w:val="00681C45"/>
    <w:rsid w:val="006875AB"/>
    <w:rsid w:val="006A6675"/>
    <w:rsid w:val="006C4773"/>
    <w:rsid w:val="006D4963"/>
    <w:rsid w:val="006E099E"/>
    <w:rsid w:val="006F2ECC"/>
    <w:rsid w:val="006F569A"/>
    <w:rsid w:val="007165E1"/>
    <w:rsid w:val="00722B54"/>
    <w:rsid w:val="00740A95"/>
    <w:rsid w:val="00750F33"/>
    <w:rsid w:val="00754777"/>
    <w:rsid w:val="00764F22"/>
    <w:rsid w:val="00770BCD"/>
    <w:rsid w:val="00782D6D"/>
    <w:rsid w:val="007D2180"/>
    <w:rsid w:val="007E0454"/>
    <w:rsid w:val="007E63F1"/>
    <w:rsid w:val="00814687"/>
    <w:rsid w:val="008217CD"/>
    <w:rsid w:val="00841937"/>
    <w:rsid w:val="00865F32"/>
    <w:rsid w:val="00867845"/>
    <w:rsid w:val="0087216E"/>
    <w:rsid w:val="008B2C14"/>
    <w:rsid w:val="008C3CDA"/>
    <w:rsid w:val="008D1CE2"/>
    <w:rsid w:val="008D23A6"/>
    <w:rsid w:val="008E6B0E"/>
    <w:rsid w:val="008F7BDE"/>
    <w:rsid w:val="00901BDF"/>
    <w:rsid w:val="00903F5D"/>
    <w:rsid w:val="00915159"/>
    <w:rsid w:val="009165EF"/>
    <w:rsid w:val="0093643B"/>
    <w:rsid w:val="00936FC9"/>
    <w:rsid w:val="009400AD"/>
    <w:rsid w:val="009510D2"/>
    <w:rsid w:val="00952D24"/>
    <w:rsid w:val="009573A8"/>
    <w:rsid w:val="00973CD7"/>
    <w:rsid w:val="009A2228"/>
    <w:rsid w:val="009A55D8"/>
    <w:rsid w:val="009E1DB2"/>
    <w:rsid w:val="009E4609"/>
    <w:rsid w:val="009F0131"/>
    <w:rsid w:val="009F4B51"/>
    <w:rsid w:val="00A00DDE"/>
    <w:rsid w:val="00A14C63"/>
    <w:rsid w:val="00A22FB8"/>
    <w:rsid w:val="00A25A0C"/>
    <w:rsid w:val="00A52A7E"/>
    <w:rsid w:val="00A60398"/>
    <w:rsid w:val="00A63F9D"/>
    <w:rsid w:val="00A65DC3"/>
    <w:rsid w:val="00A80D09"/>
    <w:rsid w:val="00A942B0"/>
    <w:rsid w:val="00AC04B8"/>
    <w:rsid w:val="00AF4812"/>
    <w:rsid w:val="00B05088"/>
    <w:rsid w:val="00B06399"/>
    <w:rsid w:val="00B20606"/>
    <w:rsid w:val="00B23B74"/>
    <w:rsid w:val="00B30398"/>
    <w:rsid w:val="00B37586"/>
    <w:rsid w:val="00B43B9E"/>
    <w:rsid w:val="00B6785E"/>
    <w:rsid w:val="00B95393"/>
    <w:rsid w:val="00B96C5E"/>
    <w:rsid w:val="00BB3322"/>
    <w:rsid w:val="00BB3842"/>
    <w:rsid w:val="00BC72B7"/>
    <w:rsid w:val="00BE5227"/>
    <w:rsid w:val="00BF245D"/>
    <w:rsid w:val="00C3147A"/>
    <w:rsid w:val="00C36277"/>
    <w:rsid w:val="00C40D97"/>
    <w:rsid w:val="00C53138"/>
    <w:rsid w:val="00C57695"/>
    <w:rsid w:val="00C6084E"/>
    <w:rsid w:val="00C66C49"/>
    <w:rsid w:val="00C83F9A"/>
    <w:rsid w:val="00C93AEE"/>
    <w:rsid w:val="00C93C39"/>
    <w:rsid w:val="00CB2033"/>
    <w:rsid w:val="00CC1B3B"/>
    <w:rsid w:val="00CC7D8C"/>
    <w:rsid w:val="00CD33FB"/>
    <w:rsid w:val="00CD508B"/>
    <w:rsid w:val="00CE1C9B"/>
    <w:rsid w:val="00D06CD4"/>
    <w:rsid w:val="00D13FF3"/>
    <w:rsid w:val="00D1687C"/>
    <w:rsid w:val="00D31268"/>
    <w:rsid w:val="00D44268"/>
    <w:rsid w:val="00D47965"/>
    <w:rsid w:val="00D5437F"/>
    <w:rsid w:val="00D87B4B"/>
    <w:rsid w:val="00D90668"/>
    <w:rsid w:val="00D92E57"/>
    <w:rsid w:val="00D9309B"/>
    <w:rsid w:val="00DA3863"/>
    <w:rsid w:val="00DC511E"/>
    <w:rsid w:val="00DE183D"/>
    <w:rsid w:val="00DE2A29"/>
    <w:rsid w:val="00DF5B20"/>
    <w:rsid w:val="00E003E2"/>
    <w:rsid w:val="00E06727"/>
    <w:rsid w:val="00E14DDB"/>
    <w:rsid w:val="00E216FE"/>
    <w:rsid w:val="00E222B1"/>
    <w:rsid w:val="00E43BC1"/>
    <w:rsid w:val="00E57B52"/>
    <w:rsid w:val="00E62DCC"/>
    <w:rsid w:val="00E66677"/>
    <w:rsid w:val="00E66A9A"/>
    <w:rsid w:val="00E70A86"/>
    <w:rsid w:val="00E7267D"/>
    <w:rsid w:val="00E76995"/>
    <w:rsid w:val="00EB20DB"/>
    <w:rsid w:val="00EB2A2D"/>
    <w:rsid w:val="00EB2BF9"/>
    <w:rsid w:val="00EC4061"/>
    <w:rsid w:val="00ED056D"/>
    <w:rsid w:val="00EF6916"/>
    <w:rsid w:val="00F00D42"/>
    <w:rsid w:val="00F16351"/>
    <w:rsid w:val="00F22587"/>
    <w:rsid w:val="00F423E1"/>
    <w:rsid w:val="00F46E8B"/>
    <w:rsid w:val="00F65917"/>
    <w:rsid w:val="00F66194"/>
    <w:rsid w:val="00F717A9"/>
    <w:rsid w:val="00F75A6E"/>
    <w:rsid w:val="00FA70C2"/>
    <w:rsid w:val="00FB4EA0"/>
    <w:rsid w:val="00FF06BD"/>
    <w:rsid w:val="00FF1D5D"/>
    <w:rsid w:val="00FF4D86"/>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7216E"/>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87216E"/>
  </w:style>
  <w:style w:type="paragraph" w:styleId="Heading2">
    <w:name w:val="heading 2"/>
    <w:basedOn w:val="Normal"/>
    <w:next w:val="Normal"/>
    <w:link w:val="Heading2Char"/>
    <w:uiPriority w:val="9"/>
    <w:unhideWhenUsed/>
    <w:qFormat/>
    <w:rsid w:val="0087216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7216E"/>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216E"/>
    <w:pPr>
      <w:spacing w:after="240"/>
      <w:ind w:left="720"/>
      <w:contextualSpacing/>
    </w:pPr>
    <w:rPr>
      <w:rFonts w:eastAsiaTheme="minorHAnsi" w:cstheme="minorBidi"/>
      <w:szCs w:val="22"/>
    </w:rPr>
  </w:style>
  <w:style w:type="table" w:styleId="TableGrid">
    <w:name w:val="Table Grid"/>
    <w:basedOn w:val="TableNormal"/>
    <w:uiPriority w:val="59"/>
    <w:rsid w:val="0087216E"/>
    <w:rPr>
      <w:rFonts w:ascii="Cambria" w:eastAsiaTheme="minorEastAs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Testo nota a piè di pagina Carattere"/>
    <w:basedOn w:val="Normal"/>
    <w:link w:val="FootnoteTextChar"/>
    <w:uiPriority w:val="99"/>
    <w:unhideWhenUsed/>
    <w:rsid w:val="0087216E"/>
    <w:pPr>
      <w:spacing w:after="0"/>
    </w:pPr>
    <w:rPr>
      <w:sz w:val="16"/>
      <w:szCs w:val="22"/>
    </w:rPr>
  </w:style>
  <w:style w:type="character" w:customStyle="1" w:styleId="FootnoteTextChar">
    <w:name w:val="Footnote Text Char"/>
    <w:aliases w:val="Testo nota a piè di pagina Carattere Char"/>
    <w:basedOn w:val="DefaultParagraphFont"/>
    <w:link w:val="FootnoteText"/>
    <w:uiPriority w:val="99"/>
    <w:rsid w:val="0087216E"/>
    <w:rPr>
      <w:rFonts w:ascii="Arial" w:eastAsiaTheme="minorEastAsia" w:hAnsi="Arial" w:cs="Times New Roman"/>
      <w:sz w:val="16"/>
      <w:szCs w:val="22"/>
    </w:rPr>
  </w:style>
  <w:style w:type="character" w:styleId="FootnoteReference">
    <w:name w:val="footnote reference"/>
    <w:basedOn w:val="DefaultParagraphFont"/>
    <w:uiPriority w:val="99"/>
    <w:unhideWhenUsed/>
    <w:rsid w:val="0087216E"/>
    <w:rPr>
      <w:vertAlign w:val="superscript"/>
    </w:rPr>
  </w:style>
  <w:style w:type="character" w:customStyle="1" w:styleId="ListParagraphChar">
    <w:name w:val="List Paragraph Char"/>
    <w:basedOn w:val="DefaultParagraphFont"/>
    <w:link w:val="ListParagraph"/>
    <w:uiPriority w:val="34"/>
    <w:rsid w:val="0087216E"/>
    <w:rPr>
      <w:rFonts w:ascii="Arial" w:hAnsi="Arial"/>
      <w:sz w:val="20"/>
      <w:szCs w:val="22"/>
    </w:rPr>
  </w:style>
  <w:style w:type="paragraph" w:styleId="BalloonText">
    <w:name w:val="Balloon Text"/>
    <w:basedOn w:val="Normal"/>
    <w:link w:val="BalloonTextChar"/>
    <w:uiPriority w:val="99"/>
    <w:unhideWhenUsed/>
    <w:rsid w:val="0087216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7216E"/>
    <w:rPr>
      <w:rFonts w:ascii="Lucida Grande" w:eastAsiaTheme="minorEastAsia" w:hAnsi="Lucida Grande" w:cs="Lucida Grande"/>
      <w:sz w:val="18"/>
      <w:szCs w:val="18"/>
    </w:rPr>
  </w:style>
  <w:style w:type="paragraph" w:styleId="Header">
    <w:name w:val="header"/>
    <w:basedOn w:val="Normal"/>
    <w:link w:val="HeaderChar"/>
    <w:uiPriority w:val="99"/>
    <w:unhideWhenUsed/>
    <w:rsid w:val="0087216E"/>
    <w:pPr>
      <w:spacing w:after="0" w:line="288" w:lineRule="auto"/>
      <w:jc w:val="left"/>
    </w:pPr>
    <w:rPr>
      <w:sz w:val="16"/>
    </w:rPr>
  </w:style>
  <w:style w:type="character" w:customStyle="1" w:styleId="HeaderChar">
    <w:name w:val="Header Char"/>
    <w:basedOn w:val="DefaultParagraphFont"/>
    <w:link w:val="Header"/>
    <w:uiPriority w:val="99"/>
    <w:rsid w:val="0087216E"/>
    <w:rPr>
      <w:rFonts w:ascii="Arial" w:eastAsiaTheme="minorEastAsia" w:hAnsi="Arial" w:cs="Times New Roman"/>
      <w:sz w:val="16"/>
      <w:szCs w:val="20"/>
    </w:rPr>
  </w:style>
  <w:style w:type="paragraph" w:styleId="Footer">
    <w:name w:val="footer"/>
    <w:basedOn w:val="Normal"/>
    <w:link w:val="FooterChar"/>
    <w:uiPriority w:val="99"/>
    <w:unhideWhenUsed/>
    <w:rsid w:val="0087216E"/>
    <w:pPr>
      <w:spacing w:after="0"/>
      <w:jc w:val="left"/>
    </w:pPr>
    <w:rPr>
      <w:sz w:val="16"/>
      <w:szCs w:val="18"/>
    </w:rPr>
  </w:style>
  <w:style w:type="character" w:customStyle="1" w:styleId="FooterChar">
    <w:name w:val="Footer Char"/>
    <w:basedOn w:val="DefaultParagraphFont"/>
    <w:link w:val="Footer"/>
    <w:uiPriority w:val="99"/>
    <w:rsid w:val="0087216E"/>
    <w:rPr>
      <w:rFonts w:ascii="Arial" w:eastAsiaTheme="minorEastAsia" w:hAnsi="Arial" w:cs="Times New Roman"/>
      <w:sz w:val="16"/>
      <w:szCs w:val="18"/>
    </w:rPr>
  </w:style>
  <w:style w:type="paragraph" w:customStyle="1" w:styleId="Default">
    <w:name w:val="Default"/>
    <w:rsid w:val="0087216E"/>
    <w:pPr>
      <w:widowControl w:val="0"/>
      <w:autoSpaceDE w:val="0"/>
      <w:autoSpaceDN w:val="0"/>
      <w:adjustRightInd w:val="0"/>
    </w:pPr>
    <w:rPr>
      <w:rFonts w:ascii="Arial" w:eastAsiaTheme="minorEastAsia" w:hAnsi="Arial" w:cs="Arial"/>
      <w:color w:val="000000"/>
    </w:rPr>
  </w:style>
  <w:style w:type="paragraph" w:styleId="CommentText">
    <w:name w:val="annotation text"/>
    <w:basedOn w:val="Normal"/>
    <w:link w:val="CommentTextChar"/>
    <w:uiPriority w:val="99"/>
    <w:unhideWhenUsed/>
    <w:rsid w:val="00E14DDB"/>
    <w:rPr>
      <w:rFonts w:asciiTheme="minorHAnsi" w:hAnsiTheme="minorHAnsi"/>
    </w:rPr>
  </w:style>
  <w:style w:type="character" w:customStyle="1" w:styleId="CommentTextChar">
    <w:name w:val="Comment Text Char"/>
    <w:basedOn w:val="DefaultParagraphFont"/>
    <w:link w:val="CommentText"/>
    <w:uiPriority w:val="99"/>
    <w:rsid w:val="00E14DDB"/>
    <w:rPr>
      <w:rFonts w:eastAsiaTheme="minorEastAsia"/>
    </w:rPr>
  </w:style>
  <w:style w:type="character" w:customStyle="1" w:styleId="Heading1Char">
    <w:name w:val="Heading 1 Char"/>
    <w:basedOn w:val="DefaultParagraphFont"/>
    <w:link w:val="Heading1"/>
    <w:uiPriority w:val="9"/>
    <w:rsid w:val="0087216E"/>
    <w:rPr>
      <w:rFonts w:ascii="Arial" w:eastAsiaTheme="minorEastAsia" w:hAnsi="Arial" w:cs="Times New Roman"/>
      <w:b/>
      <w:sz w:val="40"/>
      <w:szCs w:val="52"/>
    </w:rPr>
  </w:style>
  <w:style w:type="character" w:styleId="CommentReference">
    <w:name w:val="annotation reference"/>
    <w:basedOn w:val="DefaultParagraphFont"/>
    <w:uiPriority w:val="99"/>
    <w:unhideWhenUsed/>
    <w:rsid w:val="0087216E"/>
    <w:rPr>
      <w:sz w:val="18"/>
      <w:szCs w:val="18"/>
    </w:rPr>
  </w:style>
  <w:style w:type="paragraph" w:styleId="CommentSubject">
    <w:name w:val="annotation subject"/>
    <w:basedOn w:val="Normal"/>
    <w:link w:val="CommentSubjectChar"/>
    <w:uiPriority w:val="99"/>
    <w:unhideWhenUsed/>
    <w:rsid w:val="0087216E"/>
    <w:rPr>
      <w:b/>
      <w:bCs/>
    </w:rPr>
  </w:style>
  <w:style w:type="character" w:customStyle="1" w:styleId="CommentSubjectChar">
    <w:name w:val="Comment Subject Char"/>
    <w:basedOn w:val="DefaultParagraphFont"/>
    <w:link w:val="CommentSubject"/>
    <w:uiPriority w:val="99"/>
    <w:rsid w:val="0087216E"/>
    <w:rPr>
      <w:rFonts w:ascii="Arial" w:eastAsiaTheme="minorEastAsia" w:hAnsi="Arial" w:cs="Times New Roman"/>
      <w:b/>
      <w:bCs/>
      <w:sz w:val="20"/>
      <w:szCs w:val="20"/>
    </w:rPr>
  </w:style>
  <w:style w:type="character" w:styleId="Hyperlink">
    <w:name w:val="Hyperlink"/>
    <w:basedOn w:val="DefaultParagraphFont"/>
    <w:uiPriority w:val="99"/>
    <w:unhideWhenUsed/>
    <w:rsid w:val="0087216E"/>
    <w:rPr>
      <w:color w:val="0000FF" w:themeColor="hyperlink"/>
      <w:u w:val="single"/>
    </w:rPr>
  </w:style>
  <w:style w:type="character" w:styleId="FollowedHyperlink">
    <w:name w:val="FollowedHyperlink"/>
    <w:basedOn w:val="DefaultParagraphFont"/>
    <w:uiPriority w:val="99"/>
    <w:unhideWhenUsed/>
    <w:rsid w:val="0087216E"/>
    <w:rPr>
      <w:color w:val="800080" w:themeColor="followedHyperlink"/>
      <w:u w:val="single"/>
    </w:rPr>
  </w:style>
  <w:style w:type="character" w:customStyle="1" w:styleId="Heading2Char">
    <w:name w:val="Heading 2 Char"/>
    <w:basedOn w:val="DefaultParagraphFont"/>
    <w:link w:val="Heading2"/>
    <w:uiPriority w:val="9"/>
    <w:rsid w:val="0087216E"/>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87216E"/>
    <w:rPr>
      <w:rFonts w:ascii="Arial" w:eastAsiaTheme="minorEastAsia" w:hAnsi="Arial" w:cs="Times New Roman"/>
      <w:b/>
      <w:sz w:val="22"/>
    </w:rPr>
  </w:style>
  <w:style w:type="character" w:styleId="PageNumber">
    <w:name w:val="page number"/>
    <w:basedOn w:val="DefaultParagraphFont"/>
    <w:uiPriority w:val="99"/>
    <w:unhideWhenUsed/>
    <w:rsid w:val="0087216E"/>
    <w:rPr>
      <w:b/>
    </w:rPr>
  </w:style>
  <w:style w:type="paragraph" w:styleId="Revision">
    <w:name w:val="Revision"/>
    <w:hidden/>
    <w:uiPriority w:val="99"/>
    <w:semiHidden/>
    <w:rsid w:val="0087216E"/>
    <w:rPr>
      <w:rFonts w:ascii="Arial" w:eastAsiaTheme="minorEastAsia" w:hAnsi="Arial" w:cs="Arial"/>
      <w:sz w:val="21"/>
      <w:szCs w:val="21"/>
    </w:rPr>
  </w:style>
  <w:style w:type="paragraph" w:customStyle="1" w:styleId="BasicParagraph">
    <w:name w:val="[Basic Paragraph]"/>
    <w:basedOn w:val="Normal"/>
    <w:uiPriority w:val="99"/>
    <w:rsid w:val="0087216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7216E"/>
    <w:pPr>
      <w:spacing w:before="360" w:after="240"/>
      <w:jc w:val="left"/>
      <w:outlineLvl w:val="0"/>
    </w:pPr>
    <w:rPr>
      <w:b/>
      <w:sz w:val="40"/>
      <w:szCs w:val="52"/>
    </w:rPr>
  </w:style>
  <w:style w:type="paragraph" w:customStyle="1" w:styleId="Bullet1">
    <w:name w:val="Bullet 1"/>
    <w:basedOn w:val="Normal"/>
    <w:rsid w:val="0087216E"/>
    <w:pPr>
      <w:numPr>
        <w:numId w:val="3"/>
      </w:numPr>
      <w:spacing w:before="60"/>
    </w:pPr>
    <w:rPr>
      <w:rFonts w:eastAsia="Times New Roman"/>
      <w:color w:val="000000"/>
    </w:rPr>
  </w:style>
  <w:style w:type="paragraph" w:customStyle="1" w:styleId="RefItem1">
    <w:name w:val="Ref Item 1"/>
    <w:basedOn w:val="Normal"/>
    <w:rsid w:val="0087216E"/>
    <w:pPr>
      <w:jc w:val="left"/>
    </w:pPr>
    <w:rPr>
      <w:color w:val="000000"/>
      <w:szCs w:val="24"/>
      <w:lang w:eastAsia="it-IT"/>
    </w:rPr>
  </w:style>
  <w:style w:type="paragraph" w:customStyle="1" w:styleId="RefTitre">
    <w:name w:val="Ref Titre"/>
    <w:basedOn w:val="Normal"/>
    <w:rsid w:val="0087216E"/>
    <w:pPr>
      <w:jc w:val="left"/>
    </w:pPr>
    <w:rPr>
      <w:rFonts w:eastAsia="Times New Roman"/>
      <w:b/>
      <w:bCs/>
      <w:sz w:val="26"/>
      <w:szCs w:val="26"/>
    </w:rPr>
  </w:style>
  <w:style w:type="paragraph" w:customStyle="1" w:styleId="Header1">
    <w:name w:val="Header 1"/>
    <w:basedOn w:val="Header"/>
    <w:rsid w:val="0087216E"/>
    <w:rPr>
      <w:b/>
      <w:sz w:val="24"/>
      <w:szCs w:val="24"/>
    </w:rPr>
  </w:style>
  <w:style w:type="character" w:customStyle="1" w:styleId="Pantone485">
    <w:name w:val="Pantone 485"/>
    <w:basedOn w:val="DefaultParagraphFont"/>
    <w:uiPriority w:val="1"/>
    <w:qFormat/>
    <w:rsid w:val="0087216E"/>
    <w:rPr>
      <w:rFonts w:cs="Caecilia-Light"/>
      <w:color w:val="DC281E"/>
      <w:szCs w:val="16"/>
    </w:rPr>
  </w:style>
  <w:style w:type="character" w:customStyle="1" w:styleId="H1Char">
    <w:name w:val="H1 Char"/>
    <w:basedOn w:val="DefaultParagraphFont"/>
    <w:link w:val="H1"/>
    <w:rsid w:val="0087216E"/>
    <w:rPr>
      <w:rFonts w:ascii="Arial" w:eastAsiaTheme="minorEastAsia" w:hAnsi="Arial" w:cs="Times New Roman"/>
      <w:b/>
      <w:sz w:val="40"/>
      <w:szCs w:val="52"/>
    </w:rPr>
  </w:style>
  <w:style w:type="table" w:customStyle="1" w:styleId="TableGray">
    <w:name w:val="Table Gray"/>
    <w:basedOn w:val="TableNormal"/>
    <w:uiPriority w:val="99"/>
    <w:rsid w:val="0087216E"/>
    <w:rPr>
      <w:rFonts w:eastAsiaTheme="minorEastAsia"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7216E"/>
    <w:pPr>
      <w:numPr>
        <w:numId w:val="4"/>
      </w:numPr>
      <w:tabs>
        <w:tab w:val="left" w:pos="7230"/>
      </w:tabs>
      <w:spacing w:before="240"/>
    </w:pPr>
    <w:rPr>
      <w:rFonts w:cs="Arial"/>
    </w:rPr>
  </w:style>
  <w:style w:type="paragraph" w:customStyle="1" w:styleId="ListNumber1">
    <w:name w:val="List Number 1"/>
    <w:basedOn w:val="Normal"/>
    <w:rsid w:val="0087216E"/>
    <w:pPr>
      <w:numPr>
        <w:ilvl w:val="1"/>
        <w:numId w:val="1"/>
      </w:numPr>
      <w:contextualSpacing/>
    </w:pPr>
    <w:rPr>
      <w:rFonts w:eastAsiaTheme="minorHAnsi" w:cstheme="minorHAnsi"/>
      <w:szCs w:val="22"/>
    </w:rPr>
  </w:style>
  <w:style w:type="paragraph" w:customStyle="1" w:styleId="NormalNo">
    <w:name w:val="Normal + No"/>
    <w:basedOn w:val="Normal"/>
    <w:qFormat/>
    <w:rsid w:val="0087216E"/>
    <w:pPr>
      <w:numPr>
        <w:numId w:val="2"/>
      </w:numPr>
    </w:pPr>
    <w:rPr>
      <w:rFonts w:eastAsia="MS Mincho"/>
      <w:b/>
      <w:sz w:val="22"/>
    </w:rPr>
  </w:style>
  <w:style w:type="paragraph" w:customStyle="1" w:styleId="Bullet3">
    <w:name w:val="Bullet 3"/>
    <w:basedOn w:val="ListParagraph"/>
    <w:qFormat/>
    <w:rsid w:val="0087216E"/>
    <w:pPr>
      <w:numPr>
        <w:numId w:val="5"/>
      </w:numPr>
      <w:spacing w:before="120" w:after="120"/>
      <w:ind w:right="425"/>
    </w:pPr>
    <w:rPr>
      <w:rFonts w:cs="Arial"/>
      <w:i/>
      <w:iCs/>
    </w:rPr>
  </w:style>
  <w:style w:type="paragraph" w:customStyle="1" w:styleId="Indent">
    <w:name w:val="Indent"/>
    <w:basedOn w:val="Normal"/>
    <w:qFormat/>
    <w:rsid w:val="0087216E"/>
    <w:pPr>
      <w:ind w:left="567"/>
    </w:pPr>
    <w:rPr>
      <w:rFonts w:cs="Arial"/>
      <w:b/>
    </w:rPr>
  </w:style>
  <w:style w:type="paragraph" w:customStyle="1" w:styleId="TitreTableau">
    <w:name w:val="Titre Tableau"/>
    <w:basedOn w:val="Normal"/>
    <w:qFormat/>
    <w:rsid w:val="0087216E"/>
    <w:pPr>
      <w:spacing w:before="120"/>
      <w:jc w:val="center"/>
    </w:pPr>
    <w:rPr>
      <w:rFonts w:cs="Arial"/>
      <w:b/>
      <w:bCs/>
      <w:color w:val="FFFFFF" w:themeColor="background1"/>
      <w:lang w:val="en-CA"/>
    </w:rPr>
  </w:style>
  <w:style w:type="paragraph" w:customStyle="1" w:styleId="BulletTableau">
    <w:name w:val="Bullet Tableau"/>
    <w:basedOn w:val="Bullet2"/>
    <w:qFormat/>
    <w:rsid w:val="0087216E"/>
    <w:pPr>
      <w:keepNext/>
      <w:keepLines/>
      <w:framePr w:hSpace="141" w:wrap="around" w:vAnchor="text" w:hAnchor="margin" w:y="402"/>
      <w:numPr>
        <w:numId w:val="6"/>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iPriority="99"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uiPriority="99"/>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7216E"/>
    <w:pPr>
      <w:spacing w:after="120"/>
      <w:jc w:val="both"/>
    </w:pPr>
    <w:rPr>
      <w:rFonts w:ascii="Arial" w:eastAsiaTheme="minorEastAsia" w:hAnsi="Arial" w:cs="Times New Roman"/>
      <w:sz w:val="20"/>
      <w:szCs w:val="20"/>
    </w:rPr>
  </w:style>
  <w:style w:type="paragraph" w:styleId="Heading1">
    <w:name w:val="heading 1"/>
    <w:basedOn w:val="H1"/>
    <w:next w:val="Normal"/>
    <w:link w:val="Heading1Char"/>
    <w:uiPriority w:val="9"/>
    <w:rsid w:val="0087216E"/>
  </w:style>
  <w:style w:type="paragraph" w:styleId="Heading2">
    <w:name w:val="heading 2"/>
    <w:basedOn w:val="Normal"/>
    <w:next w:val="Normal"/>
    <w:link w:val="Heading2Char"/>
    <w:uiPriority w:val="9"/>
    <w:unhideWhenUsed/>
    <w:qFormat/>
    <w:rsid w:val="0087216E"/>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87216E"/>
    <w:pPr>
      <w:keepNext/>
      <w:spacing w:before="240"/>
      <w:jc w:val="left"/>
      <w:outlineLvl w:val="2"/>
    </w:pPr>
    <w:rPr>
      <w:b/>
      <w:sz w:val="22"/>
      <w:szCs w:val="24"/>
    </w:rPr>
  </w:style>
  <w:style w:type="character" w:default="1" w:styleId="DefaultParagraphFont">
    <w:name w:val="Default Paragraph Font"/>
    <w:uiPriority w:val="1"/>
    <w:semiHidden/>
    <w:unhideWhenUsed/>
    <w:rsid w:val="008721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16E"/>
  </w:style>
  <w:style w:type="paragraph" w:styleId="ListParagraph">
    <w:name w:val="List Paragraph"/>
    <w:basedOn w:val="Normal"/>
    <w:link w:val="ListParagraphChar"/>
    <w:uiPriority w:val="34"/>
    <w:qFormat/>
    <w:rsid w:val="0087216E"/>
    <w:pPr>
      <w:spacing w:after="240"/>
      <w:ind w:left="720"/>
      <w:contextualSpacing/>
    </w:pPr>
    <w:rPr>
      <w:rFonts w:eastAsiaTheme="minorHAnsi" w:cstheme="minorBidi"/>
      <w:szCs w:val="22"/>
    </w:rPr>
  </w:style>
  <w:style w:type="table" w:styleId="TableGrid">
    <w:name w:val="Table Grid"/>
    <w:basedOn w:val="TableNormal"/>
    <w:uiPriority w:val="59"/>
    <w:rsid w:val="0087216E"/>
    <w:rPr>
      <w:rFonts w:ascii="Cambria" w:eastAsiaTheme="minorEastAs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sto nota a piè di pagina Carattere"/>
    <w:basedOn w:val="Normal"/>
    <w:link w:val="FootnoteTextChar"/>
    <w:uiPriority w:val="99"/>
    <w:unhideWhenUsed/>
    <w:rsid w:val="0087216E"/>
    <w:pPr>
      <w:spacing w:after="0"/>
    </w:pPr>
    <w:rPr>
      <w:sz w:val="16"/>
      <w:szCs w:val="22"/>
    </w:rPr>
  </w:style>
  <w:style w:type="character" w:customStyle="1" w:styleId="FootnoteTextChar">
    <w:name w:val="Footnote Text Char"/>
    <w:aliases w:val="Testo nota a piè di pagina Carattere Char"/>
    <w:basedOn w:val="DefaultParagraphFont"/>
    <w:link w:val="FootnoteText"/>
    <w:uiPriority w:val="99"/>
    <w:rsid w:val="0087216E"/>
    <w:rPr>
      <w:rFonts w:ascii="Arial" w:eastAsiaTheme="minorEastAsia" w:hAnsi="Arial" w:cs="Times New Roman"/>
      <w:sz w:val="16"/>
      <w:szCs w:val="22"/>
    </w:rPr>
  </w:style>
  <w:style w:type="character" w:styleId="FootnoteReference">
    <w:name w:val="footnote reference"/>
    <w:basedOn w:val="DefaultParagraphFont"/>
    <w:uiPriority w:val="99"/>
    <w:unhideWhenUsed/>
    <w:rsid w:val="0087216E"/>
    <w:rPr>
      <w:vertAlign w:val="superscript"/>
    </w:rPr>
  </w:style>
  <w:style w:type="character" w:customStyle="1" w:styleId="ListParagraphChar">
    <w:name w:val="List Paragraph Char"/>
    <w:basedOn w:val="DefaultParagraphFont"/>
    <w:link w:val="ListParagraph"/>
    <w:uiPriority w:val="34"/>
    <w:rsid w:val="0087216E"/>
    <w:rPr>
      <w:rFonts w:ascii="Arial" w:hAnsi="Arial"/>
      <w:sz w:val="20"/>
      <w:szCs w:val="22"/>
    </w:rPr>
  </w:style>
  <w:style w:type="paragraph" w:styleId="BalloonText">
    <w:name w:val="Balloon Text"/>
    <w:basedOn w:val="Normal"/>
    <w:link w:val="BalloonTextChar"/>
    <w:uiPriority w:val="99"/>
    <w:unhideWhenUsed/>
    <w:rsid w:val="0087216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7216E"/>
    <w:rPr>
      <w:rFonts w:ascii="Lucida Grande" w:eastAsiaTheme="minorEastAsia" w:hAnsi="Lucida Grande" w:cs="Lucida Grande"/>
      <w:sz w:val="18"/>
      <w:szCs w:val="18"/>
    </w:rPr>
  </w:style>
  <w:style w:type="paragraph" w:styleId="Header">
    <w:name w:val="header"/>
    <w:basedOn w:val="Normal"/>
    <w:link w:val="HeaderChar"/>
    <w:uiPriority w:val="99"/>
    <w:unhideWhenUsed/>
    <w:rsid w:val="0087216E"/>
    <w:pPr>
      <w:spacing w:after="0" w:line="288" w:lineRule="auto"/>
      <w:jc w:val="left"/>
    </w:pPr>
    <w:rPr>
      <w:sz w:val="16"/>
    </w:rPr>
  </w:style>
  <w:style w:type="character" w:customStyle="1" w:styleId="HeaderChar">
    <w:name w:val="Header Char"/>
    <w:basedOn w:val="DefaultParagraphFont"/>
    <w:link w:val="Header"/>
    <w:uiPriority w:val="99"/>
    <w:rsid w:val="0087216E"/>
    <w:rPr>
      <w:rFonts w:ascii="Arial" w:eastAsiaTheme="minorEastAsia" w:hAnsi="Arial" w:cs="Times New Roman"/>
      <w:sz w:val="16"/>
      <w:szCs w:val="20"/>
    </w:rPr>
  </w:style>
  <w:style w:type="paragraph" w:styleId="Footer">
    <w:name w:val="footer"/>
    <w:basedOn w:val="Normal"/>
    <w:link w:val="FooterChar"/>
    <w:uiPriority w:val="99"/>
    <w:unhideWhenUsed/>
    <w:rsid w:val="0087216E"/>
    <w:pPr>
      <w:spacing w:after="0"/>
      <w:jc w:val="left"/>
    </w:pPr>
    <w:rPr>
      <w:sz w:val="16"/>
      <w:szCs w:val="18"/>
    </w:rPr>
  </w:style>
  <w:style w:type="character" w:customStyle="1" w:styleId="FooterChar">
    <w:name w:val="Footer Char"/>
    <w:basedOn w:val="DefaultParagraphFont"/>
    <w:link w:val="Footer"/>
    <w:uiPriority w:val="99"/>
    <w:rsid w:val="0087216E"/>
    <w:rPr>
      <w:rFonts w:ascii="Arial" w:eastAsiaTheme="minorEastAsia" w:hAnsi="Arial" w:cs="Times New Roman"/>
      <w:sz w:val="16"/>
      <w:szCs w:val="18"/>
    </w:rPr>
  </w:style>
  <w:style w:type="paragraph" w:customStyle="1" w:styleId="Default">
    <w:name w:val="Default"/>
    <w:rsid w:val="0087216E"/>
    <w:pPr>
      <w:widowControl w:val="0"/>
      <w:autoSpaceDE w:val="0"/>
      <w:autoSpaceDN w:val="0"/>
      <w:adjustRightInd w:val="0"/>
    </w:pPr>
    <w:rPr>
      <w:rFonts w:ascii="Arial" w:eastAsiaTheme="minorEastAsia" w:hAnsi="Arial" w:cs="Arial"/>
      <w:color w:val="000000"/>
    </w:rPr>
  </w:style>
  <w:style w:type="paragraph" w:styleId="CommentText">
    <w:name w:val="annotation text"/>
    <w:basedOn w:val="Normal"/>
    <w:link w:val="CommentTextChar"/>
    <w:uiPriority w:val="99"/>
    <w:unhideWhenUsed/>
    <w:rsid w:val="00E14DDB"/>
    <w:rPr>
      <w:rFonts w:asciiTheme="minorHAnsi" w:hAnsiTheme="minorHAnsi"/>
    </w:rPr>
  </w:style>
  <w:style w:type="character" w:customStyle="1" w:styleId="CommentTextChar">
    <w:name w:val="Comment Text Char"/>
    <w:basedOn w:val="DefaultParagraphFont"/>
    <w:link w:val="CommentText"/>
    <w:uiPriority w:val="99"/>
    <w:rsid w:val="00E14DDB"/>
    <w:rPr>
      <w:rFonts w:eastAsiaTheme="minorEastAsia"/>
    </w:rPr>
  </w:style>
  <w:style w:type="character" w:customStyle="1" w:styleId="Heading1Char">
    <w:name w:val="Heading 1 Char"/>
    <w:basedOn w:val="DefaultParagraphFont"/>
    <w:link w:val="Heading1"/>
    <w:uiPriority w:val="9"/>
    <w:rsid w:val="0087216E"/>
    <w:rPr>
      <w:rFonts w:ascii="Arial" w:eastAsiaTheme="minorEastAsia" w:hAnsi="Arial" w:cs="Times New Roman"/>
      <w:b/>
      <w:sz w:val="40"/>
      <w:szCs w:val="52"/>
    </w:rPr>
  </w:style>
  <w:style w:type="character" w:styleId="CommentReference">
    <w:name w:val="annotation reference"/>
    <w:basedOn w:val="DefaultParagraphFont"/>
    <w:uiPriority w:val="99"/>
    <w:unhideWhenUsed/>
    <w:rsid w:val="0087216E"/>
    <w:rPr>
      <w:sz w:val="18"/>
      <w:szCs w:val="18"/>
    </w:rPr>
  </w:style>
  <w:style w:type="paragraph" w:styleId="CommentSubject">
    <w:name w:val="annotation subject"/>
    <w:basedOn w:val="Normal"/>
    <w:link w:val="CommentSubjectChar"/>
    <w:uiPriority w:val="99"/>
    <w:unhideWhenUsed/>
    <w:rsid w:val="0087216E"/>
    <w:rPr>
      <w:b/>
      <w:bCs/>
    </w:rPr>
  </w:style>
  <w:style w:type="character" w:customStyle="1" w:styleId="CommentSubjectChar">
    <w:name w:val="Comment Subject Char"/>
    <w:basedOn w:val="DefaultParagraphFont"/>
    <w:link w:val="CommentSubject"/>
    <w:uiPriority w:val="99"/>
    <w:rsid w:val="0087216E"/>
    <w:rPr>
      <w:rFonts w:ascii="Arial" w:eastAsiaTheme="minorEastAsia" w:hAnsi="Arial" w:cs="Times New Roman"/>
      <w:b/>
      <w:bCs/>
      <w:sz w:val="20"/>
      <w:szCs w:val="20"/>
    </w:rPr>
  </w:style>
  <w:style w:type="character" w:styleId="Hyperlink">
    <w:name w:val="Hyperlink"/>
    <w:basedOn w:val="DefaultParagraphFont"/>
    <w:uiPriority w:val="99"/>
    <w:unhideWhenUsed/>
    <w:rsid w:val="0087216E"/>
    <w:rPr>
      <w:color w:val="0000FF" w:themeColor="hyperlink"/>
      <w:u w:val="single"/>
    </w:rPr>
  </w:style>
  <w:style w:type="character" w:styleId="FollowedHyperlink">
    <w:name w:val="FollowedHyperlink"/>
    <w:basedOn w:val="DefaultParagraphFont"/>
    <w:uiPriority w:val="99"/>
    <w:unhideWhenUsed/>
    <w:rsid w:val="0087216E"/>
    <w:rPr>
      <w:color w:val="800080" w:themeColor="followedHyperlink"/>
      <w:u w:val="single"/>
    </w:rPr>
  </w:style>
  <w:style w:type="character" w:customStyle="1" w:styleId="Heading2Char">
    <w:name w:val="Heading 2 Char"/>
    <w:basedOn w:val="DefaultParagraphFont"/>
    <w:link w:val="Heading2"/>
    <w:uiPriority w:val="9"/>
    <w:rsid w:val="0087216E"/>
    <w:rPr>
      <w:rFonts w:ascii="Arial" w:eastAsiaTheme="minorEastAsia" w:hAnsi="Arial" w:cs="Times New Roman"/>
      <w:b/>
      <w:caps/>
      <w:szCs w:val="26"/>
    </w:rPr>
  </w:style>
  <w:style w:type="character" w:customStyle="1" w:styleId="Heading3Char">
    <w:name w:val="Heading 3 Char"/>
    <w:basedOn w:val="DefaultParagraphFont"/>
    <w:link w:val="Heading3"/>
    <w:uiPriority w:val="9"/>
    <w:rsid w:val="0087216E"/>
    <w:rPr>
      <w:rFonts w:ascii="Arial" w:eastAsiaTheme="minorEastAsia" w:hAnsi="Arial" w:cs="Times New Roman"/>
      <w:b/>
      <w:sz w:val="22"/>
    </w:rPr>
  </w:style>
  <w:style w:type="character" w:styleId="PageNumber">
    <w:name w:val="page number"/>
    <w:basedOn w:val="DefaultParagraphFont"/>
    <w:uiPriority w:val="99"/>
    <w:unhideWhenUsed/>
    <w:rsid w:val="0087216E"/>
    <w:rPr>
      <w:b/>
    </w:rPr>
  </w:style>
  <w:style w:type="paragraph" w:styleId="Revision">
    <w:name w:val="Revision"/>
    <w:hidden/>
    <w:uiPriority w:val="99"/>
    <w:semiHidden/>
    <w:rsid w:val="0087216E"/>
    <w:rPr>
      <w:rFonts w:ascii="Arial" w:eastAsiaTheme="minorEastAsia" w:hAnsi="Arial" w:cs="Arial"/>
      <w:sz w:val="21"/>
      <w:szCs w:val="21"/>
    </w:rPr>
  </w:style>
  <w:style w:type="paragraph" w:customStyle="1" w:styleId="BasicParagraph">
    <w:name w:val="[Basic Paragraph]"/>
    <w:basedOn w:val="Normal"/>
    <w:uiPriority w:val="99"/>
    <w:rsid w:val="0087216E"/>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87216E"/>
    <w:pPr>
      <w:spacing w:before="360" w:after="240"/>
      <w:jc w:val="left"/>
      <w:outlineLvl w:val="0"/>
    </w:pPr>
    <w:rPr>
      <w:b/>
      <w:sz w:val="40"/>
      <w:szCs w:val="52"/>
    </w:rPr>
  </w:style>
  <w:style w:type="paragraph" w:customStyle="1" w:styleId="Bullet1">
    <w:name w:val="Bullet 1"/>
    <w:basedOn w:val="Normal"/>
    <w:rsid w:val="0087216E"/>
    <w:pPr>
      <w:numPr>
        <w:numId w:val="47"/>
      </w:numPr>
      <w:spacing w:before="60"/>
    </w:pPr>
    <w:rPr>
      <w:rFonts w:eastAsia="Times New Roman"/>
      <w:color w:val="000000"/>
    </w:rPr>
  </w:style>
  <w:style w:type="paragraph" w:customStyle="1" w:styleId="RefItem1">
    <w:name w:val="Ref Item 1"/>
    <w:basedOn w:val="Normal"/>
    <w:rsid w:val="0087216E"/>
    <w:pPr>
      <w:jc w:val="left"/>
    </w:pPr>
    <w:rPr>
      <w:color w:val="000000"/>
      <w:szCs w:val="24"/>
      <w:lang w:eastAsia="it-IT"/>
    </w:rPr>
  </w:style>
  <w:style w:type="paragraph" w:customStyle="1" w:styleId="RefTitre">
    <w:name w:val="Ref Titre"/>
    <w:basedOn w:val="Normal"/>
    <w:rsid w:val="0087216E"/>
    <w:pPr>
      <w:jc w:val="left"/>
    </w:pPr>
    <w:rPr>
      <w:rFonts w:eastAsia="Times New Roman"/>
      <w:b/>
      <w:bCs/>
      <w:sz w:val="26"/>
      <w:szCs w:val="26"/>
    </w:rPr>
  </w:style>
  <w:style w:type="paragraph" w:customStyle="1" w:styleId="Header1">
    <w:name w:val="Header 1"/>
    <w:basedOn w:val="Header"/>
    <w:rsid w:val="0087216E"/>
    <w:rPr>
      <w:b/>
      <w:sz w:val="24"/>
      <w:szCs w:val="24"/>
    </w:rPr>
  </w:style>
  <w:style w:type="character" w:customStyle="1" w:styleId="Pantone485">
    <w:name w:val="Pantone 485"/>
    <w:basedOn w:val="DefaultParagraphFont"/>
    <w:uiPriority w:val="1"/>
    <w:qFormat/>
    <w:rsid w:val="0087216E"/>
    <w:rPr>
      <w:rFonts w:cs="Caecilia-Light"/>
      <w:color w:val="DC281E"/>
      <w:szCs w:val="16"/>
    </w:rPr>
  </w:style>
  <w:style w:type="character" w:customStyle="1" w:styleId="H1Char">
    <w:name w:val="H1 Char"/>
    <w:basedOn w:val="DefaultParagraphFont"/>
    <w:link w:val="H1"/>
    <w:rsid w:val="0087216E"/>
    <w:rPr>
      <w:rFonts w:ascii="Arial" w:eastAsiaTheme="minorEastAsia" w:hAnsi="Arial" w:cs="Times New Roman"/>
      <w:b/>
      <w:sz w:val="40"/>
      <w:szCs w:val="52"/>
    </w:rPr>
  </w:style>
  <w:style w:type="table" w:customStyle="1" w:styleId="TableGray">
    <w:name w:val="Table Gray"/>
    <w:basedOn w:val="TableNormal"/>
    <w:uiPriority w:val="99"/>
    <w:rsid w:val="0087216E"/>
    <w:rPr>
      <w:rFonts w:eastAsiaTheme="minorEastAsia" w:cs="Times New Roman"/>
      <w:sz w:val="20"/>
      <w:szCs w:val="20"/>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87216E"/>
    <w:pPr>
      <w:numPr>
        <w:numId w:val="48"/>
      </w:numPr>
      <w:tabs>
        <w:tab w:val="left" w:pos="7230"/>
      </w:tabs>
      <w:spacing w:before="240"/>
    </w:pPr>
    <w:rPr>
      <w:rFonts w:cs="Arial"/>
    </w:rPr>
  </w:style>
  <w:style w:type="paragraph" w:customStyle="1" w:styleId="ListNumber1">
    <w:name w:val="List Number 1"/>
    <w:basedOn w:val="Normal"/>
    <w:rsid w:val="0087216E"/>
    <w:pPr>
      <w:numPr>
        <w:ilvl w:val="1"/>
        <w:numId w:val="45"/>
      </w:numPr>
      <w:contextualSpacing/>
    </w:pPr>
    <w:rPr>
      <w:rFonts w:eastAsiaTheme="minorHAnsi" w:cstheme="minorHAnsi"/>
      <w:szCs w:val="22"/>
    </w:rPr>
  </w:style>
  <w:style w:type="paragraph" w:customStyle="1" w:styleId="NormalNo">
    <w:name w:val="Normal + No"/>
    <w:basedOn w:val="Normal"/>
    <w:qFormat/>
    <w:rsid w:val="0087216E"/>
    <w:pPr>
      <w:numPr>
        <w:numId w:val="46"/>
      </w:numPr>
    </w:pPr>
    <w:rPr>
      <w:rFonts w:eastAsia="MS Mincho"/>
      <w:b/>
      <w:sz w:val="22"/>
    </w:rPr>
  </w:style>
  <w:style w:type="paragraph" w:customStyle="1" w:styleId="Bullet3">
    <w:name w:val="Bullet 3"/>
    <w:basedOn w:val="ListParagraph"/>
    <w:qFormat/>
    <w:rsid w:val="0087216E"/>
    <w:pPr>
      <w:numPr>
        <w:numId w:val="49"/>
      </w:numPr>
      <w:spacing w:before="120" w:after="120"/>
      <w:ind w:right="425"/>
    </w:pPr>
    <w:rPr>
      <w:rFonts w:cs="Arial"/>
      <w:i/>
      <w:iCs/>
    </w:rPr>
  </w:style>
  <w:style w:type="paragraph" w:customStyle="1" w:styleId="Indent">
    <w:name w:val="Indent"/>
    <w:basedOn w:val="Normal"/>
    <w:qFormat/>
    <w:rsid w:val="0087216E"/>
    <w:pPr>
      <w:ind w:left="567"/>
    </w:pPr>
    <w:rPr>
      <w:rFonts w:cs="Arial"/>
      <w:b/>
    </w:rPr>
  </w:style>
  <w:style w:type="paragraph" w:customStyle="1" w:styleId="TitreTableau">
    <w:name w:val="Titre Tableau"/>
    <w:basedOn w:val="Normal"/>
    <w:qFormat/>
    <w:rsid w:val="0087216E"/>
    <w:pPr>
      <w:spacing w:before="120"/>
      <w:jc w:val="center"/>
    </w:pPr>
    <w:rPr>
      <w:rFonts w:cs="Arial"/>
      <w:b/>
      <w:bCs/>
      <w:color w:val="FFFFFF" w:themeColor="background1"/>
      <w:lang w:val="en-CA"/>
    </w:rPr>
  </w:style>
  <w:style w:type="paragraph" w:customStyle="1" w:styleId="BulletTableau">
    <w:name w:val="Bullet Tableau"/>
    <w:basedOn w:val="Bullet2"/>
    <w:qFormat/>
    <w:rsid w:val="0087216E"/>
    <w:pPr>
      <w:keepNext/>
      <w:keepLines/>
      <w:framePr w:hSpace="141" w:wrap="around" w:vAnchor="text" w:hAnchor="margin" w:y="402"/>
      <w:numPr>
        <w:numId w:val="50"/>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20209214">
      <w:bodyDiv w:val="1"/>
      <w:marLeft w:val="0"/>
      <w:marRight w:val="0"/>
      <w:marTop w:val="0"/>
      <w:marBottom w:val="0"/>
      <w:divBdr>
        <w:top w:val="none" w:sz="0" w:space="0" w:color="auto"/>
        <w:left w:val="none" w:sz="0" w:space="0" w:color="auto"/>
        <w:bottom w:val="none" w:sz="0" w:space="0" w:color="auto"/>
        <w:right w:val="none" w:sz="0" w:space="0" w:color="auto"/>
      </w:divBdr>
    </w:div>
    <w:div w:id="107939335">
      <w:bodyDiv w:val="1"/>
      <w:marLeft w:val="0"/>
      <w:marRight w:val="0"/>
      <w:marTop w:val="0"/>
      <w:marBottom w:val="0"/>
      <w:divBdr>
        <w:top w:val="none" w:sz="0" w:space="0" w:color="auto"/>
        <w:left w:val="none" w:sz="0" w:space="0" w:color="auto"/>
        <w:bottom w:val="none" w:sz="0" w:space="0" w:color="auto"/>
        <w:right w:val="none" w:sz="0" w:space="0" w:color="auto"/>
      </w:divBdr>
    </w:div>
    <w:div w:id="276834300">
      <w:bodyDiv w:val="1"/>
      <w:marLeft w:val="0"/>
      <w:marRight w:val="0"/>
      <w:marTop w:val="0"/>
      <w:marBottom w:val="0"/>
      <w:divBdr>
        <w:top w:val="none" w:sz="0" w:space="0" w:color="auto"/>
        <w:left w:val="none" w:sz="0" w:space="0" w:color="auto"/>
        <w:bottom w:val="none" w:sz="0" w:space="0" w:color="auto"/>
        <w:right w:val="none" w:sz="0" w:space="0" w:color="auto"/>
      </w:divBdr>
    </w:div>
    <w:div w:id="285550936">
      <w:bodyDiv w:val="1"/>
      <w:marLeft w:val="0"/>
      <w:marRight w:val="0"/>
      <w:marTop w:val="0"/>
      <w:marBottom w:val="0"/>
      <w:divBdr>
        <w:top w:val="none" w:sz="0" w:space="0" w:color="auto"/>
        <w:left w:val="none" w:sz="0" w:space="0" w:color="auto"/>
        <w:bottom w:val="none" w:sz="0" w:space="0" w:color="auto"/>
        <w:right w:val="none" w:sz="0" w:space="0" w:color="auto"/>
      </w:divBdr>
    </w:div>
    <w:div w:id="295331237">
      <w:bodyDiv w:val="1"/>
      <w:marLeft w:val="0"/>
      <w:marRight w:val="0"/>
      <w:marTop w:val="0"/>
      <w:marBottom w:val="0"/>
      <w:divBdr>
        <w:top w:val="none" w:sz="0" w:space="0" w:color="auto"/>
        <w:left w:val="none" w:sz="0" w:space="0" w:color="auto"/>
        <w:bottom w:val="none" w:sz="0" w:space="0" w:color="auto"/>
        <w:right w:val="none" w:sz="0" w:space="0" w:color="auto"/>
      </w:divBdr>
    </w:div>
    <w:div w:id="338043645">
      <w:bodyDiv w:val="1"/>
      <w:marLeft w:val="0"/>
      <w:marRight w:val="0"/>
      <w:marTop w:val="0"/>
      <w:marBottom w:val="0"/>
      <w:divBdr>
        <w:top w:val="none" w:sz="0" w:space="0" w:color="auto"/>
        <w:left w:val="none" w:sz="0" w:space="0" w:color="auto"/>
        <w:bottom w:val="none" w:sz="0" w:space="0" w:color="auto"/>
        <w:right w:val="none" w:sz="0" w:space="0" w:color="auto"/>
      </w:divBdr>
    </w:div>
    <w:div w:id="490029766">
      <w:bodyDiv w:val="1"/>
      <w:marLeft w:val="0"/>
      <w:marRight w:val="0"/>
      <w:marTop w:val="0"/>
      <w:marBottom w:val="0"/>
      <w:divBdr>
        <w:top w:val="none" w:sz="0" w:space="0" w:color="auto"/>
        <w:left w:val="none" w:sz="0" w:space="0" w:color="auto"/>
        <w:bottom w:val="none" w:sz="0" w:space="0" w:color="auto"/>
        <w:right w:val="none" w:sz="0" w:space="0" w:color="auto"/>
      </w:divBdr>
    </w:div>
    <w:div w:id="499928356">
      <w:bodyDiv w:val="1"/>
      <w:marLeft w:val="0"/>
      <w:marRight w:val="0"/>
      <w:marTop w:val="0"/>
      <w:marBottom w:val="0"/>
      <w:divBdr>
        <w:top w:val="none" w:sz="0" w:space="0" w:color="auto"/>
        <w:left w:val="none" w:sz="0" w:space="0" w:color="auto"/>
        <w:bottom w:val="none" w:sz="0" w:space="0" w:color="auto"/>
        <w:right w:val="none" w:sz="0" w:space="0" w:color="auto"/>
      </w:divBdr>
    </w:div>
    <w:div w:id="580221344">
      <w:bodyDiv w:val="1"/>
      <w:marLeft w:val="0"/>
      <w:marRight w:val="0"/>
      <w:marTop w:val="0"/>
      <w:marBottom w:val="0"/>
      <w:divBdr>
        <w:top w:val="none" w:sz="0" w:space="0" w:color="auto"/>
        <w:left w:val="none" w:sz="0" w:space="0" w:color="auto"/>
        <w:bottom w:val="none" w:sz="0" w:space="0" w:color="auto"/>
        <w:right w:val="none" w:sz="0" w:space="0" w:color="auto"/>
      </w:divBdr>
    </w:div>
    <w:div w:id="891355919">
      <w:bodyDiv w:val="1"/>
      <w:marLeft w:val="0"/>
      <w:marRight w:val="0"/>
      <w:marTop w:val="0"/>
      <w:marBottom w:val="0"/>
      <w:divBdr>
        <w:top w:val="none" w:sz="0" w:space="0" w:color="auto"/>
        <w:left w:val="none" w:sz="0" w:space="0" w:color="auto"/>
        <w:bottom w:val="none" w:sz="0" w:space="0" w:color="auto"/>
        <w:right w:val="none" w:sz="0" w:space="0" w:color="auto"/>
      </w:divBdr>
    </w:div>
    <w:div w:id="1127746590">
      <w:bodyDiv w:val="1"/>
      <w:marLeft w:val="0"/>
      <w:marRight w:val="0"/>
      <w:marTop w:val="0"/>
      <w:marBottom w:val="0"/>
      <w:divBdr>
        <w:top w:val="none" w:sz="0" w:space="0" w:color="auto"/>
        <w:left w:val="none" w:sz="0" w:space="0" w:color="auto"/>
        <w:bottom w:val="none" w:sz="0" w:space="0" w:color="auto"/>
        <w:right w:val="none" w:sz="0" w:space="0" w:color="auto"/>
      </w:divBdr>
    </w:div>
    <w:div w:id="1206484708">
      <w:bodyDiv w:val="1"/>
      <w:marLeft w:val="0"/>
      <w:marRight w:val="0"/>
      <w:marTop w:val="0"/>
      <w:marBottom w:val="0"/>
      <w:divBdr>
        <w:top w:val="none" w:sz="0" w:space="0" w:color="auto"/>
        <w:left w:val="none" w:sz="0" w:space="0" w:color="auto"/>
        <w:bottom w:val="none" w:sz="0" w:space="0" w:color="auto"/>
        <w:right w:val="none" w:sz="0" w:space="0" w:color="auto"/>
      </w:divBdr>
    </w:div>
    <w:div w:id="1290237935">
      <w:bodyDiv w:val="1"/>
      <w:marLeft w:val="0"/>
      <w:marRight w:val="0"/>
      <w:marTop w:val="0"/>
      <w:marBottom w:val="0"/>
      <w:divBdr>
        <w:top w:val="none" w:sz="0" w:space="0" w:color="auto"/>
        <w:left w:val="none" w:sz="0" w:space="0" w:color="auto"/>
        <w:bottom w:val="none" w:sz="0" w:space="0" w:color="auto"/>
        <w:right w:val="none" w:sz="0" w:space="0" w:color="auto"/>
      </w:divBdr>
    </w:div>
    <w:div w:id="1388341502">
      <w:bodyDiv w:val="1"/>
      <w:marLeft w:val="0"/>
      <w:marRight w:val="0"/>
      <w:marTop w:val="0"/>
      <w:marBottom w:val="0"/>
      <w:divBdr>
        <w:top w:val="none" w:sz="0" w:space="0" w:color="auto"/>
        <w:left w:val="none" w:sz="0" w:space="0" w:color="auto"/>
        <w:bottom w:val="none" w:sz="0" w:space="0" w:color="auto"/>
        <w:right w:val="none" w:sz="0" w:space="0" w:color="auto"/>
      </w:divBdr>
    </w:div>
    <w:div w:id="1436515835">
      <w:bodyDiv w:val="1"/>
      <w:marLeft w:val="0"/>
      <w:marRight w:val="0"/>
      <w:marTop w:val="0"/>
      <w:marBottom w:val="0"/>
      <w:divBdr>
        <w:top w:val="none" w:sz="0" w:space="0" w:color="auto"/>
        <w:left w:val="none" w:sz="0" w:space="0" w:color="auto"/>
        <w:bottom w:val="none" w:sz="0" w:space="0" w:color="auto"/>
        <w:right w:val="none" w:sz="0" w:space="0" w:color="auto"/>
      </w:divBdr>
    </w:div>
    <w:div w:id="1495223548">
      <w:bodyDiv w:val="1"/>
      <w:marLeft w:val="0"/>
      <w:marRight w:val="0"/>
      <w:marTop w:val="0"/>
      <w:marBottom w:val="0"/>
      <w:divBdr>
        <w:top w:val="none" w:sz="0" w:space="0" w:color="auto"/>
        <w:left w:val="none" w:sz="0" w:space="0" w:color="auto"/>
        <w:bottom w:val="none" w:sz="0" w:space="0" w:color="auto"/>
        <w:right w:val="none" w:sz="0" w:space="0" w:color="auto"/>
      </w:divBdr>
    </w:div>
    <w:div w:id="1501117080">
      <w:bodyDiv w:val="1"/>
      <w:marLeft w:val="0"/>
      <w:marRight w:val="0"/>
      <w:marTop w:val="0"/>
      <w:marBottom w:val="0"/>
      <w:divBdr>
        <w:top w:val="none" w:sz="0" w:space="0" w:color="auto"/>
        <w:left w:val="none" w:sz="0" w:space="0" w:color="auto"/>
        <w:bottom w:val="none" w:sz="0" w:space="0" w:color="auto"/>
        <w:right w:val="none" w:sz="0" w:space="0" w:color="auto"/>
      </w:divBdr>
    </w:div>
    <w:div w:id="1560172695">
      <w:bodyDiv w:val="1"/>
      <w:marLeft w:val="0"/>
      <w:marRight w:val="0"/>
      <w:marTop w:val="0"/>
      <w:marBottom w:val="0"/>
      <w:divBdr>
        <w:top w:val="none" w:sz="0" w:space="0" w:color="auto"/>
        <w:left w:val="none" w:sz="0" w:space="0" w:color="auto"/>
        <w:bottom w:val="none" w:sz="0" w:space="0" w:color="auto"/>
        <w:right w:val="none" w:sz="0" w:space="0" w:color="auto"/>
      </w:divBdr>
    </w:div>
    <w:div w:id="1678071715">
      <w:bodyDiv w:val="1"/>
      <w:marLeft w:val="0"/>
      <w:marRight w:val="0"/>
      <w:marTop w:val="0"/>
      <w:marBottom w:val="0"/>
      <w:divBdr>
        <w:top w:val="none" w:sz="0" w:space="0" w:color="auto"/>
        <w:left w:val="none" w:sz="0" w:space="0" w:color="auto"/>
        <w:bottom w:val="none" w:sz="0" w:space="0" w:color="auto"/>
        <w:right w:val="none" w:sz="0" w:space="0" w:color="auto"/>
      </w:divBdr>
    </w:div>
    <w:div w:id="1739356059">
      <w:bodyDiv w:val="1"/>
      <w:marLeft w:val="0"/>
      <w:marRight w:val="0"/>
      <w:marTop w:val="0"/>
      <w:marBottom w:val="0"/>
      <w:divBdr>
        <w:top w:val="none" w:sz="0" w:space="0" w:color="auto"/>
        <w:left w:val="none" w:sz="0" w:space="0" w:color="auto"/>
        <w:bottom w:val="none" w:sz="0" w:space="0" w:color="auto"/>
        <w:right w:val="none" w:sz="0" w:space="0" w:color="auto"/>
      </w:divBdr>
    </w:div>
    <w:div w:id="1949965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lutionscenter.nethope.org/toolkit/view/c2e-toolki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shlearning.org/downloads/resources/tools/share-what-works-ps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hlearning.org/resources/library/390-e-transfers-in-emergencies-implementation-support-guide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0E6B-15A7-4D6B-B771-3C464EFC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ICRC_Template</Template>
  <TotalTime>186</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Independent Consultant</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Creti Pantaleo</dc:creator>
  <cp:keywords/>
  <cp:lastModifiedBy>joelle</cp:lastModifiedBy>
  <cp:revision>65</cp:revision>
  <cp:lastPrinted>2015-09-25T15:11:00Z</cp:lastPrinted>
  <dcterms:created xsi:type="dcterms:W3CDTF">2015-06-03T12:13:00Z</dcterms:created>
  <dcterms:modified xsi:type="dcterms:W3CDTF">2016-02-20T10:18:00Z</dcterms:modified>
</cp:coreProperties>
</file>