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0AA" w:rsidRPr="00EF2A45" w:rsidRDefault="008C3371" w:rsidP="003C0D62">
      <w:pPr>
        <w:bidi/>
        <w:jc w:val="center"/>
        <w:rPr>
          <w:rFonts w:ascii="Arial" w:hAnsi="Arial" w:cs="Arial"/>
          <w:b/>
          <w:bCs/>
          <w:sz w:val="28"/>
          <w:szCs w:val="28"/>
          <w:rtl/>
        </w:rPr>
      </w:pPr>
      <w:r w:rsidRPr="002208D5">
        <w:rPr>
          <w:rFonts w:ascii="Arial" w:hAnsi="Arial" w:cs="Arial"/>
          <w:b/>
          <w:bCs/>
          <w:sz w:val="28"/>
          <w:szCs w:val="28"/>
          <w:rtl/>
        </w:rPr>
        <w:t>خارطة الطريق لتقييم المخاطر المحيطة ببرامج التحويلات النقدية</w:t>
      </w:r>
    </w:p>
    <w:p w:rsidR="008C3371" w:rsidRPr="00EF2A45" w:rsidRDefault="008C3371" w:rsidP="002208D5">
      <w:pPr>
        <w:bidi/>
        <w:jc w:val="both"/>
        <w:rPr>
          <w:rFonts w:ascii="Arial" w:hAnsi="Arial" w:cs="Arial"/>
          <w:sz w:val="28"/>
          <w:szCs w:val="28"/>
          <w:rtl/>
        </w:rPr>
      </w:pPr>
      <w:r w:rsidRPr="00EF2A45">
        <w:rPr>
          <w:rFonts w:ascii="Arial" w:hAnsi="Arial" w:cs="Arial"/>
          <w:sz w:val="28"/>
          <w:szCs w:val="28"/>
          <w:rtl/>
        </w:rPr>
        <w:t>تهدف خارطة الطريق هذه إلى تقديم توجيهات حول تقييم المخاطر. تتطرق هذه التوجيهات إلى كيفية تحديد المخاطر المحيطة بعملية الاستجابة النقدية المحتملة</w:t>
      </w:r>
      <w:r w:rsidR="00C84653" w:rsidRPr="00EF2A45">
        <w:rPr>
          <w:rFonts w:ascii="Arial" w:hAnsi="Arial" w:cs="Arial"/>
          <w:sz w:val="28"/>
          <w:szCs w:val="28"/>
          <w:rtl/>
        </w:rPr>
        <w:t>،</w:t>
      </w:r>
      <w:r w:rsidRPr="00EF2A45">
        <w:rPr>
          <w:rFonts w:ascii="Arial" w:hAnsi="Arial" w:cs="Arial"/>
          <w:sz w:val="28"/>
          <w:szCs w:val="28"/>
          <w:rtl/>
        </w:rPr>
        <w:t xml:space="preserve"> ووصفها،  وتصنيف المخاطر بحسب حدة خطورتها</w:t>
      </w:r>
      <w:r w:rsidR="003D6D3D" w:rsidRPr="00EF2A45">
        <w:rPr>
          <w:rFonts w:ascii="Arial" w:hAnsi="Arial" w:cs="Arial"/>
          <w:sz w:val="28"/>
          <w:szCs w:val="28"/>
          <w:rtl/>
        </w:rPr>
        <w:t xml:space="preserve">، </w:t>
      </w:r>
      <w:r w:rsidR="000E097D" w:rsidRPr="00EF2A45">
        <w:rPr>
          <w:rFonts w:ascii="Arial" w:hAnsi="Arial" w:cs="Arial"/>
          <w:sz w:val="28"/>
          <w:szCs w:val="28"/>
          <w:rtl/>
        </w:rPr>
        <w:t xml:space="preserve">واختيار الاجراءات التي لا بد من تنفيذها. </w:t>
      </w:r>
      <w:r w:rsidR="00BA38CC" w:rsidRPr="00EF2A45">
        <w:rPr>
          <w:rFonts w:ascii="Arial" w:hAnsi="Arial" w:cs="Arial"/>
          <w:sz w:val="28"/>
          <w:szCs w:val="28"/>
          <w:rtl/>
        </w:rPr>
        <w:t xml:space="preserve">كما تقترح سبلاً لاستخدام الموارد </w:t>
      </w:r>
      <w:r w:rsidR="000C20F0" w:rsidRPr="00EF2A45">
        <w:rPr>
          <w:rFonts w:ascii="Arial" w:hAnsi="Arial" w:cs="Arial"/>
          <w:sz w:val="28"/>
          <w:szCs w:val="28"/>
          <w:rtl/>
        </w:rPr>
        <w:t xml:space="preserve">التي تقدمها مجموعة الأدوات المقترحة. وفي حالة الطوارئ، </w:t>
      </w:r>
      <w:r w:rsidR="002208D5">
        <w:rPr>
          <w:rFonts w:ascii="Arial" w:hAnsi="Arial" w:cs="Arial"/>
          <w:sz w:val="28"/>
          <w:szCs w:val="28"/>
          <w:rtl/>
        </w:rPr>
        <w:t>قد</w:t>
      </w:r>
      <w:r w:rsidR="002208D5">
        <w:rPr>
          <w:rFonts w:ascii="Arial" w:hAnsi="Arial" w:cs="Arial" w:hint="cs"/>
          <w:sz w:val="28"/>
          <w:szCs w:val="28"/>
          <w:rtl/>
        </w:rPr>
        <w:t xml:space="preserve"> يتعذر </w:t>
      </w:r>
      <w:r w:rsidR="0008584A" w:rsidRPr="00EF2A45">
        <w:rPr>
          <w:rFonts w:ascii="Arial" w:hAnsi="Arial" w:cs="Arial"/>
          <w:sz w:val="28"/>
          <w:szCs w:val="28"/>
          <w:rtl/>
        </w:rPr>
        <w:t xml:space="preserve">اتباع كل الخطوات الفرعية بالتسلسل المفروض، لذلك، يجب على الأقل الامتثال للحد الأدنى من المعايير </w:t>
      </w:r>
      <w:r w:rsidR="00A3665F" w:rsidRPr="00EF2A45">
        <w:rPr>
          <w:rFonts w:ascii="Arial" w:hAnsi="Arial" w:cs="Arial"/>
          <w:sz w:val="28"/>
          <w:szCs w:val="28"/>
          <w:rtl/>
        </w:rPr>
        <w:t xml:space="preserve">ذات الصلة. </w:t>
      </w:r>
    </w:p>
    <w:p w:rsidR="00000091" w:rsidRPr="00EF2A45" w:rsidRDefault="00381E71" w:rsidP="003C0D62">
      <w:pPr>
        <w:bidi/>
        <w:jc w:val="both"/>
        <w:rPr>
          <w:rFonts w:ascii="Arial" w:hAnsi="Arial" w:cs="Arial"/>
          <w:sz w:val="28"/>
          <w:szCs w:val="28"/>
          <w:rtl/>
        </w:rPr>
      </w:pPr>
      <w:r w:rsidRPr="00EF2A45">
        <w:rPr>
          <w:rFonts w:ascii="Arial" w:hAnsi="Arial" w:cs="Arial"/>
          <w:sz w:val="28"/>
          <w:szCs w:val="28"/>
          <w:rtl/>
        </w:rPr>
        <w:t>ويمكن أن ت</w:t>
      </w:r>
      <w:r w:rsidR="002208D5">
        <w:rPr>
          <w:rFonts w:ascii="Arial" w:hAnsi="Arial" w:cs="Arial"/>
          <w:sz w:val="28"/>
          <w:szCs w:val="28"/>
          <w:rtl/>
        </w:rPr>
        <w:t xml:space="preserve">جد مجموعة </w:t>
      </w:r>
      <w:r w:rsidR="002208D5">
        <w:rPr>
          <w:rFonts w:ascii="Arial" w:hAnsi="Arial" w:cs="Arial" w:hint="cs"/>
          <w:sz w:val="28"/>
          <w:szCs w:val="28"/>
          <w:rtl/>
        </w:rPr>
        <w:t>أ</w:t>
      </w:r>
      <w:r w:rsidR="00D06EFF" w:rsidRPr="00EF2A45">
        <w:rPr>
          <w:rFonts w:ascii="Arial" w:hAnsi="Arial" w:cs="Arial"/>
          <w:sz w:val="28"/>
          <w:szCs w:val="28"/>
          <w:rtl/>
        </w:rPr>
        <w:t>دوات لكل خطوة فرعية، تكون و</w:t>
      </w:r>
      <w:r w:rsidR="002208D5">
        <w:rPr>
          <w:rFonts w:ascii="Arial" w:hAnsi="Arial" w:cs="Arial" w:hint="cs"/>
          <w:sz w:val="28"/>
          <w:szCs w:val="28"/>
          <w:rtl/>
        </w:rPr>
        <w:t>ا</w:t>
      </w:r>
      <w:r w:rsidR="002208D5">
        <w:rPr>
          <w:rFonts w:ascii="Arial" w:hAnsi="Arial" w:cs="Arial"/>
          <w:sz w:val="28"/>
          <w:szCs w:val="28"/>
          <w:rtl/>
        </w:rPr>
        <w:t>س</w:t>
      </w:r>
      <w:r w:rsidR="00D06EFF" w:rsidRPr="00EF2A45">
        <w:rPr>
          <w:rFonts w:ascii="Arial" w:hAnsi="Arial" w:cs="Arial"/>
          <w:sz w:val="28"/>
          <w:szCs w:val="28"/>
          <w:rtl/>
        </w:rPr>
        <w:t xml:space="preserve">عة النطاق وعامة، لكي يتم تكييفها مع السياق </w:t>
      </w:r>
      <w:r w:rsidR="00000091" w:rsidRPr="00EF2A45">
        <w:rPr>
          <w:rFonts w:ascii="Arial" w:hAnsi="Arial" w:cs="Arial"/>
          <w:sz w:val="28"/>
          <w:szCs w:val="28"/>
          <w:rtl/>
        </w:rPr>
        <w:t>والحاجات المطروحة. وإن احتجت للمزيد من الم</w:t>
      </w:r>
      <w:r w:rsidR="002208D5">
        <w:rPr>
          <w:rFonts w:ascii="Arial" w:hAnsi="Arial" w:cs="Arial" w:hint="cs"/>
          <w:sz w:val="28"/>
          <w:szCs w:val="28"/>
          <w:rtl/>
        </w:rPr>
        <w:t>ب</w:t>
      </w:r>
      <w:r w:rsidR="00000091" w:rsidRPr="00EF2A45">
        <w:rPr>
          <w:rFonts w:ascii="Arial" w:hAnsi="Arial" w:cs="Arial"/>
          <w:sz w:val="28"/>
          <w:szCs w:val="28"/>
          <w:rtl/>
        </w:rPr>
        <w:t>ادئ التوجيهية والارشادات لتقييم المخاطر، يمكن اللجوء إلى المراجع المقترحة في نهاية هذه الخارطة.</w:t>
      </w:r>
    </w:p>
    <w:p w:rsidR="005A4C51" w:rsidRPr="00EF2A45" w:rsidRDefault="00EF2A45" w:rsidP="003C0D62">
      <w:pPr>
        <w:bidi/>
        <w:jc w:val="both"/>
        <w:rPr>
          <w:rFonts w:ascii="Arial" w:hAnsi="Arial" w:cs="Arial"/>
          <w:b/>
          <w:bCs/>
          <w:sz w:val="28"/>
          <w:szCs w:val="28"/>
          <w:rtl/>
        </w:rPr>
      </w:pPr>
      <w:r w:rsidRPr="00EF2A45">
        <w:rPr>
          <w:rFonts w:ascii="Arial" w:hAnsi="Arial" w:cs="Arial"/>
          <w:b/>
          <w:bCs/>
          <w:sz w:val="28"/>
          <w:szCs w:val="28"/>
          <w:rtl/>
        </w:rPr>
        <w:t>ا</w:t>
      </w:r>
      <w:r w:rsidRPr="00EF2A45">
        <w:rPr>
          <w:rFonts w:ascii="Arial" w:hAnsi="Arial" w:cs="Arial" w:hint="cs"/>
          <w:b/>
          <w:bCs/>
          <w:sz w:val="28"/>
          <w:szCs w:val="28"/>
          <w:rtl/>
        </w:rPr>
        <w:t>لإ</w:t>
      </w:r>
      <w:r w:rsidR="005A4C51" w:rsidRPr="00EF2A45">
        <w:rPr>
          <w:rFonts w:ascii="Arial" w:hAnsi="Arial" w:cs="Arial"/>
          <w:b/>
          <w:bCs/>
          <w:sz w:val="28"/>
          <w:szCs w:val="28"/>
          <w:rtl/>
        </w:rPr>
        <w:t>رشادات:</w:t>
      </w:r>
    </w:p>
    <w:p w:rsidR="005A4C51" w:rsidRPr="00EF2A45" w:rsidRDefault="00D15CC7" w:rsidP="003C0D62">
      <w:pPr>
        <w:pStyle w:val="ListParagraph"/>
        <w:numPr>
          <w:ilvl w:val="0"/>
          <w:numId w:val="1"/>
        </w:numPr>
        <w:bidi/>
        <w:jc w:val="both"/>
        <w:rPr>
          <w:rFonts w:ascii="Arial" w:hAnsi="Arial" w:cs="Arial"/>
          <w:sz w:val="28"/>
          <w:szCs w:val="28"/>
        </w:rPr>
      </w:pPr>
      <w:r w:rsidRPr="00EF2A45">
        <w:rPr>
          <w:rFonts w:ascii="Arial" w:hAnsi="Arial" w:cs="Arial"/>
          <w:sz w:val="28"/>
          <w:szCs w:val="28"/>
          <w:rtl/>
        </w:rPr>
        <w:t xml:space="preserve">يجب أخذ </w:t>
      </w:r>
      <w:r w:rsidR="005A4C51" w:rsidRPr="00EF2A45">
        <w:rPr>
          <w:rFonts w:ascii="Arial" w:hAnsi="Arial" w:cs="Arial"/>
          <w:sz w:val="28"/>
          <w:szCs w:val="28"/>
          <w:rtl/>
        </w:rPr>
        <w:t>المخاط</w:t>
      </w:r>
      <w:r w:rsidR="00C420F3">
        <w:rPr>
          <w:rFonts w:ascii="Arial" w:hAnsi="Arial" w:cs="Arial"/>
          <w:sz w:val="28"/>
          <w:szCs w:val="28"/>
          <w:rtl/>
        </w:rPr>
        <w:t>ر في عي</w:t>
      </w:r>
      <w:r w:rsidR="00C420F3">
        <w:rPr>
          <w:rFonts w:ascii="Arial" w:hAnsi="Arial" w:cs="Arial" w:hint="cs"/>
          <w:sz w:val="28"/>
          <w:szCs w:val="28"/>
          <w:rtl/>
        </w:rPr>
        <w:t>ن</w:t>
      </w:r>
      <w:r w:rsidR="005A4C51" w:rsidRPr="00EF2A45">
        <w:rPr>
          <w:rFonts w:ascii="Arial" w:hAnsi="Arial" w:cs="Arial"/>
          <w:sz w:val="28"/>
          <w:szCs w:val="28"/>
          <w:rtl/>
        </w:rPr>
        <w:t xml:space="preserve"> الاعتبار في خلال عملية تقييم ال</w:t>
      </w:r>
      <w:r w:rsidRPr="00EF2A45">
        <w:rPr>
          <w:rFonts w:ascii="Arial" w:hAnsi="Arial" w:cs="Arial"/>
          <w:sz w:val="28"/>
          <w:szCs w:val="28"/>
          <w:rtl/>
        </w:rPr>
        <w:t>استجابة. فتقييم المخاطر يساعد على تحديد جدوى الخيارات النقدية ويوف</w:t>
      </w:r>
      <w:r w:rsidR="005A4C51" w:rsidRPr="00EF2A45">
        <w:rPr>
          <w:rFonts w:ascii="Arial" w:hAnsi="Arial" w:cs="Arial"/>
          <w:sz w:val="28"/>
          <w:szCs w:val="28"/>
          <w:rtl/>
        </w:rPr>
        <w:t>ر المعلومات القيّمة لسير عملية المقارنة بين الخيارات المتعددة.</w:t>
      </w:r>
    </w:p>
    <w:p w:rsidR="008C3371" w:rsidRPr="00EF2A45" w:rsidRDefault="00381E71" w:rsidP="003C0D62">
      <w:pPr>
        <w:pStyle w:val="ListParagraph"/>
        <w:numPr>
          <w:ilvl w:val="0"/>
          <w:numId w:val="1"/>
        </w:numPr>
        <w:bidi/>
        <w:jc w:val="both"/>
        <w:rPr>
          <w:rFonts w:ascii="Arial" w:hAnsi="Arial" w:cs="Arial"/>
          <w:sz w:val="28"/>
          <w:szCs w:val="28"/>
        </w:rPr>
      </w:pPr>
      <w:r w:rsidRPr="00EF2A45">
        <w:rPr>
          <w:rFonts w:ascii="Arial" w:hAnsi="Arial" w:cs="Arial"/>
          <w:sz w:val="28"/>
          <w:szCs w:val="28"/>
          <w:rtl/>
        </w:rPr>
        <w:t xml:space="preserve"> </w:t>
      </w:r>
      <w:r w:rsidR="00D15CC7" w:rsidRPr="00EF2A45">
        <w:rPr>
          <w:rFonts w:ascii="Arial" w:hAnsi="Arial" w:cs="Arial"/>
          <w:sz w:val="28"/>
          <w:szCs w:val="28"/>
          <w:rtl/>
        </w:rPr>
        <w:t xml:space="preserve">نظراً إلى المخاطر العديدة التي تحيط </w:t>
      </w:r>
      <w:r w:rsidR="00C420F3">
        <w:rPr>
          <w:rFonts w:ascii="Arial" w:hAnsi="Arial" w:cs="Arial" w:hint="cs"/>
          <w:sz w:val="28"/>
          <w:szCs w:val="28"/>
          <w:rtl/>
        </w:rPr>
        <w:t>ب</w:t>
      </w:r>
      <w:r w:rsidR="00D15CC7" w:rsidRPr="00EF2A45">
        <w:rPr>
          <w:rFonts w:ascii="Arial" w:hAnsi="Arial" w:cs="Arial"/>
          <w:sz w:val="28"/>
          <w:szCs w:val="28"/>
          <w:rtl/>
        </w:rPr>
        <w:t xml:space="preserve">عملية الاستجابة النقدية، لا بد من أن يولي التقييم أولوية للمخاطر الأكثر حدة. وفي حال كان </w:t>
      </w:r>
      <w:r w:rsidR="00C420F3">
        <w:rPr>
          <w:rFonts w:ascii="Arial" w:hAnsi="Arial" w:cs="Arial" w:hint="cs"/>
          <w:sz w:val="28"/>
          <w:szCs w:val="28"/>
          <w:rtl/>
        </w:rPr>
        <w:t xml:space="preserve">كل </w:t>
      </w:r>
      <w:r w:rsidR="00D15CC7" w:rsidRPr="00EF2A45">
        <w:rPr>
          <w:rFonts w:ascii="Arial" w:hAnsi="Arial" w:cs="Arial"/>
          <w:sz w:val="28"/>
          <w:szCs w:val="28"/>
          <w:rtl/>
        </w:rPr>
        <w:t xml:space="preserve">الوقت والموارد محدودين، يمكن </w:t>
      </w:r>
      <w:r w:rsidR="0009475D" w:rsidRPr="00EF2A45">
        <w:rPr>
          <w:rFonts w:ascii="Arial" w:hAnsi="Arial" w:cs="Arial"/>
          <w:sz w:val="28"/>
          <w:szCs w:val="28"/>
          <w:rtl/>
        </w:rPr>
        <w:t>إجراء تقييم مخاطر لثلاث أو أربع سيناريوهات استجابة.</w:t>
      </w:r>
    </w:p>
    <w:p w:rsidR="00C218D9" w:rsidRPr="00EF2A45" w:rsidRDefault="005438D6" w:rsidP="003C0D62">
      <w:pPr>
        <w:pStyle w:val="ListParagraph"/>
        <w:numPr>
          <w:ilvl w:val="0"/>
          <w:numId w:val="1"/>
        </w:numPr>
        <w:bidi/>
        <w:jc w:val="both"/>
        <w:rPr>
          <w:rFonts w:ascii="Arial" w:hAnsi="Arial" w:cs="Arial"/>
          <w:sz w:val="28"/>
          <w:szCs w:val="28"/>
        </w:rPr>
      </w:pPr>
      <w:r w:rsidRPr="00EF2A45">
        <w:rPr>
          <w:rFonts w:ascii="Arial" w:hAnsi="Arial" w:cs="Arial"/>
          <w:sz w:val="28"/>
          <w:szCs w:val="28"/>
          <w:rtl/>
        </w:rPr>
        <w:t>يمكن إثراء عملية تقييم المخاطر من خلال مشاركة مجموعة متنوعة من أصحاب المصالح (بما في ذلك أعضاء فريق</w:t>
      </w:r>
      <w:r w:rsidR="00C420F3">
        <w:rPr>
          <w:rFonts w:ascii="Arial" w:hAnsi="Arial" w:cs="Arial"/>
          <w:sz w:val="28"/>
          <w:szCs w:val="28"/>
          <w:rtl/>
        </w:rPr>
        <w:t xml:space="preserve"> التقييم، والمتطوعين، والموظفين</w:t>
      </w:r>
      <w:r w:rsidRPr="00EF2A45">
        <w:rPr>
          <w:rFonts w:ascii="Arial" w:hAnsi="Arial" w:cs="Arial"/>
          <w:sz w:val="28"/>
          <w:szCs w:val="28"/>
          <w:rtl/>
        </w:rPr>
        <w:t>، والوحدات اللوجستية والمالية).</w:t>
      </w:r>
    </w:p>
    <w:p w:rsidR="005438D6" w:rsidRPr="00EF2A45" w:rsidRDefault="00D85BEA" w:rsidP="003C0D62">
      <w:pPr>
        <w:pStyle w:val="ListParagraph"/>
        <w:numPr>
          <w:ilvl w:val="0"/>
          <w:numId w:val="1"/>
        </w:numPr>
        <w:bidi/>
        <w:jc w:val="both"/>
        <w:rPr>
          <w:rFonts w:ascii="Arial" w:hAnsi="Arial" w:cs="Arial"/>
          <w:sz w:val="28"/>
          <w:szCs w:val="28"/>
        </w:rPr>
      </w:pPr>
      <w:r w:rsidRPr="00EF2A45">
        <w:rPr>
          <w:rFonts w:ascii="Arial" w:hAnsi="Arial" w:cs="Arial"/>
          <w:sz w:val="28"/>
          <w:szCs w:val="28"/>
          <w:rtl/>
        </w:rPr>
        <w:t>عبر فسح المجال لأفراد المجتمع للمشاركة في إدارة المخاطر ور</w:t>
      </w:r>
      <w:r w:rsidR="00324093" w:rsidRPr="00EF2A45">
        <w:rPr>
          <w:rFonts w:ascii="Arial" w:hAnsi="Arial" w:cs="Arial"/>
          <w:sz w:val="28"/>
          <w:szCs w:val="28"/>
          <w:rtl/>
        </w:rPr>
        <w:t>صدها، يمكن زيادة حس المسؤولية لد</w:t>
      </w:r>
      <w:r w:rsidR="0029038A">
        <w:rPr>
          <w:rFonts w:ascii="Arial" w:hAnsi="Arial" w:cs="Arial"/>
          <w:sz w:val="28"/>
          <w:szCs w:val="28"/>
          <w:rtl/>
        </w:rPr>
        <w:t>ى هؤلاء الأفراد. وهذا من ش</w:t>
      </w:r>
      <w:r w:rsidR="0029038A">
        <w:rPr>
          <w:rFonts w:ascii="Arial" w:hAnsi="Arial" w:cs="Arial" w:hint="cs"/>
          <w:sz w:val="28"/>
          <w:szCs w:val="28"/>
          <w:rtl/>
        </w:rPr>
        <w:t>أ</w:t>
      </w:r>
      <w:r w:rsidRPr="00EF2A45">
        <w:rPr>
          <w:rFonts w:ascii="Arial" w:hAnsi="Arial" w:cs="Arial"/>
          <w:sz w:val="28"/>
          <w:szCs w:val="28"/>
          <w:rtl/>
        </w:rPr>
        <w:t xml:space="preserve">نه أن يضمن فعالية التدخّل وتقليل المخاطر. </w:t>
      </w:r>
    </w:p>
    <w:p w:rsidR="00324093" w:rsidRPr="00EF2A45" w:rsidRDefault="00CA6A2E" w:rsidP="003C0D62">
      <w:pPr>
        <w:bidi/>
        <w:jc w:val="both"/>
        <w:rPr>
          <w:rFonts w:ascii="Arial" w:hAnsi="Arial" w:cs="Arial"/>
          <w:b/>
          <w:bCs/>
          <w:sz w:val="28"/>
          <w:szCs w:val="28"/>
          <w:rtl/>
        </w:rPr>
      </w:pPr>
      <w:r w:rsidRPr="00EF2A45">
        <w:rPr>
          <w:rFonts w:ascii="Arial" w:hAnsi="Arial" w:cs="Arial"/>
          <w:b/>
          <w:bCs/>
          <w:sz w:val="28"/>
          <w:szCs w:val="28"/>
          <w:rtl/>
        </w:rPr>
        <w:t>تحديد المخاطر ووصفها:</w:t>
      </w:r>
    </w:p>
    <w:p w:rsidR="00CA6A2E" w:rsidRPr="00EF2A45" w:rsidRDefault="00CA6A2E" w:rsidP="00E30970">
      <w:pPr>
        <w:bidi/>
        <w:jc w:val="both"/>
        <w:rPr>
          <w:rFonts w:ascii="Arial" w:hAnsi="Arial" w:cs="Arial"/>
          <w:sz w:val="28"/>
          <w:szCs w:val="28"/>
          <w:rtl/>
        </w:rPr>
      </w:pPr>
      <w:r w:rsidRPr="00EF2A45">
        <w:rPr>
          <w:rFonts w:ascii="Arial" w:hAnsi="Arial" w:cs="Arial"/>
          <w:sz w:val="28"/>
          <w:szCs w:val="28"/>
          <w:rtl/>
        </w:rPr>
        <w:t>يجب تسجيل المخاطر المحيطة بكل عملية استجابة ووص</w:t>
      </w:r>
      <w:r w:rsidR="0029038A">
        <w:rPr>
          <w:rFonts w:ascii="Arial" w:hAnsi="Arial" w:cs="Arial"/>
          <w:sz w:val="28"/>
          <w:szCs w:val="28"/>
          <w:rtl/>
        </w:rPr>
        <w:t>فها بدقة، كما يجب تحديد كل الأس</w:t>
      </w:r>
      <w:r w:rsidR="0029038A">
        <w:rPr>
          <w:rFonts w:ascii="Arial" w:hAnsi="Arial" w:cs="Arial" w:hint="cs"/>
          <w:sz w:val="28"/>
          <w:szCs w:val="28"/>
          <w:rtl/>
        </w:rPr>
        <w:t>با</w:t>
      </w:r>
      <w:r w:rsidRPr="00EF2A45">
        <w:rPr>
          <w:rFonts w:ascii="Arial" w:hAnsi="Arial" w:cs="Arial"/>
          <w:sz w:val="28"/>
          <w:szCs w:val="28"/>
          <w:rtl/>
        </w:rPr>
        <w:t xml:space="preserve">ب والاثار المرتبطة بها. لهذه الأغراض، يمكن اللجوء إلى نموذج مصفوفة المخاطر، ونموذج تسجيل المخاطر. وتوفر </w:t>
      </w:r>
      <w:r w:rsidR="00E30970">
        <w:rPr>
          <w:rFonts w:cs="Times New Roman"/>
          <w:sz w:val="32"/>
          <w:szCs w:val="32"/>
          <w:rtl/>
        </w:rPr>
        <w:t xml:space="preserve">تدابير التشغيل المعيارية </w:t>
      </w:r>
      <w:r w:rsidRPr="00EF2A45">
        <w:rPr>
          <w:rFonts w:ascii="Arial" w:hAnsi="Arial" w:cs="Arial"/>
          <w:sz w:val="28"/>
          <w:szCs w:val="28"/>
          <w:rtl/>
        </w:rPr>
        <w:t>الخاصة بإجراءات الجمارك وحماية الحدود قائمة مفصلة حول إدارة المخاطر</w:t>
      </w:r>
      <w:r w:rsidR="006A17A5" w:rsidRPr="00EF2A45">
        <w:rPr>
          <w:rFonts w:ascii="Arial" w:hAnsi="Arial" w:cs="Arial"/>
          <w:sz w:val="28"/>
          <w:szCs w:val="28"/>
          <w:rtl/>
        </w:rPr>
        <w:t xml:space="preserve"> التي قد تختلف بحسب السياق، والبرامج، والمؤسسة. ويظهر الجدول أدناه أمثلة عديدة في هذا السياق: </w:t>
      </w:r>
    </w:p>
    <w:tbl>
      <w:tblPr>
        <w:tblStyle w:val="TableGrid"/>
        <w:tblpPr w:leftFromText="141" w:rightFromText="141" w:vertAnchor="text" w:horzAnchor="margin" w:tblpY="402"/>
        <w:bidiVisual/>
        <w:tblW w:w="5000" w:type="pct"/>
        <w:tblLook w:val="04A0"/>
      </w:tblPr>
      <w:tblGrid>
        <w:gridCol w:w="3151"/>
        <w:gridCol w:w="6425"/>
      </w:tblGrid>
      <w:tr w:rsidR="006A17A5" w:rsidRPr="00EF2A45" w:rsidTr="006A17A5">
        <w:trPr>
          <w:cantSplit/>
          <w:trHeight w:val="230"/>
          <w:tblHeader/>
        </w:trPr>
        <w:tc>
          <w:tcPr>
            <w:tcW w:w="1645" w:type="pct"/>
            <w:tcBorders>
              <w:bottom w:val="single" w:sz="4" w:space="0" w:color="auto"/>
            </w:tcBorders>
            <w:shd w:val="clear" w:color="auto" w:fill="DC281E"/>
          </w:tcPr>
          <w:p w:rsidR="006A17A5" w:rsidRPr="00EF2A45" w:rsidRDefault="00C020F6" w:rsidP="003C0D62">
            <w:pPr>
              <w:keepNext/>
              <w:keepLines/>
              <w:pageBreakBefore/>
              <w:bidi/>
              <w:spacing w:before="120"/>
              <w:jc w:val="both"/>
              <w:rPr>
                <w:rFonts w:ascii="Arial" w:hAnsi="Arial" w:cs="Arial"/>
                <w:b/>
                <w:color w:val="FFFFFF" w:themeColor="background1"/>
                <w:sz w:val="28"/>
                <w:szCs w:val="28"/>
              </w:rPr>
            </w:pPr>
            <w:r w:rsidRPr="00EF2A45">
              <w:rPr>
                <w:rFonts w:ascii="Arial" w:hAnsi="Arial" w:cs="Arial"/>
                <w:b/>
                <w:color w:val="FFFFFF" w:themeColor="background1"/>
                <w:sz w:val="28"/>
                <w:szCs w:val="28"/>
                <w:rtl/>
              </w:rPr>
              <w:lastRenderedPageBreak/>
              <w:t xml:space="preserve">نوع المخاطر </w:t>
            </w:r>
          </w:p>
        </w:tc>
        <w:tc>
          <w:tcPr>
            <w:tcW w:w="3355" w:type="pct"/>
            <w:tcBorders>
              <w:bottom w:val="single" w:sz="4" w:space="0" w:color="auto"/>
            </w:tcBorders>
            <w:shd w:val="clear" w:color="auto" w:fill="DC281E"/>
          </w:tcPr>
          <w:p w:rsidR="006A17A5" w:rsidRPr="00EF2A45" w:rsidRDefault="00C020F6" w:rsidP="003C0D62">
            <w:pPr>
              <w:keepNext/>
              <w:keepLines/>
              <w:bidi/>
              <w:spacing w:before="120"/>
              <w:jc w:val="both"/>
              <w:rPr>
                <w:rFonts w:ascii="Arial" w:hAnsi="Arial" w:cs="Arial"/>
                <w:b/>
                <w:color w:val="FFFFFF" w:themeColor="background1"/>
                <w:sz w:val="28"/>
                <w:szCs w:val="28"/>
              </w:rPr>
            </w:pPr>
            <w:r w:rsidRPr="00EF2A45">
              <w:rPr>
                <w:rFonts w:ascii="Arial" w:hAnsi="Arial" w:cs="Arial"/>
                <w:b/>
                <w:color w:val="FFFFFF" w:themeColor="background1"/>
                <w:sz w:val="28"/>
                <w:szCs w:val="28"/>
                <w:rtl/>
              </w:rPr>
              <w:t xml:space="preserve">أمثلة </w:t>
            </w:r>
          </w:p>
        </w:tc>
      </w:tr>
      <w:tr w:rsidR="006A17A5" w:rsidRPr="00EF2A45" w:rsidTr="006A17A5">
        <w:trPr>
          <w:cantSplit/>
          <w:trHeight w:val="1242"/>
          <w:tblHeader/>
        </w:trPr>
        <w:tc>
          <w:tcPr>
            <w:tcW w:w="1645" w:type="pct"/>
            <w:shd w:val="clear" w:color="auto" w:fill="A6A6A6"/>
          </w:tcPr>
          <w:p w:rsidR="006A17A5" w:rsidRPr="00EF2A45" w:rsidRDefault="00C020F6" w:rsidP="003C0D62">
            <w:pPr>
              <w:keepNext/>
              <w:keepLines/>
              <w:bidi/>
              <w:spacing w:beforeLines="60" w:afterLines="20"/>
              <w:jc w:val="both"/>
              <w:rPr>
                <w:rFonts w:ascii="Arial" w:hAnsi="Arial" w:cs="Arial"/>
                <w:sz w:val="28"/>
                <w:szCs w:val="28"/>
              </w:rPr>
            </w:pPr>
            <w:r w:rsidRPr="00EF2A45">
              <w:rPr>
                <w:rFonts w:ascii="Arial" w:hAnsi="Arial" w:cs="Arial"/>
                <w:sz w:val="28"/>
                <w:szCs w:val="28"/>
                <w:rtl/>
              </w:rPr>
              <w:t xml:space="preserve">سياقية </w:t>
            </w:r>
          </w:p>
          <w:p w:rsidR="006A17A5" w:rsidRPr="00EF2A45" w:rsidRDefault="000D3821" w:rsidP="003C0D62">
            <w:pPr>
              <w:keepNext/>
              <w:keepLines/>
              <w:bidi/>
              <w:spacing w:beforeLines="60" w:afterLines="20"/>
              <w:jc w:val="both"/>
              <w:rPr>
                <w:rFonts w:ascii="Arial" w:hAnsi="Arial" w:cs="Arial"/>
                <w:i/>
                <w:sz w:val="28"/>
                <w:szCs w:val="28"/>
              </w:rPr>
            </w:pPr>
            <w:r w:rsidRPr="00EF2A45">
              <w:rPr>
                <w:rFonts w:ascii="Arial" w:hAnsi="Arial" w:cs="Arial"/>
                <w:i/>
                <w:sz w:val="28"/>
                <w:szCs w:val="28"/>
                <w:rtl/>
              </w:rPr>
              <w:t xml:space="preserve">مشاكل </w:t>
            </w:r>
            <w:r w:rsidR="00C020F6" w:rsidRPr="00EF2A45">
              <w:rPr>
                <w:rFonts w:ascii="Arial" w:hAnsi="Arial" w:cs="Arial"/>
                <w:i/>
                <w:sz w:val="28"/>
                <w:szCs w:val="28"/>
                <w:rtl/>
              </w:rPr>
              <w:t>خارجة عن نطاق الم</w:t>
            </w:r>
            <w:r w:rsidRPr="00EF2A45">
              <w:rPr>
                <w:rFonts w:ascii="Arial" w:hAnsi="Arial" w:cs="Arial"/>
                <w:i/>
                <w:sz w:val="28"/>
                <w:szCs w:val="28"/>
                <w:rtl/>
              </w:rPr>
              <w:t>ؤسسة</w:t>
            </w:r>
            <w:r w:rsidR="00C020F6" w:rsidRPr="00EF2A45">
              <w:rPr>
                <w:rFonts w:ascii="Arial" w:hAnsi="Arial" w:cs="Arial"/>
                <w:i/>
                <w:sz w:val="28"/>
                <w:szCs w:val="28"/>
                <w:rtl/>
              </w:rPr>
              <w:t xml:space="preserve">: سياسية، اقتصادية، بيئية، إلخ </w:t>
            </w:r>
          </w:p>
        </w:tc>
        <w:tc>
          <w:tcPr>
            <w:tcW w:w="3355" w:type="pct"/>
            <w:shd w:val="clear" w:color="auto" w:fill="E6E6E6"/>
          </w:tcPr>
          <w:p w:rsidR="006A17A5" w:rsidRPr="00EF2A45" w:rsidRDefault="00BE5A1E" w:rsidP="003C0D62">
            <w:pPr>
              <w:pStyle w:val="BulletTableau"/>
              <w:framePr w:hSpace="0" w:wrap="auto" w:vAnchor="margin" w:hAnchor="text" w:yAlign="inline"/>
              <w:bidi/>
              <w:spacing w:before="144" w:after="48"/>
              <w:rPr>
                <w:sz w:val="28"/>
                <w:szCs w:val="28"/>
              </w:rPr>
            </w:pPr>
            <w:r w:rsidRPr="00EF2A45">
              <w:rPr>
                <w:sz w:val="28"/>
                <w:szCs w:val="28"/>
                <w:rtl/>
              </w:rPr>
              <w:t xml:space="preserve"> تقلبات المناخ (الفيضانات والجفاف)</w:t>
            </w:r>
          </w:p>
          <w:p w:rsidR="006A17A5" w:rsidRPr="00EF2A45" w:rsidRDefault="00BE5A1E" w:rsidP="003C0D62">
            <w:pPr>
              <w:pStyle w:val="BulletTableau"/>
              <w:framePr w:hSpace="0" w:wrap="auto" w:vAnchor="margin" w:hAnchor="text" w:yAlign="inline"/>
              <w:bidi/>
              <w:spacing w:before="144" w:after="48"/>
              <w:rPr>
                <w:sz w:val="28"/>
                <w:szCs w:val="28"/>
              </w:rPr>
            </w:pPr>
            <w:r w:rsidRPr="00EF2A45">
              <w:rPr>
                <w:sz w:val="28"/>
                <w:szCs w:val="28"/>
                <w:rtl/>
              </w:rPr>
              <w:t>النزاعات والنزوح</w:t>
            </w:r>
          </w:p>
          <w:p w:rsidR="00964B31" w:rsidRPr="00EF2A45" w:rsidRDefault="00964B31" w:rsidP="003C0D62">
            <w:pPr>
              <w:pStyle w:val="BulletTableau"/>
              <w:framePr w:hSpace="0" w:wrap="auto" w:vAnchor="margin" w:hAnchor="text" w:yAlign="inline"/>
              <w:bidi/>
              <w:spacing w:before="144" w:after="48"/>
              <w:rPr>
                <w:sz w:val="28"/>
                <w:szCs w:val="28"/>
              </w:rPr>
            </w:pPr>
            <w:r w:rsidRPr="00EF2A45">
              <w:rPr>
                <w:sz w:val="28"/>
                <w:szCs w:val="28"/>
                <w:rtl/>
              </w:rPr>
              <w:t>عدم الاستقرار السياسي والاضطرابات الاجتماعية</w:t>
            </w:r>
          </w:p>
          <w:p w:rsidR="00964B31" w:rsidRPr="00EF2A45" w:rsidRDefault="00964B31" w:rsidP="003C0D62">
            <w:pPr>
              <w:pStyle w:val="BulletTableau"/>
              <w:framePr w:hSpace="0" w:wrap="auto" w:vAnchor="margin" w:hAnchor="text" w:yAlign="inline"/>
              <w:bidi/>
              <w:spacing w:before="144" w:after="48"/>
              <w:rPr>
                <w:sz w:val="28"/>
                <w:szCs w:val="28"/>
              </w:rPr>
            </w:pPr>
            <w:r w:rsidRPr="00EF2A45">
              <w:rPr>
                <w:sz w:val="28"/>
                <w:szCs w:val="28"/>
                <w:rtl/>
              </w:rPr>
              <w:t>الأزمات المالية العالمية</w:t>
            </w:r>
          </w:p>
          <w:p w:rsidR="006A17A5" w:rsidRPr="00EF2A45" w:rsidRDefault="00964B31" w:rsidP="003C0D62">
            <w:pPr>
              <w:pStyle w:val="BulletTableau"/>
              <w:framePr w:hSpace="0" w:wrap="auto" w:vAnchor="margin" w:hAnchor="text" w:yAlign="inline"/>
              <w:bidi/>
              <w:spacing w:before="144" w:after="48"/>
              <w:rPr>
                <w:sz w:val="28"/>
                <w:szCs w:val="28"/>
              </w:rPr>
            </w:pPr>
            <w:r w:rsidRPr="00EF2A45">
              <w:rPr>
                <w:sz w:val="28"/>
                <w:szCs w:val="28"/>
                <w:rtl/>
              </w:rPr>
              <w:t xml:space="preserve"> ارتفاع الأسعار بسبب التضخم على النطاق الوطني/ الدولي</w:t>
            </w:r>
          </w:p>
        </w:tc>
      </w:tr>
      <w:tr w:rsidR="006A17A5" w:rsidRPr="00EF2A45" w:rsidTr="006A17A5">
        <w:trPr>
          <w:cantSplit/>
          <w:trHeight w:val="2452"/>
          <w:tblHeader/>
        </w:trPr>
        <w:tc>
          <w:tcPr>
            <w:tcW w:w="1645" w:type="pct"/>
            <w:shd w:val="clear" w:color="auto" w:fill="A6A6A6"/>
          </w:tcPr>
          <w:p w:rsidR="006A17A5" w:rsidRPr="00EF2A45" w:rsidRDefault="004B5600" w:rsidP="003C0D62">
            <w:pPr>
              <w:keepNext/>
              <w:keepLines/>
              <w:bidi/>
              <w:spacing w:beforeLines="60" w:afterLines="20"/>
              <w:jc w:val="both"/>
              <w:rPr>
                <w:rFonts w:ascii="Arial" w:hAnsi="Arial" w:cs="Arial"/>
                <w:sz w:val="28"/>
                <w:szCs w:val="28"/>
              </w:rPr>
            </w:pPr>
            <w:r w:rsidRPr="00EF2A45">
              <w:rPr>
                <w:rFonts w:ascii="Arial" w:hAnsi="Arial" w:cs="Arial"/>
                <w:sz w:val="28"/>
                <w:szCs w:val="28"/>
                <w:rtl/>
              </w:rPr>
              <w:t>برنامجي</w:t>
            </w:r>
          </w:p>
          <w:p w:rsidR="006A17A5" w:rsidRPr="00EF2A45" w:rsidRDefault="004B5600" w:rsidP="003C0D62">
            <w:pPr>
              <w:keepNext/>
              <w:keepLines/>
              <w:bidi/>
              <w:spacing w:beforeLines="60" w:afterLines="20"/>
              <w:jc w:val="both"/>
              <w:rPr>
                <w:rFonts w:ascii="Arial" w:hAnsi="Arial" w:cs="Arial"/>
                <w:i/>
                <w:sz w:val="28"/>
                <w:szCs w:val="28"/>
              </w:rPr>
            </w:pPr>
            <w:r w:rsidRPr="00EF2A45">
              <w:rPr>
                <w:rFonts w:ascii="Arial" w:hAnsi="Arial" w:cs="Arial"/>
                <w:i/>
                <w:sz w:val="28"/>
                <w:szCs w:val="28"/>
                <w:rtl/>
              </w:rPr>
              <w:t>فشل في تحقيق أهداف البرنامج و/ أو التسبب بضرر للآخرين</w:t>
            </w:r>
          </w:p>
        </w:tc>
        <w:tc>
          <w:tcPr>
            <w:tcW w:w="3355" w:type="pct"/>
            <w:shd w:val="clear" w:color="auto" w:fill="E6E6E6"/>
          </w:tcPr>
          <w:p w:rsidR="00E55418" w:rsidRPr="00EF2A45" w:rsidRDefault="000A3D2E" w:rsidP="003C0D62">
            <w:pPr>
              <w:pStyle w:val="BulletTableau"/>
              <w:framePr w:hSpace="0" w:wrap="auto" w:vAnchor="margin" w:hAnchor="text" w:yAlign="inline"/>
              <w:bidi/>
              <w:spacing w:before="144" w:after="48"/>
              <w:rPr>
                <w:sz w:val="28"/>
                <w:szCs w:val="28"/>
              </w:rPr>
            </w:pPr>
            <w:r w:rsidRPr="00EF2A45">
              <w:rPr>
                <w:sz w:val="28"/>
                <w:szCs w:val="28"/>
                <w:rtl/>
              </w:rPr>
              <w:t>عدم القدرة على الحصول على الأموال اللازمة للتدخلات النقدية عند الحاجة</w:t>
            </w:r>
          </w:p>
          <w:p w:rsidR="006A17A5" w:rsidRPr="00EF2A45" w:rsidRDefault="00E55418" w:rsidP="003C0D62">
            <w:pPr>
              <w:pStyle w:val="BulletTableau"/>
              <w:framePr w:hSpace="0" w:wrap="auto" w:vAnchor="margin" w:hAnchor="text" w:yAlign="inline"/>
              <w:bidi/>
              <w:spacing w:before="144" w:after="48"/>
              <w:rPr>
                <w:sz w:val="28"/>
                <w:szCs w:val="28"/>
              </w:rPr>
            </w:pPr>
            <w:r w:rsidRPr="00EF2A45">
              <w:rPr>
                <w:sz w:val="28"/>
                <w:szCs w:val="28"/>
                <w:rtl/>
              </w:rPr>
              <w:t>زيادة مخاطر التضخم: زيادة الشارين يرافقه نقص</w:t>
            </w:r>
            <w:r w:rsidR="000E7155">
              <w:rPr>
                <w:sz w:val="28"/>
                <w:szCs w:val="28"/>
                <w:rtl/>
              </w:rPr>
              <w:t xml:space="preserve"> في الامدادات مما قد يؤدي إلى ا</w:t>
            </w:r>
            <w:r w:rsidR="000E7155">
              <w:rPr>
                <w:rFonts w:hint="cs"/>
                <w:sz w:val="28"/>
                <w:szCs w:val="28"/>
                <w:rtl/>
              </w:rPr>
              <w:t>ر</w:t>
            </w:r>
            <w:r w:rsidRPr="00EF2A45">
              <w:rPr>
                <w:sz w:val="28"/>
                <w:szCs w:val="28"/>
                <w:rtl/>
              </w:rPr>
              <w:t xml:space="preserve">تفاع الأسعار. </w:t>
            </w:r>
          </w:p>
          <w:p w:rsidR="006A17A5" w:rsidRPr="00EF2A45" w:rsidRDefault="001F65BA" w:rsidP="003C0D62">
            <w:pPr>
              <w:pStyle w:val="BulletTableau"/>
              <w:framePr w:hSpace="0" w:wrap="auto" w:vAnchor="margin" w:hAnchor="text" w:yAlign="inline"/>
              <w:bidi/>
              <w:spacing w:before="144" w:after="48"/>
              <w:rPr>
                <w:sz w:val="28"/>
                <w:szCs w:val="28"/>
              </w:rPr>
            </w:pPr>
            <w:r w:rsidRPr="00EF2A45">
              <w:rPr>
                <w:sz w:val="28"/>
                <w:szCs w:val="28"/>
                <w:rtl/>
              </w:rPr>
              <w:t>عدم انفاق الأموال النقدية لتلبية الحاجات المستهدفة: بل انفاقها على سلع غير متوقعة وغير مرغوب فيها (الكحول، المخدرات، الأسلحة).</w:t>
            </w:r>
          </w:p>
          <w:p w:rsidR="00020D85" w:rsidRPr="00EF2A45" w:rsidRDefault="00C24469" w:rsidP="003C0D62">
            <w:pPr>
              <w:pStyle w:val="BulletTableau"/>
              <w:framePr w:hSpace="0" w:wrap="auto" w:vAnchor="margin" w:hAnchor="text" w:yAlign="inline"/>
              <w:bidi/>
              <w:spacing w:before="144" w:after="48"/>
              <w:rPr>
                <w:sz w:val="28"/>
                <w:szCs w:val="28"/>
              </w:rPr>
            </w:pPr>
            <w:r w:rsidRPr="00EF2A45">
              <w:rPr>
                <w:sz w:val="28"/>
                <w:szCs w:val="28"/>
                <w:rtl/>
              </w:rPr>
              <w:t>اخطاء في تحديد المستفيدين</w:t>
            </w:r>
            <w:r w:rsidR="000E7155">
              <w:rPr>
                <w:rFonts w:hint="cs"/>
                <w:sz w:val="28"/>
                <w:szCs w:val="28"/>
                <w:rtl/>
              </w:rPr>
              <w:t xml:space="preserve"> </w:t>
            </w:r>
            <w:r w:rsidRPr="00EF2A45">
              <w:rPr>
                <w:sz w:val="28"/>
                <w:szCs w:val="28"/>
                <w:rtl/>
              </w:rPr>
              <w:t>(</w:t>
            </w:r>
            <w:r w:rsidR="00D72BAD" w:rsidRPr="00EF2A45">
              <w:rPr>
                <w:sz w:val="28"/>
                <w:szCs w:val="28"/>
                <w:rtl/>
              </w:rPr>
              <w:t xml:space="preserve">عدم قدوم </w:t>
            </w:r>
            <w:r w:rsidRPr="00EF2A45">
              <w:rPr>
                <w:sz w:val="28"/>
                <w:szCs w:val="28"/>
                <w:rtl/>
              </w:rPr>
              <w:t>المستفيدين</w:t>
            </w:r>
            <w:r w:rsidR="00D72BAD" w:rsidRPr="00EF2A45">
              <w:rPr>
                <w:sz w:val="28"/>
                <w:szCs w:val="28"/>
                <w:rtl/>
              </w:rPr>
              <w:t xml:space="preserve"> للتسجيل</w:t>
            </w:r>
            <w:r w:rsidRPr="00EF2A45">
              <w:rPr>
                <w:sz w:val="28"/>
                <w:szCs w:val="28"/>
                <w:rtl/>
              </w:rPr>
              <w:t xml:space="preserve">، مستفيدين وهميين، </w:t>
            </w:r>
            <w:r w:rsidR="00020D85" w:rsidRPr="00EF2A45">
              <w:rPr>
                <w:sz w:val="28"/>
                <w:szCs w:val="28"/>
                <w:rtl/>
              </w:rPr>
              <w:t xml:space="preserve">ازدواجية في الأسماء). </w:t>
            </w:r>
          </w:p>
          <w:p w:rsidR="006A17A5" w:rsidRPr="00EF2A45" w:rsidRDefault="00020D85" w:rsidP="003C0D62">
            <w:pPr>
              <w:pStyle w:val="BulletTableau"/>
              <w:framePr w:hSpace="0" w:wrap="auto" w:vAnchor="margin" w:hAnchor="text" w:yAlign="inline"/>
              <w:bidi/>
              <w:spacing w:before="144" w:after="48"/>
              <w:rPr>
                <w:sz w:val="28"/>
                <w:szCs w:val="28"/>
              </w:rPr>
            </w:pPr>
            <w:r w:rsidRPr="00EF2A45">
              <w:rPr>
                <w:sz w:val="28"/>
                <w:szCs w:val="28"/>
                <w:rtl/>
              </w:rPr>
              <w:t>المخاطر الأمنية التي تهدد المستفيدين والموظفين</w:t>
            </w:r>
          </w:p>
        </w:tc>
      </w:tr>
      <w:tr w:rsidR="006A17A5" w:rsidRPr="00EF2A45" w:rsidTr="006A17A5">
        <w:trPr>
          <w:cantSplit/>
          <w:trHeight w:val="1225"/>
          <w:tblHeader/>
        </w:trPr>
        <w:tc>
          <w:tcPr>
            <w:tcW w:w="1645" w:type="pct"/>
            <w:shd w:val="clear" w:color="auto" w:fill="A6A6A6"/>
          </w:tcPr>
          <w:p w:rsidR="006A17A5" w:rsidRPr="00EF2A45" w:rsidRDefault="00E64FA5" w:rsidP="003C0D62">
            <w:pPr>
              <w:keepNext/>
              <w:keepLines/>
              <w:bidi/>
              <w:spacing w:beforeLines="60" w:afterLines="20"/>
              <w:jc w:val="both"/>
              <w:rPr>
                <w:rFonts w:ascii="Arial" w:hAnsi="Arial" w:cs="Arial"/>
                <w:sz w:val="28"/>
                <w:szCs w:val="28"/>
                <w:rtl/>
              </w:rPr>
            </w:pPr>
            <w:r w:rsidRPr="00EF2A45">
              <w:rPr>
                <w:rFonts w:ascii="Arial" w:hAnsi="Arial" w:cs="Arial"/>
                <w:sz w:val="28"/>
                <w:szCs w:val="28"/>
                <w:rtl/>
              </w:rPr>
              <w:t xml:space="preserve">مؤسسية </w:t>
            </w:r>
          </w:p>
          <w:p w:rsidR="006A17A5" w:rsidRPr="00EF2A45" w:rsidRDefault="000D3821" w:rsidP="003C0D62">
            <w:pPr>
              <w:keepNext/>
              <w:keepLines/>
              <w:bidi/>
              <w:spacing w:beforeLines="60" w:afterLines="20"/>
              <w:jc w:val="both"/>
              <w:rPr>
                <w:rFonts w:ascii="Arial" w:hAnsi="Arial" w:cs="Arial"/>
                <w:sz w:val="28"/>
                <w:szCs w:val="28"/>
              </w:rPr>
            </w:pPr>
            <w:r w:rsidRPr="00EF2A45">
              <w:rPr>
                <w:rFonts w:ascii="Arial" w:hAnsi="Arial" w:cs="Arial"/>
                <w:sz w:val="28"/>
                <w:szCs w:val="28"/>
                <w:rtl/>
              </w:rPr>
              <w:t xml:space="preserve">مشاكل داخلية في المؤسسة: </w:t>
            </w:r>
            <w:r w:rsidR="00A21937" w:rsidRPr="00EF2A45">
              <w:rPr>
                <w:rFonts w:ascii="Arial" w:hAnsi="Arial" w:cs="Arial"/>
                <w:sz w:val="28"/>
                <w:szCs w:val="28"/>
                <w:rtl/>
              </w:rPr>
              <w:t>متعلقة بالشؤون الائتمانية، الخسائر المالية الناتجة عن الفساد، إلخ</w:t>
            </w:r>
            <w:r w:rsidR="006A17A5" w:rsidRPr="00EF2A45">
              <w:rPr>
                <w:rFonts w:ascii="Arial" w:hAnsi="Arial" w:cs="Arial"/>
                <w:i/>
                <w:sz w:val="28"/>
                <w:szCs w:val="28"/>
              </w:rPr>
              <w:t>.</w:t>
            </w:r>
          </w:p>
        </w:tc>
        <w:tc>
          <w:tcPr>
            <w:tcW w:w="3355" w:type="pct"/>
            <w:shd w:val="clear" w:color="auto" w:fill="E6E6E6"/>
          </w:tcPr>
          <w:p w:rsidR="003C7949" w:rsidRPr="00EF2A45" w:rsidRDefault="003C7949" w:rsidP="003C0D62">
            <w:pPr>
              <w:pStyle w:val="BulletTableau"/>
              <w:framePr w:hSpace="0" w:wrap="auto" w:vAnchor="margin" w:hAnchor="text" w:yAlign="inline"/>
              <w:bidi/>
              <w:spacing w:before="144" w:after="48"/>
              <w:rPr>
                <w:sz w:val="28"/>
                <w:szCs w:val="28"/>
              </w:rPr>
            </w:pPr>
            <w:r w:rsidRPr="00EF2A45">
              <w:rPr>
                <w:sz w:val="28"/>
                <w:szCs w:val="28"/>
                <w:rtl/>
              </w:rPr>
              <w:t>المشاكل الأمنية التي ترافق المعاملات المالية</w:t>
            </w:r>
          </w:p>
          <w:p w:rsidR="006A17A5" w:rsidRPr="00EF2A45" w:rsidRDefault="003C7949" w:rsidP="003C0D62">
            <w:pPr>
              <w:pStyle w:val="BulletTableau"/>
              <w:framePr w:hSpace="0" w:wrap="auto" w:vAnchor="margin" w:hAnchor="text" w:yAlign="inline"/>
              <w:bidi/>
              <w:spacing w:before="144" w:after="48"/>
              <w:rPr>
                <w:sz w:val="28"/>
                <w:szCs w:val="28"/>
              </w:rPr>
            </w:pPr>
            <w:r w:rsidRPr="00EF2A45">
              <w:rPr>
                <w:sz w:val="28"/>
                <w:szCs w:val="28"/>
                <w:rtl/>
              </w:rPr>
              <w:t>الاحتيال الواسع النطاق وخطر تشويه سمعة المؤسسة</w:t>
            </w:r>
          </w:p>
          <w:p w:rsidR="003C7949" w:rsidRPr="00EF2A45" w:rsidRDefault="000E7155" w:rsidP="003C0D62">
            <w:pPr>
              <w:pStyle w:val="BulletTableau"/>
              <w:framePr w:hSpace="0" w:wrap="auto" w:vAnchor="margin" w:hAnchor="text" w:yAlign="inline"/>
              <w:bidi/>
              <w:spacing w:before="144" w:after="48"/>
              <w:rPr>
                <w:sz w:val="28"/>
                <w:szCs w:val="28"/>
              </w:rPr>
            </w:pPr>
            <w:r>
              <w:rPr>
                <w:sz w:val="28"/>
                <w:szCs w:val="28"/>
                <w:rtl/>
              </w:rPr>
              <w:t xml:space="preserve">التناقض مع </w:t>
            </w:r>
            <w:r>
              <w:rPr>
                <w:rFonts w:hint="cs"/>
                <w:sz w:val="28"/>
                <w:szCs w:val="28"/>
                <w:rtl/>
              </w:rPr>
              <w:t>إ</w:t>
            </w:r>
            <w:r w:rsidR="00F00401" w:rsidRPr="00EF2A45">
              <w:rPr>
                <w:sz w:val="28"/>
                <w:szCs w:val="28"/>
                <w:rtl/>
              </w:rPr>
              <w:t>جابات الجهات الفاعلة الرئيسية (كلفة نقل، وآلية التسليم، والاستهداف،</w:t>
            </w:r>
            <w:r w:rsidR="006026FD" w:rsidRPr="00EF2A45">
              <w:rPr>
                <w:sz w:val="28"/>
                <w:szCs w:val="28"/>
                <w:rtl/>
              </w:rPr>
              <w:t xml:space="preserve"> </w:t>
            </w:r>
            <w:r w:rsidR="00F00401" w:rsidRPr="00EF2A45">
              <w:rPr>
                <w:sz w:val="28"/>
                <w:szCs w:val="28"/>
                <w:rtl/>
              </w:rPr>
              <w:t>إلخ)</w:t>
            </w:r>
          </w:p>
        </w:tc>
      </w:tr>
    </w:tbl>
    <w:p w:rsidR="006A17A5" w:rsidRPr="00EF2A45" w:rsidRDefault="006A17A5" w:rsidP="003C0D62">
      <w:pPr>
        <w:bidi/>
        <w:ind w:left="360"/>
        <w:jc w:val="both"/>
        <w:rPr>
          <w:rFonts w:ascii="Arial" w:hAnsi="Arial" w:cs="Arial"/>
          <w:b/>
          <w:bCs/>
          <w:sz w:val="28"/>
          <w:szCs w:val="28"/>
          <w:rtl/>
        </w:rPr>
      </w:pPr>
    </w:p>
    <w:p w:rsidR="00014F6E" w:rsidRPr="00EF2A45" w:rsidRDefault="00014F6E" w:rsidP="003C0D62">
      <w:pPr>
        <w:bidi/>
        <w:jc w:val="both"/>
        <w:rPr>
          <w:rFonts w:ascii="Arial" w:hAnsi="Arial" w:cs="Arial"/>
          <w:b/>
          <w:bCs/>
          <w:sz w:val="28"/>
          <w:szCs w:val="28"/>
          <w:rtl/>
        </w:rPr>
      </w:pPr>
      <w:r w:rsidRPr="00EF2A45">
        <w:rPr>
          <w:rFonts w:ascii="Arial" w:hAnsi="Arial" w:cs="Arial"/>
          <w:b/>
          <w:bCs/>
          <w:sz w:val="28"/>
          <w:szCs w:val="28"/>
          <w:rtl/>
        </w:rPr>
        <w:t>تصنيف المخاطر بحسب حدتها وخطورتها</w:t>
      </w:r>
    </w:p>
    <w:p w:rsidR="006A65B9" w:rsidRPr="00EF2A45" w:rsidRDefault="006A65B9" w:rsidP="003C0D62">
      <w:pPr>
        <w:bidi/>
        <w:ind w:left="360"/>
        <w:jc w:val="both"/>
        <w:rPr>
          <w:rFonts w:ascii="Arial" w:hAnsi="Arial" w:cs="Arial"/>
          <w:sz w:val="28"/>
          <w:szCs w:val="28"/>
          <w:rtl/>
        </w:rPr>
      </w:pPr>
      <w:r w:rsidRPr="00EF2A45">
        <w:rPr>
          <w:rFonts w:ascii="Arial" w:hAnsi="Arial" w:cs="Arial"/>
          <w:sz w:val="28"/>
          <w:szCs w:val="28"/>
          <w:rtl/>
        </w:rPr>
        <w:t>تحدد حدة المخاطر بالاستناد إلى العاملين التاليين:</w:t>
      </w:r>
    </w:p>
    <w:p w:rsidR="006A65B9" w:rsidRPr="00EF2A45" w:rsidRDefault="001E0F83" w:rsidP="003C0D62">
      <w:pPr>
        <w:pStyle w:val="ListParagraph"/>
        <w:numPr>
          <w:ilvl w:val="0"/>
          <w:numId w:val="1"/>
        </w:numPr>
        <w:bidi/>
        <w:jc w:val="both"/>
        <w:rPr>
          <w:rFonts w:ascii="Arial" w:hAnsi="Arial" w:cs="Arial"/>
          <w:sz w:val="28"/>
          <w:szCs w:val="28"/>
        </w:rPr>
      </w:pPr>
      <w:r w:rsidRPr="00EF2A45">
        <w:rPr>
          <w:rFonts w:ascii="Arial" w:hAnsi="Arial" w:cs="Arial"/>
          <w:sz w:val="28"/>
          <w:szCs w:val="28"/>
          <w:rtl/>
        </w:rPr>
        <w:t>احتمالية وقوعه</w:t>
      </w:r>
      <w:r w:rsidR="000E7155">
        <w:rPr>
          <w:rFonts w:ascii="Arial" w:hAnsi="Arial" w:cs="Arial" w:hint="cs"/>
          <w:sz w:val="28"/>
          <w:szCs w:val="28"/>
          <w:rtl/>
        </w:rPr>
        <w:t>ا</w:t>
      </w:r>
    </w:p>
    <w:p w:rsidR="001E0F83" w:rsidRPr="00EF2A45" w:rsidRDefault="001E0F83" w:rsidP="003C0D62">
      <w:pPr>
        <w:pStyle w:val="ListParagraph"/>
        <w:numPr>
          <w:ilvl w:val="0"/>
          <w:numId w:val="1"/>
        </w:numPr>
        <w:bidi/>
        <w:jc w:val="both"/>
        <w:rPr>
          <w:rFonts w:ascii="Arial" w:hAnsi="Arial" w:cs="Arial"/>
          <w:sz w:val="28"/>
          <w:szCs w:val="28"/>
        </w:rPr>
      </w:pPr>
      <w:r w:rsidRPr="00EF2A45">
        <w:rPr>
          <w:rFonts w:ascii="Arial" w:hAnsi="Arial" w:cs="Arial"/>
          <w:sz w:val="28"/>
          <w:szCs w:val="28"/>
          <w:rtl/>
        </w:rPr>
        <w:t>الآثار المترتبة عند وقوعه</w:t>
      </w:r>
      <w:r w:rsidR="000E7155">
        <w:rPr>
          <w:rFonts w:ascii="Arial" w:hAnsi="Arial" w:cs="Arial" w:hint="cs"/>
          <w:sz w:val="28"/>
          <w:szCs w:val="28"/>
          <w:rtl/>
        </w:rPr>
        <w:t>ا</w:t>
      </w:r>
      <w:r w:rsidRPr="00EF2A45">
        <w:rPr>
          <w:rFonts w:ascii="Arial" w:hAnsi="Arial" w:cs="Arial"/>
          <w:sz w:val="28"/>
          <w:szCs w:val="28"/>
          <w:rtl/>
        </w:rPr>
        <w:t>.</w:t>
      </w:r>
    </w:p>
    <w:p w:rsidR="001E0F83" w:rsidRDefault="00CA71D4" w:rsidP="003C0D62">
      <w:pPr>
        <w:bidi/>
        <w:jc w:val="both"/>
        <w:rPr>
          <w:rFonts w:ascii="Arial" w:hAnsi="Arial" w:cs="Arial"/>
          <w:sz w:val="28"/>
          <w:szCs w:val="28"/>
          <w:rtl/>
        </w:rPr>
      </w:pPr>
      <w:r w:rsidRPr="00EF2A45">
        <w:rPr>
          <w:rFonts w:ascii="Arial" w:hAnsi="Arial" w:cs="Arial"/>
          <w:sz w:val="28"/>
          <w:szCs w:val="28"/>
          <w:rtl/>
        </w:rPr>
        <w:t xml:space="preserve">ويساعد تصنيف المخاطر بحسب حدتها في </w:t>
      </w:r>
      <w:r w:rsidR="00BE3591" w:rsidRPr="00EF2A45">
        <w:rPr>
          <w:rFonts w:ascii="Arial" w:hAnsi="Arial" w:cs="Arial"/>
          <w:sz w:val="28"/>
          <w:szCs w:val="28"/>
          <w:rtl/>
        </w:rPr>
        <w:t>تقسيمها إلى ثلاث فئات: المخاطر المقبولة، والمخاطر التي يمكن وضع حد لها، والمخاطر التي يجب تفاديها. ويمكن التوصل إلى هذه النتائج عبر اللجوء إلى المصفوفة التالية:</w:t>
      </w:r>
    </w:p>
    <w:p w:rsidR="006927E9" w:rsidRPr="00EF2A45" w:rsidRDefault="006927E9" w:rsidP="003C0D62">
      <w:pPr>
        <w:bidi/>
        <w:jc w:val="both"/>
        <w:rPr>
          <w:rFonts w:ascii="Arial" w:hAnsi="Arial" w:cs="Arial"/>
          <w:sz w:val="28"/>
          <w:szCs w:val="28"/>
          <w:rtl/>
        </w:rPr>
      </w:pPr>
    </w:p>
    <w:tbl>
      <w:tblPr>
        <w:bidiVisual/>
        <w:tblW w:w="5000" w:type="pct"/>
        <w:jc w:val="center"/>
        <w:tblCellMar>
          <w:left w:w="0" w:type="dxa"/>
          <w:right w:w="0" w:type="dxa"/>
        </w:tblCellMar>
        <w:tblLook w:val="0600"/>
      </w:tblPr>
      <w:tblGrid>
        <w:gridCol w:w="2200"/>
        <w:gridCol w:w="1484"/>
        <w:gridCol w:w="1486"/>
        <w:gridCol w:w="1484"/>
        <w:gridCol w:w="1486"/>
        <w:gridCol w:w="1486"/>
      </w:tblGrid>
      <w:tr w:rsidR="00AB6CA6" w:rsidRPr="00EF2A45" w:rsidTr="00AB6CA6">
        <w:trPr>
          <w:jc w:val="center"/>
        </w:trPr>
        <w:tc>
          <w:tcPr>
            <w:tcW w:w="1142" w:type="pct"/>
            <w:tcBorders>
              <w:top w:val="single" w:sz="8" w:space="0" w:color="595959"/>
              <w:left w:val="single" w:sz="8" w:space="0" w:color="595959"/>
              <w:bottom w:val="single" w:sz="8" w:space="0" w:color="595959"/>
              <w:right w:val="single" w:sz="8" w:space="0" w:color="595959"/>
              <w:tl2br w:val="single" w:sz="8" w:space="0" w:color="595959"/>
            </w:tcBorders>
            <w:shd w:val="clear" w:color="auto" w:fill="DC281E"/>
            <w:tcMar>
              <w:top w:w="72" w:type="dxa"/>
              <w:left w:w="133" w:type="dxa"/>
              <w:bottom w:w="72" w:type="dxa"/>
              <w:right w:w="133" w:type="dxa"/>
            </w:tcMar>
            <w:vAlign w:val="center"/>
          </w:tcPr>
          <w:p w:rsidR="00AB6CA6" w:rsidRPr="00EF2A45" w:rsidRDefault="00AB6CA6" w:rsidP="003C0D62">
            <w:pPr>
              <w:bidi/>
              <w:ind w:right="170"/>
              <w:jc w:val="both"/>
              <w:rPr>
                <w:rFonts w:ascii="Arial" w:hAnsi="Arial" w:cs="Arial"/>
                <w:b/>
                <w:color w:val="FFFFFF" w:themeColor="background1"/>
                <w:sz w:val="28"/>
                <w:szCs w:val="28"/>
              </w:rPr>
            </w:pPr>
            <w:r w:rsidRPr="00EF2A45">
              <w:rPr>
                <w:rFonts w:ascii="Arial" w:hAnsi="Arial" w:cs="Arial"/>
                <w:b/>
                <w:color w:val="FFFFFF" w:themeColor="background1"/>
                <w:sz w:val="28"/>
                <w:szCs w:val="28"/>
                <w:rtl/>
              </w:rPr>
              <w:lastRenderedPageBreak/>
              <w:t>الأثر</w:t>
            </w:r>
          </w:p>
          <w:p w:rsidR="00AB6CA6" w:rsidRPr="00EF2A45" w:rsidRDefault="00AB6CA6" w:rsidP="003C0D62">
            <w:pPr>
              <w:bidi/>
              <w:ind w:left="-142"/>
              <w:jc w:val="both"/>
              <w:rPr>
                <w:rFonts w:ascii="Arial" w:hAnsi="Arial" w:cs="Arial"/>
                <w:b/>
                <w:color w:val="FFFFFF" w:themeColor="background1"/>
                <w:sz w:val="28"/>
                <w:szCs w:val="28"/>
              </w:rPr>
            </w:pPr>
            <w:r w:rsidRPr="00EF2A45">
              <w:rPr>
                <w:rFonts w:ascii="Arial" w:hAnsi="Arial" w:cs="Arial"/>
                <w:b/>
                <w:color w:val="FFFFFF" w:themeColor="background1"/>
                <w:sz w:val="28"/>
                <w:szCs w:val="28"/>
                <w:rtl/>
              </w:rPr>
              <w:t>احتمالية الحدوث</w:t>
            </w:r>
          </w:p>
        </w:tc>
        <w:tc>
          <w:tcPr>
            <w:tcW w:w="771" w:type="pct"/>
            <w:tcBorders>
              <w:top w:val="single" w:sz="8" w:space="0" w:color="595959"/>
              <w:left w:val="single" w:sz="8" w:space="0" w:color="595959"/>
              <w:bottom w:val="single" w:sz="8" w:space="0" w:color="595959"/>
              <w:right w:val="single" w:sz="8" w:space="0" w:color="595959"/>
            </w:tcBorders>
            <w:shd w:val="clear" w:color="auto" w:fill="DC281E"/>
            <w:tcMar>
              <w:top w:w="72" w:type="dxa"/>
              <w:left w:w="133" w:type="dxa"/>
              <w:bottom w:w="72" w:type="dxa"/>
              <w:right w:w="133" w:type="dxa"/>
            </w:tcMar>
            <w:vAlign w:val="center"/>
          </w:tcPr>
          <w:p w:rsidR="00AB6CA6" w:rsidRPr="00EF2A45" w:rsidRDefault="00AB6CA6" w:rsidP="003C0D62">
            <w:pPr>
              <w:bidi/>
              <w:jc w:val="both"/>
              <w:rPr>
                <w:rFonts w:ascii="Arial" w:hAnsi="Arial" w:cs="Arial"/>
                <w:b/>
                <w:color w:val="FFFFFF" w:themeColor="background1"/>
                <w:sz w:val="28"/>
                <w:szCs w:val="28"/>
              </w:rPr>
            </w:pPr>
            <w:r w:rsidRPr="00EF2A45">
              <w:rPr>
                <w:rFonts w:ascii="Arial" w:hAnsi="Arial" w:cs="Arial"/>
                <w:b/>
                <w:color w:val="FFFFFF" w:themeColor="background1"/>
                <w:sz w:val="28"/>
                <w:szCs w:val="28"/>
                <w:rtl/>
              </w:rPr>
              <w:t>ضئيل</w:t>
            </w:r>
            <w:r w:rsidRPr="00EF2A45">
              <w:rPr>
                <w:rFonts w:ascii="Arial" w:hAnsi="Arial" w:cs="Arial"/>
                <w:b/>
                <w:color w:val="FFFFFF" w:themeColor="background1"/>
                <w:sz w:val="28"/>
                <w:szCs w:val="28"/>
              </w:rPr>
              <w:br/>
              <w:t>(1)</w:t>
            </w:r>
          </w:p>
        </w:tc>
        <w:tc>
          <w:tcPr>
            <w:tcW w:w="772" w:type="pct"/>
            <w:tcBorders>
              <w:top w:val="single" w:sz="8" w:space="0" w:color="595959"/>
              <w:left w:val="single" w:sz="8" w:space="0" w:color="595959"/>
              <w:bottom w:val="single" w:sz="8" w:space="0" w:color="595959"/>
              <w:right w:val="single" w:sz="8" w:space="0" w:color="595959"/>
            </w:tcBorders>
            <w:shd w:val="clear" w:color="auto" w:fill="DC281E"/>
            <w:tcMar>
              <w:top w:w="72" w:type="dxa"/>
              <w:left w:w="133" w:type="dxa"/>
              <w:bottom w:w="72" w:type="dxa"/>
              <w:right w:w="133" w:type="dxa"/>
            </w:tcMar>
            <w:vAlign w:val="center"/>
          </w:tcPr>
          <w:p w:rsidR="00AB6CA6" w:rsidRPr="00EF2A45" w:rsidRDefault="00AB6CA6" w:rsidP="003C0D62">
            <w:pPr>
              <w:bidi/>
              <w:jc w:val="both"/>
              <w:rPr>
                <w:rFonts w:ascii="Arial" w:hAnsi="Arial" w:cs="Arial"/>
                <w:b/>
                <w:color w:val="FFFFFF" w:themeColor="background1"/>
                <w:sz w:val="28"/>
                <w:szCs w:val="28"/>
              </w:rPr>
            </w:pPr>
            <w:r w:rsidRPr="00EF2A45">
              <w:rPr>
                <w:rFonts w:ascii="Arial" w:hAnsi="Arial" w:cs="Arial"/>
                <w:b/>
                <w:color w:val="FFFFFF" w:themeColor="background1"/>
                <w:sz w:val="28"/>
                <w:szCs w:val="28"/>
                <w:rtl/>
              </w:rPr>
              <w:t>غير خطير</w:t>
            </w:r>
            <w:r w:rsidRPr="00EF2A45">
              <w:rPr>
                <w:rFonts w:ascii="Arial" w:hAnsi="Arial" w:cs="Arial"/>
                <w:b/>
                <w:color w:val="FFFFFF" w:themeColor="background1"/>
                <w:sz w:val="28"/>
                <w:szCs w:val="28"/>
              </w:rPr>
              <w:br/>
              <w:t>(2)</w:t>
            </w:r>
          </w:p>
        </w:tc>
        <w:tc>
          <w:tcPr>
            <w:tcW w:w="771" w:type="pct"/>
            <w:tcBorders>
              <w:top w:val="single" w:sz="8" w:space="0" w:color="595959"/>
              <w:left w:val="single" w:sz="8" w:space="0" w:color="595959"/>
              <w:bottom w:val="single" w:sz="8" w:space="0" w:color="595959"/>
              <w:right w:val="single" w:sz="8" w:space="0" w:color="595959"/>
            </w:tcBorders>
            <w:shd w:val="clear" w:color="auto" w:fill="DC281E"/>
            <w:tcMar>
              <w:top w:w="72" w:type="dxa"/>
              <w:left w:w="133" w:type="dxa"/>
              <w:bottom w:w="72" w:type="dxa"/>
              <w:right w:w="133" w:type="dxa"/>
            </w:tcMar>
            <w:vAlign w:val="center"/>
          </w:tcPr>
          <w:p w:rsidR="00AB6CA6" w:rsidRPr="00EF2A45" w:rsidRDefault="00AB6CA6" w:rsidP="003C0D62">
            <w:pPr>
              <w:bidi/>
              <w:jc w:val="both"/>
              <w:rPr>
                <w:rFonts w:ascii="Arial" w:hAnsi="Arial" w:cs="Arial"/>
                <w:b/>
                <w:color w:val="FFFFFF" w:themeColor="background1"/>
                <w:sz w:val="28"/>
                <w:szCs w:val="28"/>
              </w:rPr>
            </w:pPr>
            <w:r w:rsidRPr="00EF2A45">
              <w:rPr>
                <w:rFonts w:ascii="Arial" w:hAnsi="Arial" w:cs="Arial"/>
                <w:b/>
                <w:color w:val="FFFFFF" w:themeColor="background1"/>
                <w:sz w:val="28"/>
                <w:szCs w:val="28"/>
                <w:rtl/>
              </w:rPr>
              <w:t>مقبول</w:t>
            </w:r>
            <w:r w:rsidRPr="00EF2A45">
              <w:rPr>
                <w:rFonts w:ascii="Arial" w:hAnsi="Arial" w:cs="Arial"/>
                <w:b/>
                <w:color w:val="FFFFFF" w:themeColor="background1"/>
                <w:sz w:val="28"/>
                <w:szCs w:val="28"/>
              </w:rPr>
              <w:br/>
              <w:t>(3)</w:t>
            </w:r>
          </w:p>
        </w:tc>
        <w:tc>
          <w:tcPr>
            <w:tcW w:w="772" w:type="pct"/>
            <w:tcBorders>
              <w:top w:val="single" w:sz="8" w:space="0" w:color="595959"/>
              <w:left w:val="single" w:sz="8" w:space="0" w:color="595959"/>
              <w:bottom w:val="single" w:sz="8" w:space="0" w:color="595959"/>
              <w:right w:val="single" w:sz="8" w:space="0" w:color="595959"/>
            </w:tcBorders>
            <w:shd w:val="clear" w:color="auto" w:fill="DC281E"/>
            <w:tcMar>
              <w:top w:w="72" w:type="dxa"/>
              <w:left w:w="133" w:type="dxa"/>
              <w:bottom w:w="72" w:type="dxa"/>
              <w:right w:w="133" w:type="dxa"/>
            </w:tcMar>
            <w:vAlign w:val="center"/>
          </w:tcPr>
          <w:p w:rsidR="00AB6CA6" w:rsidRPr="00EF2A45" w:rsidRDefault="00AB6CA6" w:rsidP="003C0D62">
            <w:pPr>
              <w:bidi/>
              <w:jc w:val="both"/>
              <w:rPr>
                <w:rFonts w:ascii="Arial" w:hAnsi="Arial" w:cs="Arial"/>
                <w:b/>
                <w:color w:val="FFFFFF" w:themeColor="background1"/>
                <w:sz w:val="28"/>
                <w:szCs w:val="28"/>
              </w:rPr>
            </w:pPr>
            <w:r w:rsidRPr="00EF2A45">
              <w:rPr>
                <w:rFonts w:ascii="Arial" w:hAnsi="Arial" w:cs="Arial"/>
                <w:b/>
                <w:color w:val="FFFFFF" w:themeColor="background1"/>
                <w:sz w:val="28"/>
                <w:szCs w:val="28"/>
                <w:rtl/>
              </w:rPr>
              <w:t>حاد</w:t>
            </w:r>
            <w:r w:rsidRPr="00EF2A45">
              <w:rPr>
                <w:rFonts w:ascii="Arial" w:hAnsi="Arial" w:cs="Arial"/>
                <w:b/>
                <w:color w:val="FFFFFF" w:themeColor="background1"/>
                <w:sz w:val="28"/>
                <w:szCs w:val="28"/>
              </w:rPr>
              <w:br/>
              <w:t>(4)</w:t>
            </w:r>
          </w:p>
        </w:tc>
        <w:tc>
          <w:tcPr>
            <w:tcW w:w="772" w:type="pct"/>
            <w:tcBorders>
              <w:top w:val="single" w:sz="8" w:space="0" w:color="595959"/>
              <w:left w:val="single" w:sz="8" w:space="0" w:color="595959"/>
              <w:bottom w:val="single" w:sz="8" w:space="0" w:color="595959"/>
              <w:right w:val="single" w:sz="8" w:space="0" w:color="595959"/>
            </w:tcBorders>
            <w:shd w:val="clear" w:color="auto" w:fill="DC281E"/>
            <w:tcMar>
              <w:top w:w="72" w:type="dxa"/>
              <w:left w:w="133" w:type="dxa"/>
              <w:bottom w:w="72" w:type="dxa"/>
              <w:right w:w="133" w:type="dxa"/>
            </w:tcMar>
            <w:vAlign w:val="center"/>
          </w:tcPr>
          <w:p w:rsidR="00AB6CA6" w:rsidRPr="00EF2A45" w:rsidRDefault="00AB6CA6" w:rsidP="003C0D62">
            <w:pPr>
              <w:bidi/>
              <w:jc w:val="both"/>
              <w:rPr>
                <w:rFonts w:ascii="Arial" w:hAnsi="Arial" w:cs="Arial"/>
                <w:b/>
                <w:color w:val="FFFFFF" w:themeColor="background1"/>
                <w:sz w:val="28"/>
                <w:szCs w:val="28"/>
              </w:rPr>
            </w:pPr>
            <w:r w:rsidRPr="00EF2A45">
              <w:rPr>
                <w:rFonts w:ascii="Arial" w:hAnsi="Arial" w:cs="Arial"/>
                <w:b/>
                <w:color w:val="FFFFFF" w:themeColor="background1"/>
                <w:sz w:val="28"/>
                <w:szCs w:val="28"/>
                <w:rtl/>
              </w:rPr>
              <w:t>خطر</w:t>
            </w:r>
            <w:r w:rsidRPr="00EF2A45">
              <w:rPr>
                <w:rFonts w:ascii="Arial" w:hAnsi="Arial" w:cs="Arial"/>
                <w:b/>
                <w:color w:val="FFFFFF" w:themeColor="background1"/>
                <w:sz w:val="28"/>
                <w:szCs w:val="28"/>
              </w:rPr>
              <w:br/>
              <w:t>(5)</w:t>
            </w:r>
          </w:p>
        </w:tc>
      </w:tr>
      <w:tr w:rsidR="00AB6CA6" w:rsidRPr="00EF2A45" w:rsidTr="00AB6CA6">
        <w:trPr>
          <w:jc w:val="center"/>
        </w:trPr>
        <w:tc>
          <w:tcPr>
            <w:tcW w:w="1142" w:type="pct"/>
            <w:tcBorders>
              <w:top w:val="single" w:sz="8" w:space="0" w:color="595959"/>
              <w:left w:val="single" w:sz="8" w:space="0" w:color="595959"/>
              <w:bottom w:val="single" w:sz="8" w:space="0" w:color="595959"/>
              <w:right w:val="single" w:sz="8" w:space="0" w:color="595959"/>
            </w:tcBorders>
            <w:shd w:val="clear" w:color="auto" w:fill="A6A6A6"/>
            <w:tcMar>
              <w:top w:w="72" w:type="dxa"/>
              <w:left w:w="133" w:type="dxa"/>
              <w:bottom w:w="72" w:type="dxa"/>
              <w:right w:w="133" w:type="dxa"/>
            </w:tcMar>
            <w:vAlign w:val="center"/>
          </w:tcPr>
          <w:p w:rsidR="00AB6CA6" w:rsidRPr="00EF2A45" w:rsidRDefault="00215051" w:rsidP="003C0D62">
            <w:pPr>
              <w:bidi/>
              <w:jc w:val="both"/>
              <w:rPr>
                <w:rFonts w:ascii="Arial" w:hAnsi="Arial" w:cs="Arial"/>
                <w:sz w:val="28"/>
                <w:szCs w:val="28"/>
              </w:rPr>
            </w:pPr>
            <w:r w:rsidRPr="00EF2A45">
              <w:rPr>
                <w:rFonts w:ascii="Arial" w:hAnsi="Arial" w:cs="Arial"/>
                <w:sz w:val="28"/>
                <w:szCs w:val="28"/>
                <w:rtl/>
              </w:rPr>
              <w:t xml:space="preserve">غير محتملة البتة </w:t>
            </w:r>
            <w:r w:rsidR="00AB6CA6" w:rsidRPr="00EF2A45">
              <w:rPr>
                <w:rFonts w:ascii="Arial" w:hAnsi="Arial" w:cs="Arial"/>
                <w:sz w:val="28"/>
                <w:szCs w:val="28"/>
              </w:rPr>
              <w:t xml:space="preserve"> (1)</w:t>
            </w:r>
          </w:p>
        </w:tc>
        <w:tc>
          <w:tcPr>
            <w:tcW w:w="771"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1</w:t>
            </w:r>
          </w:p>
        </w:tc>
        <w:tc>
          <w:tcPr>
            <w:tcW w:w="772"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2</w:t>
            </w:r>
          </w:p>
        </w:tc>
        <w:tc>
          <w:tcPr>
            <w:tcW w:w="771"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3</w:t>
            </w:r>
          </w:p>
        </w:tc>
        <w:tc>
          <w:tcPr>
            <w:tcW w:w="772"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4</w:t>
            </w:r>
          </w:p>
        </w:tc>
        <w:tc>
          <w:tcPr>
            <w:tcW w:w="772"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5</w:t>
            </w:r>
          </w:p>
        </w:tc>
      </w:tr>
      <w:tr w:rsidR="00AB6CA6" w:rsidRPr="00EF2A45" w:rsidTr="00AB6CA6">
        <w:trPr>
          <w:jc w:val="center"/>
        </w:trPr>
        <w:tc>
          <w:tcPr>
            <w:tcW w:w="1142" w:type="pct"/>
            <w:tcBorders>
              <w:top w:val="single" w:sz="8" w:space="0" w:color="595959"/>
              <w:left w:val="single" w:sz="8" w:space="0" w:color="595959"/>
              <w:bottom w:val="single" w:sz="8" w:space="0" w:color="595959"/>
              <w:right w:val="single" w:sz="8" w:space="0" w:color="595959"/>
            </w:tcBorders>
            <w:shd w:val="clear" w:color="auto" w:fill="A6A6A6"/>
            <w:tcMar>
              <w:top w:w="72" w:type="dxa"/>
              <w:left w:w="133" w:type="dxa"/>
              <w:bottom w:w="72" w:type="dxa"/>
              <w:right w:w="133" w:type="dxa"/>
            </w:tcMar>
            <w:vAlign w:val="center"/>
          </w:tcPr>
          <w:p w:rsidR="00AB6CA6" w:rsidRPr="00EF2A45" w:rsidRDefault="00215051" w:rsidP="003C0D62">
            <w:pPr>
              <w:bidi/>
              <w:jc w:val="both"/>
              <w:rPr>
                <w:rFonts w:ascii="Arial" w:hAnsi="Arial" w:cs="Arial"/>
                <w:sz w:val="28"/>
                <w:szCs w:val="28"/>
              </w:rPr>
            </w:pPr>
            <w:r w:rsidRPr="00EF2A45">
              <w:rPr>
                <w:rFonts w:ascii="Arial" w:hAnsi="Arial" w:cs="Arial"/>
                <w:sz w:val="28"/>
                <w:szCs w:val="28"/>
                <w:rtl/>
              </w:rPr>
              <w:t>غير محتملة</w:t>
            </w:r>
            <w:r w:rsidR="00AB6CA6" w:rsidRPr="00EF2A45">
              <w:rPr>
                <w:rFonts w:ascii="Arial" w:hAnsi="Arial" w:cs="Arial"/>
                <w:sz w:val="28"/>
                <w:szCs w:val="28"/>
              </w:rPr>
              <w:t>(2)</w:t>
            </w:r>
          </w:p>
        </w:tc>
        <w:tc>
          <w:tcPr>
            <w:tcW w:w="771"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2</w:t>
            </w:r>
          </w:p>
        </w:tc>
        <w:tc>
          <w:tcPr>
            <w:tcW w:w="772"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4</w:t>
            </w:r>
          </w:p>
        </w:tc>
        <w:tc>
          <w:tcPr>
            <w:tcW w:w="771"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6</w:t>
            </w:r>
          </w:p>
        </w:tc>
        <w:tc>
          <w:tcPr>
            <w:tcW w:w="772" w:type="pct"/>
            <w:tcBorders>
              <w:top w:val="single" w:sz="8" w:space="0" w:color="595959"/>
              <w:left w:val="single" w:sz="8" w:space="0" w:color="595959"/>
              <w:bottom w:val="single" w:sz="8" w:space="0" w:color="595959"/>
              <w:right w:val="single" w:sz="8" w:space="0" w:color="595959"/>
            </w:tcBorders>
            <w:shd w:val="clear" w:color="auto" w:fill="F79646" w:themeFill="accent6"/>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bookmarkStart w:id="0" w:name="_GoBack"/>
            <w:bookmarkEnd w:id="0"/>
            <w:r w:rsidRPr="00EF2A45">
              <w:rPr>
                <w:rFonts w:ascii="Arial" w:hAnsi="Arial" w:cs="Arial"/>
                <w:sz w:val="28"/>
                <w:szCs w:val="28"/>
              </w:rPr>
              <w:t>8</w:t>
            </w:r>
          </w:p>
        </w:tc>
        <w:tc>
          <w:tcPr>
            <w:tcW w:w="772" w:type="pct"/>
            <w:tcBorders>
              <w:top w:val="single" w:sz="8" w:space="0" w:color="595959"/>
              <w:left w:val="single" w:sz="8" w:space="0" w:color="595959"/>
              <w:bottom w:val="single" w:sz="8" w:space="0" w:color="595959"/>
              <w:right w:val="single" w:sz="8" w:space="0" w:color="595959"/>
            </w:tcBorders>
            <w:shd w:val="clear" w:color="auto" w:fill="F79646" w:themeFill="accent6"/>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10</w:t>
            </w:r>
          </w:p>
        </w:tc>
      </w:tr>
      <w:tr w:rsidR="00AB6CA6" w:rsidRPr="00EF2A45" w:rsidTr="00AB6CA6">
        <w:trPr>
          <w:jc w:val="center"/>
        </w:trPr>
        <w:tc>
          <w:tcPr>
            <w:tcW w:w="1142" w:type="pct"/>
            <w:tcBorders>
              <w:top w:val="single" w:sz="8" w:space="0" w:color="595959"/>
              <w:left w:val="single" w:sz="8" w:space="0" w:color="595959"/>
              <w:bottom w:val="single" w:sz="8" w:space="0" w:color="595959"/>
              <w:right w:val="single" w:sz="8" w:space="0" w:color="595959"/>
            </w:tcBorders>
            <w:shd w:val="clear" w:color="auto" w:fill="A6A6A6"/>
            <w:tcMar>
              <w:top w:w="72" w:type="dxa"/>
              <w:left w:w="133" w:type="dxa"/>
              <w:bottom w:w="72" w:type="dxa"/>
              <w:right w:w="133" w:type="dxa"/>
            </w:tcMar>
            <w:vAlign w:val="center"/>
          </w:tcPr>
          <w:p w:rsidR="00AB6CA6" w:rsidRPr="00EF2A45" w:rsidRDefault="00215051" w:rsidP="003C0D62">
            <w:pPr>
              <w:bidi/>
              <w:jc w:val="both"/>
              <w:rPr>
                <w:rFonts w:ascii="Arial" w:hAnsi="Arial" w:cs="Arial"/>
                <w:sz w:val="28"/>
                <w:szCs w:val="28"/>
              </w:rPr>
            </w:pPr>
            <w:r w:rsidRPr="00EF2A45">
              <w:rPr>
                <w:rFonts w:ascii="Arial" w:hAnsi="Arial" w:cs="Arial"/>
                <w:sz w:val="28"/>
                <w:szCs w:val="28"/>
                <w:rtl/>
              </w:rPr>
              <w:t xml:space="preserve">محتملة </w:t>
            </w:r>
            <w:r w:rsidR="00AB6CA6" w:rsidRPr="00EF2A45">
              <w:rPr>
                <w:rFonts w:ascii="Arial" w:hAnsi="Arial" w:cs="Arial"/>
                <w:sz w:val="28"/>
                <w:szCs w:val="28"/>
              </w:rPr>
              <w:t>(3)</w:t>
            </w:r>
          </w:p>
        </w:tc>
        <w:tc>
          <w:tcPr>
            <w:tcW w:w="771"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3</w:t>
            </w:r>
          </w:p>
        </w:tc>
        <w:tc>
          <w:tcPr>
            <w:tcW w:w="772"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6</w:t>
            </w:r>
          </w:p>
        </w:tc>
        <w:tc>
          <w:tcPr>
            <w:tcW w:w="771" w:type="pct"/>
            <w:tcBorders>
              <w:top w:val="single" w:sz="8" w:space="0" w:color="595959"/>
              <w:left w:val="single" w:sz="8" w:space="0" w:color="595959"/>
              <w:bottom w:val="single" w:sz="8" w:space="0" w:color="595959"/>
              <w:right w:val="single" w:sz="8" w:space="0" w:color="595959"/>
            </w:tcBorders>
            <w:shd w:val="clear" w:color="auto" w:fill="F79646" w:themeFill="accent6"/>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9</w:t>
            </w:r>
          </w:p>
        </w:tc>
        <w:tc>
          <w:tcPr>
            <w:tcW w:w="772" w:type="pct"/>
            <w:tcBorders>
              <w:top w:val="single" w:sz="8" w:space="0" w:color="595959"/>
              <w:left w:val="single" w:sz="8" w:space="0" w:color="595959"/>
              <w:bottom w:val="single" w:sz="8" w:space="0" w:color="595959"/>
              <w:right w:val="single" w:sz="8" w:space="0" w:color="595959"/>
            </w:tcBorders>
            <w:shd w:val="clear" w:color="auto" w:fill="F79646" w:themeFill="accent6"/>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12</w:t>
            </w:r>
          </w:p>
        </w:tc>
        <w:tc>
          <w:tcPr>
            <w:tcW w:w="772" w:type="pct"/>
            <w:tcBorders>
              <w:top w:val="single" w:sz="8" w:space="0" w:color="595959"/>
              <w:left w:val="single" w:sz="8" w:space="0" w:color="595959"/>
              <w:bottom w:val="single" w:sz="8" w:space="0" w:color="595959"/>
              <w:right w:val="single" w:sz="8" w:space="0" w:color="595959"/>
            </w:tcBorders>
            <w:shd w:val="clear" w:color="auto" w:fill="C0504D"/>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15</w:t>
            </w:r>
          </w:p>
        </w:tc>
      </w:tr>
      <w:tr w:rsidR="00AB6CA6" w:rsidRPr="00EF2A45" w:rsidTr="00AB6CA6">
        <w:trPr>
          <w:jc w:val="center"/>
        </w:trPr>
        <w:tc>
          <w:tcPr>
            <w:tcW w:w="1142" w:type="pct"/>
            <w:tcBorders>
              <w:top w:val="single" w:sz="8" w:space="0" w:color="595959"/>
              <w:left w:val="single" w:sz="8" w:space="0" w:color="595959"/>
              <w:bottom w:val="single" w:sz="8" w:space="0" w:color="595959"/>
              <w:right w:val="single" w:sz="8" w:space="0" w:color="595959"/>
            </w:tcBorders>
            <w:shd w:val="clear" w:color="auto" w:fill="A6A6A6"/>
            <w:tcMar>
              <w:top w:w="72" w:type="dxa"/>
              <w:left w:w="133" w:type="dxa"/>
              <w:bottom w:w="72" w:type="dxa"/>
              <w:right w:w="133" w:type="dxa"/>
            </w:tcMar>
            <w:vAlign w:val="center"/>
          </w:tcPr>
          <w:p w:rsidR="00AB6CA6" w:rsidRPr="00EF2A45" w:rsidRDefault="00215051" w:rsidP="003C0D62">
            <w:pPr>
              <w:bidi/>
              <w:jc w:val="both"/>
              <w:rPr>
                <w:rFonts w:ascii="Arial" w:hAnsi="Arial" w:cs="Arial"/>
                <w:sz w:val="28"/>
                <w:szCs w:val="28"/>
              </w:rPr>
            </w:pPr>
            <w:r w:rsidRPr="00EF2A45">
              <w:rPr>
                <w:rFonts w:ascii="Arial" w:hAnsi="Arial" w:cs="Arial"/>
                <w:sz w:val="28"/>
                <w:szCs w:val="28"/>
                <w:rtl/>
              </w:rPr>
              <w:t>مرجحة</w:t>
            </w:r>
            <w:r w:rsidR="00AB6CA6" w:rsidRPr="00EF2A45">
              <w:rPr>
                <w:rFonts w:ascii="Arial" w:hAnsi="Arial" w:cs="Arial"/>
                <w:sz w:val="28"/>
                <w:szCs w:val="28"/>
              </w:rPr>
              <w:t xml:space="preserve"> (4)</w:t>
            </w:r>
          </w:p>
        </w:tc>
        <w:tc>
          <w:tcPr>
            <w:tcW w:w="771"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4</w:t>
            </w:r>
          </w:p>
        </w:tc>
        <w:tc>
          <w:tcPr>
            <w:tcW w:w="772" w:type="pct"/>
            <w:tcBorders>
              <w:top w:val="single" w:sz="8" w:space="0" w:color="595959"/>
              <w:left w:val="single" w:sz="8" w:space="0" w:color="595959"/>
              <w:bottom w:val="single" w:sz="8" w:space="0" w:color="595959"/>
              <w:right w:val="single" w:sz="8" w:space="0" w:color="595959"/>
            </w:tcBorders>
            <w:shd w:val="clear" w:color="auto" w:fill="F79646" w:themeFill="accent6"/>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8</w:t>
            </w:r>
          </w:p>
        </w:tc>
        <w:tc>
          <w:tcPr>
            <w:tcW w:w="771" w:type="pct"/>
            <w:tcBorders>
              <w:top w:val="single" w:sz="8" w:space="0" w:color="595959"/>
              <w:left w:val="single" w:sz="8" w:space="0" w:color="595959"/>
              <w:bottom w:val="single" w:sz="8" w:space="0" w:color="595959"/>
              <w:right w:val="single" w:sz="8" w:space="0" w:color="595959"/>
            </w:tcBorders>
            <w:shd w:val="clear" w:color="auto" w:fill="F79646" w:themeFill="accent6"/>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12</w:t>
            </w:r>
          </w:p>
        </w:tc>
        <w:tc>
          <w:tcPr>
            <w:tcW w:w="772" w:type="pct"/>
            <w:tcBorders>
              <w:top w:val="single" w:sz="8" w:space="0" w:color="595959"/>
              <w:left w:val="single" w:sz="8" w:space="0" w:color="595959"/>
              <w:bottom w:val="single" w:sz="8" w:space="0" w:color="595959"/>
              <w:right w:val="single" w:sz="8" w:space="0" w:color="595959"/>
            </w:tcBorders>
            <w:shd w:val="clear" w:color="auto" w:fill="C0504D"/>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16</w:t>
            </w:r>
          </w:p>
        </w:tc>
        <w:tc>
          <w:tcPr>
            <w:tcW w:w="772" w:type="pct"/>
            <w:tcBorders>
              <w:top w:val="single" w:sz="8" w:space="0" w:color="595959"/>
              <w:left w:val="single" w:sz="8" w:space="0" w:color="595959"/>
              <w:bottom w:val="single" w:sz="8" w:space="0" w:color="595959"/>
              <w:right w:val="single" w:sz="8" w:space="0" w:color="595959"/>
            </w:tcBorders>
            <w:shd w:val="clear" w:color="auto" w:fill="C0504D"/>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20</w:t>
            </w:r>
          </w:p>
        </w:tc>
      </w:tr>
      <w:tr w:rsidR="00AB6CA6" w:rsidRPr="00EF2A45" w:rsidTr="00AB6CA6">
        <w:trPr>
          <w:jc w:val="center"/>
        </w:trPr>
        <w:tc>
          <w:tcPr>
            <w:tcW w:w="1142" w:type="pct"/>
            <w:tcBorders>
              <w:top w:val="single" w:sz="8" w:space="0" w:color="595959"/>
              <w:left w:val="single" w:sz="8" w:space="0" w:color="595959"/>
              <w:bottom w:val="single" w:sz="8" w:space="0" w:color="595959"/>
              <w:right w:val="single" w:sz="8" w:space="0" w:color="595959"/>
            </w:tcBorders>
            <w:shd w:val="clear" w:color="auto" w:fill="A6A6A6"/>
            <w:tcMar>
              <w:top w:w="72" w:type="dxa"/>
              <w:left w:w="133" w:type="dxa"/>
              <w:bottom w:w="72" w:type="dxa"/>
              <w:right w:w="133" w:type="dxa"/>
            </w:tcMar>
            <w:vAlign w:val="center"/>
          </w:tcPr>
          <w:p w:rsidR="00AB6CA6" w:rsidRPr="00EF2A45" w:rsidRDefault="00215051" w:rsidP="003C0D62">
            <w:pPr>
              <w:bidi/>
              <w:jc w:val="both"/>
              <w:rPr>
                <w:rFonts w:ascii="Arial" w:hAnsi="Arial" w:cs="Arial"/>
                <w:sz w:val="28"/>
                <w:szCs w:val="28"/>
              </w:rPr>
            </w:pPr>
            <w:r w:rsidRPr="00EF2A45">
              <w:rPr>
                <w:rFonts w:ascii="Arial" w:hAnsi="Arial" w:cs="Arial"/>
                <w:sz w:val="28"/>
                <w:szCs w:val="28"/>
                <w:rtl/>
              </w:rPr>
              <w:t>مرجحة جداً</w:t>
            </w:r>
            <w:r w:rsidR="00AB6CA6" w:rsidRPr="00EF2A45">
              <w:rPr>
                <w:rFonts w:ascii="Arial" w:hAnsi="Arial" w:cs="Arial"/>
                <w:sz w:val="28"/>
                <w:szCs w:val="28"/>
              </w:rPr>
              <w:t xml:space="preserve"> (5)</w:t>
            </w:r>
          </w:p>
        </w:tc>
        <w:tc>
          <w:tcPr>
            <w:tcW w:w="771"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5</w:t>
            </w:r>
          </w:p>
        </w:tc>
        <w:tc>
          <w:tcPr>
            <w:tcW w:w="772" w:type="pct"/>
            <w:tcBorders>
              <w:top w:val="single" w:sz="8" w:space="0" w:color="595959"/>
              <w:left w:val="single" w:sz="8" w:space="0" w:color="595959"/>
              <w:bottom w:val="single" w:sz="8" w:space="0" w:color="595959"/>
              <w:right w:val="single" w:sz="8" w:space="0" w:color="595959"/>
            </w:tcBorders>
            <w:shd w:val="clear" w:color="auto" w:fill="F79646" w:themeFill="accent6"/>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10</w:t>
            </w:r>
          </w:p>
        </w:tc>
        <w:tc>
          <w:tcPr>
            <w:tcW w:w="771" w:type="pct"/>
            <w:tcBorders>
              <w:top w:val="single" w:sz="8" w:space="0" w:color="595959"/>
              <w:left w:val="single" w:sz="8" w:space="0" w:color="595959"/>
              <w:bottom w:val="single" w:sz="8" w:space="0" w:color="595959"/>
              <w:right w:val="single" w:sz="8" w:space="0" w:color="595959"/>
            </w:tcBorders>
            <w:shd w:val="clear" w:color="auto" w:fill="C0504D"/>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15</w:t>
            </w:r>
          </w:p>
        </w:tc>
        <w:tc>
          <w:tcPr>
            <w:tcW w:w="772" w:type="pct"/>
            <w:tcBorders>
              <w:top w:val="single" w:sz="8" w:space="0" w:color="595959"/>
              <w:left w:val="single" w:sz="8" w:space="0" w:color="595959"/>
              <w:bottom w:val="single" w:sz="8" w:space="0" w:color="595959"/>
              <w:right w:val="single" w:sz="8" w:space="0" w:color="595959"/>
            </w:tcBorders>
            <w:shd w:val="clear" w:color="auto" w:fill="C0504D"/>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20</w:t>
            </w:r>
          </w:p>
        </w:tc>
        <w:tc>
          <w:tcPr>
            <w:tcW w:w="772" w:type="pct"/>
            <w:tcBorders>
              <w:top w:val="single" w:sz="8" w:space="0" w:color="595959"/>
              <w:left w:val="single" w:sz="8" w:space="0" w:color="595959"/>
              <w:bottom w:val="single" w:sz="8" w:space="0" w:color="595959"/>
              <w:right w:val="single" w:sz="8" w:space="0" w:color="595959"/>
            </w:tcBorders>
            <w:shd w:val="clear" w:color="auto" w:fill="C0504D"/>
            <w:tcMar>
              <w:top w:w="72" w:type="dxa"/>
              <w:left w:w="133" w:type="dxa"/>
              <w:bottom w:w="72" w:type="dxa"/>
              <w:right w:w="133" w:type="dxa"/>
            </w:tcMar>
            <w:vAlign w:val="center"/>
          </w:tcPr>
          <w:p w:rsidR="00AB6CA6" w:rsidRPr="00EF2A45" w:rsidRDefault="00AB6CA6" w:rsidP="003C0D62">
            <w:pPr>
              <w:bidi/>
              <w:jc w:val="both"/>
              <w:rPr>
                <w:rFonts w:ascii="Arial" w:hAnsi="Arial" w:cs="Arial"/>
                <w:sz w:val="28"/>
                <w:szCs w:val="28"/>
              </w:rPr>
            </w:pPr>
            <w:r w:rsidRPr="00EF2A45">
              <w:rPr>
                <w:rFonts w:ascii="Arial" w:hAnsi="Arial" w:cs="Arial"/>
                <w:sz w:val="28"/>
                <w:szCs w:val="28"/>
              </w:rPr>
              <w:t>25</w:t>
            </w:r>
          </w:p>
        </w:tc>
      </w:tr>
    </w:tbl>
    <w:p w:rsidR="00014F6E" w:rsidRPr="00EF2A45" w:rsidRDefault="00AC32F6" w:rsidP="003C0D62">
      <w:pPr>
        <w:bidi/>
        <w:ind w:left="360"/>
        <w:jc w:val="both"/>
        <w:rPr>
          <w:rFonts w:ascii="Arial" w:hAnsi="Arial" w:cs="Arial"/>
          <w:sz w:val="28"/>
          <w:szCs w:val="28"/>
          <w:rtl/>
        </w:rPr>
      </w:pPr>
      <w:r w:rsidRPr="00EF2A45">
        <w:rPr>
          <w:rFonts w:ascii="Arial" w:hAnsi="Arial" w:cs="Arial"/>
          <w:sz w:val="28"/>
          <w:szCs w:val="28"/>
          <w:rtl/>
        </w:rPr>
        <w:t>الخطورة= نتيجة (الأثر)</w:t>
      </w:r>
      <w:r w:rsidRPr="00EF2A45">
        <w:rPr>
          <w:rFonts w:ascii="Arial" w:hAnsi="Arial" w:cs="Arial"/>
          <w:sz w:val="28"/>
          <w:szCs w:val="28"/>
        </w:rPr>
        <w:t xml:space="preserve"> x</w:t>
      </w:r>
      <w:r w:rsidRPr="00EF2A45">
        <w:rPr>
          <w:rFonts w:ascii="Arial" w:hAnsi="Arial" w:cs="Arial"/>
          <w:sz w:val="28"/>
          <w:szCs w:val="28"/>
          <w:rtl/>
        </w:rPr>
        <w:t>نتيجة (الاحتمالية)</w:t>
      </w:r>
    </w:p>
    <w:tbl>
      <w:tblPr>
        <w:bidiVisual/>
        <w:tblW w:w="0" w:type="auto"/>
        <w:tblCellMar>
          <w:left w:w="0" w:type="dxa"/>
          <w:right w:w="0" w:type="dxa"/>
        </w:tblCellMar>
        <w:tblLook w:val="0600"/>
      </w:tblPr>
      <w:tblGrid>
        <w:gridCol w:w="1113"/>
        <w:gridCol w:w="1114"/>
        <w:gridCol w:w="1114"/>
      </w:tblGrid>
      <w:tr w:rsidR="00AC32F6" w:rsidRPr="00EF2A45" w:rsidTr="00AC32F6">
        <w:trPr>
          <w:trHeight w:val="461"/>
        </w:trPr>
        <w:tc>
          <w:tcPr>
            <w:tcW w:w="1113" w:type="dxa"/>
            <w:tcBorders>
              <w:top w:val="single" w:sz="8" w:space="0" w:color="000000"/>
              <w:left w:val="single" w:sz="8" w:space="0" w:color="595959"/>
              <w:bottom w:val="single" w:sz="8" w:space="0" w:color="000000"/>
              <w:right w:val="single" w:sz="8" w:space="0" w:color="000000"/>
            </w:tcBorders>
            <w:shd w:val="clear" w:color="auto" w:fill="D0EE63"/>
            <w:tcMar>
              <w:top w:w="72" w:type="dxa"/>
              <w:left w:w="144" w:type="dxa"/>
              <w:bottom w:w="72" w:type="dxa"/>
              <w:right w:w="144" w:type="dxa"/>
            </w:tcMar>
          </w:tcPr>
          <w:p w:rsidR="00AC32F6" w:rsidRPr="00EF2A45" w:rsidRDefault="00AC32F6" w:rsidP="003C0D62">
            <w:pPr>
              <w:bidi/>
              <w:jc w:val="both"/>
              <w:rPr>
                <w:rFonts w:ascii="Arial" w:hAnsi="Arial" w:cs="Arial"/>
                <w:sz w:val="28"/>
                <w:szCs w:val="28"/>
              </w:rPr>
            </w:pPr>
            <w:r w:rsidRPr="00EF2A45">
              <w:rPr>
                <w:rFonts w:ascii="Arial" w:hAnsi="Arial" w:cs="Arial"/>
                <w:sz w:val="28"/>
                <w:szCs w:val="28"/>
                <w:rtl/>
              </w:rPr>
              <w:t>منخفض</w:t>
            </w:r>
            <w:r w:rsidRPr="00EF2A45">
              <w:rPr>
                <w:rFonts w:ascii="Arial" w:hAnsi="Arial" w:cs="Arial"/>
                <w:sz w:val="28"/>
                <w:szCs w:val="28"/>
              </w:rPr>
              <w:br/>
              <w:t>1-7</w:t>
            </w:r>
          </w:p>
        </w:tc>
        <w:tc>
          <w:tcPr>
            <w:tcW w:w="1114" w:type="dxa"/>
            <w:tcBorders>
              <w:top w:val="single" w:sz="8" w:space="0" w:color="000000"/>
              <w:left w:val="single" w:sz="8" w:space="0" w:color="000000"/>
              <w:bottom w:val="single" w:sz="8" w:space="0" w:color="000000"/>
              <w:right w:val="single" w:sz="8" w:space="0" w:color="000000"/>
            </w:tcBorders>
            <w:shd w:val="clear" w:color="auto" w:fill="F79646" w:themeFill="accent6"/>
            <w:tcMar>
              <w:top w:w="72" w:type="dxa"/>
              <w:left w:w="144" w:type="dxa"/>
              <w:bottom w:w="72" w:type="dxa"/>
              <w:right w:w="144" w:type="dxa"/>
            </w:tcMar>
          </w:tcPr>
          <w:p w:rsidR="00AC32F6" w:rsidRPr="00EF2A45" w:rsidRDefault="00AC32F6" w:rsidP="003C0D62">
            <w:pPr>
              <w:bidi/>
              <w:jc w:val="both"/>
              <w:rPr>
                <w:rFonts w:ascii="Arial" w:hAnsi="Arial" w:cs="Arial"/>
                <w:sz w:val="28"/>
                <w:szCs w:val="28"/>
              </w:rPr>
            </w:pPr>
            <w:r w:rsidRPr="00EF2A45">
              <w:rPr>
                <w:rFonts w:ascii="Arial" w:hAnsi="Arial" w:cs="Arial"/>
                <w:sz w:val="28"/>
                <w:szCs w:val="28"/>
                <w:rtl/>
              </w:rPr>
              <w:t>متوسط</w:t>
            </w:r>
            <w:r w:rsidRPr="00EF2A45">
              <w:rPr>
                <w:rFonts w:ascii="Arial" w:hAnsi="Arial" w:cs="Arial"/>
                <w:sz w:val="28"/>
                <w:szCs w:val="28"/>
              </w:rPr>
              <w:br/>
              <w:t>8-14</w:t>
            </w:r>
          </w:p>
        </w:tc>
        <w:tc>
          <w:tcPr>
            <w:tcW w:w="1114" w:type="dxa"/>
            <w:tcBorders>
              <w:top w:val="single" w:sz="8" w:space="0" w:color="000000"/>
              <w:left w:val="single" w:sz="8" w:space="0" w:color="000000"/>
              <w:bottom w:val="single" w:sz="8" w:space="0" w:color="000000"/>
              <w:right w:val="single" w:sz="8" w:space="0" w:color="FFFFFF"/>
            </w:tcBorders>
            <w:shd w:val="clear" w:color="auto" w:fill="C0504D"/>
            <w:tcMar>
              <w:top w:w="72" w:type="dxa"/>
              <w:left w:w="144" w:type="dxa"/>
              <w:bottom w:w="72" w:type="dxa"/>
              <w:right w:w="144" w:type="dxa"/>
            </w:tcMar>
          </w:tcPr>
          <w:p w:rsidR="00AC32F6" w:rsidRPr="00EF2A45" w:rsidRDefault="00AC32F6" w:rsidP="003C0D62">
            <w:pPr>
              <w:bidi/>
              <w:jc w:val="both"/>
              <w:rPr>
                <w:rFonts w:ascii="Arial" w:hAnsi="Arial" w:cs="Arial"/>
                <w:sz w:val="28"/>
                <w:szCs w:val="28"/>
              </w:rPr>
            </w:pPr>
            <w:r w:rsidRPr="00EF2A45">
              <w:rPr>
                <w:rFonts w:ascii="Arial" w:hAnsi="Arial" w:cs="Arial"/>
                <w:sz w:val="28"/>
                <w:szCs w:val="28"/>
                <w:rtl/>
              </w:rPr>
              <w:t>مرتفع</w:t>
            </w:r>
            <w:r w:rsidRPr="00EF2A45">
              <w:rPr>
                <w:rFonts w:ascii="Arial" w:hAnsi="Arial" w:cs="Arial"/>
                <w:sz w:val="28"/>
                <w:szCs w:val="28"/>
              </w:rPr>
              <w:br/>
              <w:t>15-25</w:t>
            </w:r>
          </w:p>
        </w:tc>
      </w:tr>
    </w:tbl>
    <w:p w:rsidR="00AC32F6" w:rsidRPr="00EF2A45" w:rsidRDefault="00AC32F6" w:rsidP="003C0D62">
      <w:pPr>
        <w:bidi/>
        <w:ind w:left="360"/>
        <w:jc w:val="both"/>
        <w:rPr>
          <w:rFonts w:ascii="Arial" w:hAnsi="Arial" w:cs="Arial"/>
          <w:sz w:val="28"/>
          <w:szCs w:val="28"/>
          <w:rtl/>
        </w:rPr>
      </w:pPr>
    </w:p>
    <w:p w:rsidR="00370AD5" w:rsidRPr="00EF2A45" w:rsidRDefault="000E7155" w:rsidP="003C0D62">
      <w:pPr>
        <w:bidi/>
        <w:jc w:val="both"/>
        <w:rPr>
          <w:rFonts w:ascii="Arial" w:hAnsi="Arial" w:cs="Arial"/>
          <w:b/>
          <w:bCs/>
          <w:sz w:val="28"/>
          <w:szCs w:val="28"/>
          <w:rtl/>
        </w:rPr>
      </w:pPr>
      <w:r>
        <w:rPr>
          <w:rFonts w:ascii="Arial" w:hAnsi="Arial" w:cs="Arial"/>
          <w:b/>
          <w:bCs/>
          <w:sz w:val="28"/>
          <w:szCs w:val="28"/>
          <w:rtl/>
        </w:rPr>
        <w:t>اختيار الإ</w:t>
      </w:r>
      <w:r>
        <w:rPr>
          <w:rFonts w:ascii="Arial" w:hAnsi="Arial" w:cs="Arial" w:hint="cs"/>
          <w:b/>
          <w:bCs/>
          <w:sz w:val="28"/>
          <w:szCs w:val="28"/>
          <w:rtl/>
        </w:rPr>
        <w:t>ج</w:t>
      </w:r>
      <w:r w:rsidR="00214363" w:rsidRPr="00EF2A45">
        <w:rPr>
          <w:rFonts w:ascii="Arial" w:hAnsi="Arial" w:cs="Arial"/>
          <w:b/>
          <w:bCs/>
          <w:sz w:val="28"/>
          <w:szCs w:val="28"/>
          <w:rtl/>
        </w:rPr>
        <w:t>راءات المناسبة</w:t>
      </w:r>
    </w:p>
    <w:p w:rsidR="000E7155" w:rsidRDefault="00214363" w:rsidP="003C0D62">
      <w:pPr>
        <w:bidi/>
        <w:jc w:val="both"/>
        <w:rPr>
          <w:rFonts w:ascii="Arial" w:hAnsi="Arial" w:cs="Arial" w:hint="cs"/>
          <w:sz w:val="28"/>
          <w:szCs w:val="28"/>
          <w:rtl/>
        </w:rPr>
      </w:pPr>
      <w:r w:rsidRPr="00EF2A45">
        <w:rPr>
          <w:rFonts w:ascii="Arial" w:hAnsi="Arial" w:cs="Arial"/>
          <w:sz w:val="28"/>
          <w:szCs w:val="28"/>
          <w:rtl/>
        </w:rPr>
        <w:t>تعتمد الخيارات المتخذة عل</w:t>
      </w:r>
      <w:r w:rsidR="000E7155">
        <w:rPr>
          <w:rFonts w:ascii="Arial" w:hAnsi="Arial" w:cs="Arial"/>
          <w:sz w:val="28"/>
          <w:szCs w:val="28"/>
          <w:rtl/>
        </w:rPr>
        <w:t>ى مدى استعداد المؤسسة للمخاطرة</w:t>
      </w:r>
      <w:r w:rsidR="000E7155">
        <w:rPr>
          <w:rFonts w:ascii="Arial" w:hAnsi="Arial" w:cs="Arial" w:hint="cs"/>
          <w:sz w:val="28"/>
          <w:szCs w:val="28"/>
          <w:rtl/>
        </w:rPr>
        <w:t>؛</w:t>
      </w:r>
    </w:p>
    <w:p w:rsidR="00214363" w:rsidRPr="00EF2A45" w:rsidRDefault="00D548A7" w:rsidP="000E7155">
      <w:pPr>
        <w:bidi/>
        <w:jc w:val="both"/>
        <w:rPr>
          <w:rFonts w:ascii="Arial" w:hAnsi="Arial" w:cs="Arial"/>
          <w:sz w:val="28"/>
          <w:szCs w:val="28"/>
          <w:rtl/>
        </w:rPr>
      </w:pPr>
      <w:r w:rsidRPr="00EF2A45">
        <w:rPr>
          <w:rFonts w:ascii="Arial" w:hAnsi="Arial" w:cs="Arial"/>
          <w:sz w:val="28"/>
          <w:szCs w:val="28"/>
          <w:rtl/>
        </w:rPr>
        <w:t xml:space="preserve">المخاطر القليلة الخطورة (باللون الأخضر) يتم تقبلها أو تتطلب اجراءات بسيطة لتخفيف حدتها. والمخاطر المتوسطة الخطورة </w:t>
      </w:r>
      <w:r w:rsidR="000E7155">
        <w:rPr>
          <w:rFonts w:ascii="Arial" w:hAnsi="Arial" w:cs="Arial" w:hint="cs"/>
          <w:sz w:val="28"/>
          <w:szCs w:val="28"/>
          <w:rtl/>
        </w:rPr>
        <w:t>(</w:t>
      </w:r>
      <w:r w:rsidRPr="00EF2A45">
        <w:rPr>
          <w:rFonts w:ascii="Arial" w:hAnsi="Arial" w:cs="Arial"/>
          <w:sz w:val="28"/>
          <w:szCs w:val="28"/>
          <w:rtl/>
        </w:rPr>
        <w:t xml:space="preserve">باللون </w:t>
      </w:r>
      <w:r w:rsidR="00214363" w:rsidRPr="00EF2A45">
        <w:rPr>
          <w:rFonts w:ascii="Arial" w:hAnsi="Arial" w:cs="Arial"/>
          <w:sz w:val="28"/>
          <w:szCs w:val="28"/>
          <w:rtl/>
        </w:rPr>
        <w:t xml:space="preserve"> </w:t>
      </w:r>
      <w:r w:rsidR="00485A4A" w:rsidRPr="00EF2A45">
        <w:rPr>
          <w:rFonts w:ascii="Arial" w:hAnsi="Arial" w:cs="Arial"/>
          <w:sz w:val="28"/>
          <w:szCs w:val="28"/>
          <w:rtl/>
        </w:rPr>
        <w:t>البرتقالي) غالباً ما تتطلب اتخاذ التدابير اللازمة للحد منها. أما المخاطر ذات الخطورة المرتفعة (باللون الأحمر) فتتطلب إجراءات هامة للحد منها أو</w:t>
      </w:r>
      <w:r w:rsidR="00EF2A45" w:rsidRPr="00EF2A45">
        <w:rPr>
          <w:rFonts w:ascii="Arial" w:hAnsi="Arial" w:cs="Arial"/>
          <w:sz w:val="28"/>
          <w:szCs w:val="28"/>
          <w:rtl/>
        </w:rPr>
        <w:t xml:space="preserve"> يجب</w:t>
      </w:r>
      <w:r w:rsidR="00485A4A" w:rsidRPr="00EF2A45">
        <w:rPr>
          <w:rFonts w:ascii="Arial" w:hAnsi="Arial" w:cs="Arial"/>
          <w:sz w:val="28"/>
          <w:szCs w:val="28"/>
          <w:rtl/>
        </w:rPr>
        <w:t xml:space="preserve"> تفاديها كلياً. وبغض النظر عن حدة المخاطر، لا بد من مراقبتها عند تنفيذ البرنامج.</w:t>
      </w:r>
    </w:p>
    <w:p w:rsidR="001D4E63" w:rsidRPr="00EF2A45" w:rsidRDefault="00EE6A26" w:rsidP="003C0D62">
      <w:pPr>
        <w:bidi/>
        <w:jc w:val="both"/>
        <w:rPr>
          <w:rFonts w:ascii="Arial" w:hAnsi="Arial" w:cs="Arial"/>
          <w:sz w:val="28"/>
          <w:szCs w:val="28"/>
          <w:rtl/>
        </w:rPr>
      </w:pPr>
      <w:r w:rsidRPr="00EF2A45">
        <w:rPr>
          <w:rFonts w:ascii="Arial" w:hAnsi="Arial" w:cs="Arial"/>
          <w:sz w:val="28"/>
          <w:szCs w:val="28"/>
          <w:rtl/>
        </w:rPr>
        <w:t xml:space="preserve">ولا بد من التأكد إن كان من الممكن تنفيذ التدابير التي من شأنها  تخفيف الخطورة إلى مستوى مقبول، وإن كان من الممكن تحويل المخاطر (عبر التعاقد مع شركة تأمين أو شركاء يعملون في ظل </w:t>
      </w:r>
      <w:r w:rsidR="00183324" w:rsidRPr="00EF2A45">
        <w:rPr>
          <w:rFonts w:ascii="Arial" w:hAnsi="Arial" w:cs="Arial"/>
          <w:sz w:val="28"/>
          <w:szCs w:val="28"/>
          <w:rtl/>
        </w:rPr>
        <w:t>مخاطر أ</w:t>
      </w:r>
      <w:r w:rsidRPr="00EF2A45">
        <w:rPr>
          <w:rFonts w:ascii="Arial" w:hAnsi="Arial" w:cs="Arial"/>
          <w:sz w:val="28"/>
          <w:szCs w:val="28"/>
          <w:rtl/>
        </w:rPr>
        <w:t xml:space="preserve">خف). </w:t>
      </w:r>
      <w:r w:rsidR="00EF2A45" w:rsidRPr="00EF2A45">
        <w:rPr>
          <w:rFonts w:ascii="Arial" w:hAnsi="Arial" w:cs="Arial"/>
          <w:sz w:val="28"/>
          <w:szCs w:val="28"/>
          <w:rtl/>
        </w:rPr>
        <w:t>وإن تعذر اللجوء إلى أ</w:t>
      </w:r>
      <w:r w:rsidR="00183324" w:rsidRPr="00EF2A45">
        <w:rPr>
          <w:rFonts w:ascii="Arial" w:hAnsi="Arial" w:cs="Arial"/>
          <w:sz w:val="28"/>
          <w:szCs w:val="28"/>
          <w:rtl/>
        </w:rPr>
        <w:t>ي من الاقتراحات المذكورة، يمكن تفادي المخاطر عبر اللجوء إلى خيارات أخرى.</w:t>
      </w:r>
    </w:p>
    <w:p w:rsidR="00183324" w:rsidRPr="00EF2A45" w:rsidRDefault="007A27F3" w:rsidP="003C0D62">
      <w:pPr>
        <w:bidi/>
        <w:jc w:val="both"/>
        <w:rPr>
          <w:rFonts w:ascii="Arial" w:hAnsi="Arial" w:cs="Arial"/>
          <w:b/>
          <w:bCs/>
          <w:sz w:val="28"/>
          <w:szCs w:val="28"/>
          <w:rtl/>
        </w:rPr>
      </w:pPr>
      <w:r w:rsidRPr="00EF2A45">
        <w:rPr>
          <w:rFonts w:ascii="Arial" w:hAnsi="Arial" w:cs="Arial"/>
          <w:sz w:val="28"/>
          <w:szCs w:val="28"/>
          <w:rtl/>
        </w:rPr>
        <w:t>ويجب أن تركز التدابير المتخذة لتخفيف الخطورة</w:t>
      </w:r>
      <w:r w:rsidR="00EF2A45" w:rsidRPr="00EF2A45">
        <w:rPr>
          <w:rFonts w:ascii="Arial" w:hAnsi="Arial" w:cs="Arial"/>
          <w:sz w:val="28"/>
          <w:szCs w:val="28"/>
          <w:rtl/>
        </w:rPr>
        <w:t xml:space="preserve"> على أسباب المخاطر. ويمكن تطبيق أ</w:t>
      </w:r>
      <w:r w:rsidRPr="00EF2A45">
        <w:rPr>
          <w:rFonts w:ascii="Arial" w:hAnsi="Arial" w:cs="Arial"/>
          <w:sz w:val="28"/>
          <w:szCs w:val="28"/>
          <w:rtl/>
        </w:rPr>
        <w:t>كثر من تدبير واحد لمواجة كل خطر. في هذا السياق، يشير الجدول أدناه إلى مجموعة من المخاطر المتعلقة بالسوق والتدابير الكفيلة ب</w:t>
      </w:r>
      <w:r w:rsidR="004B326F" w:rsidRPr="00EF2A45">
        <w:rPr>
          <w:rFonts w:ascii="Arial" w:hAnsi="Arial" w:cs="Arial"/>
          <w:sz w:val="28"/>
          <w:szCs w:val="28"/>
          <w:rtl/>
        </w:rPr>
        <w:t>تخفيف حدتها</w:t>
      </w:r>
      <w:r w:rsidR="004B326F" w:rsidRPr="00EF2A45">
        <w:rPr>
          <w:rFonts w:ascii="Arial" w:hAnsi="Arial" w:cs="Arial"/>
          <w:b/>
          <w:bCs/>
          <w:sz w:val="28"/>
          <w:szCs w:val="28"/>
          <w:rtl/>
        </w:rPr>
        <w:t xml:space="preserve">. </w:t>
      </w:r>
    </w:p>
    <w:p w:rsidR="00214363" w:rsidRPr="00EF2A45" w:rsidRDefault="00214363" w:rsidP="003C0D62">
      <w:pPr>
        <w:bidi/>
        <w:ind w:left="360"/>
        <w:jc w:val="both"/>
        <w:rPr>
          <w:rFonts w:ascii="Arial" w:hAnsi="Arial" w:cs="Arial"/>
          <w:sz w:val="28"/>
          <w:szCs w:val="28"/>
          <w:rtl/>
        </w:rPr>
      </w:pPr>
    </w:p>
    <w:sectPr w:rsidR="00214363" w:rsidRPr="00EF2A45" w:rsidSect="004D10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752C7031"/>
    <w:multiLevelType w:val="hybridMultilevel"/>
    <w:tmpl w:val="6A06E6F8"/>
    <w:lvl w:ilvl="0" w:tplc="854ACCC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C3371"/>
    <w:rsid w:val="00000091"/>
    <w:rsid w:val="00014F6E"/>
    <w:rsid w:val="00020D85"/>
    <w:rsid w:val="0008584A"/>
    <w:rsid w:val="0009475D"/>
    <w:rsid w:val="000A3D2E"/>
    <w:rsid w:val="000C20F0"/>
    <w:rsid w:val="000D3821"/>
    <w:rsid w:val="000E097D"/>
    <w:rsid w:val="000E7155"/>
    <w:rsid w:val="00183324"/>
    <w:rsid w:val="001D4E63"/>
    <w:rsid w:val="001E0F83"/>
    <w:rsid w:val="001F65BA"/>
    <w:rsid w:val="00214363"/>
    <w:rsid w:val="00215051"/>
    <w:rsid w:val="002208D5"/>
    <w:rsid w:val="00282FD4"/>
    <w:rsid w:val="0029038A"/>
    <w:rsid w:val="00324093"/>
    <w:rsid w:val="00370AD5"/>
    <w:rsid w:val="00381E71"/>
    <w:rsid w:val="003C0D62"/>
    <w:rsid w:val="003C7949"/>
    <w:rsid w:val="003D6D3D"/>
    <w:rsid w:val="00485A4A"/>
    <w:rsid w:val="004B326F"/>
    <w:rsid w:val="004B5600"/>
    <w:rsid w:val="004D10AA"/>
    <w:rsid w:val="00507D26"/>
    <w:rsid w:val="005438D6"/>
    <w:rsid w:val="005A4C51"/>
    <w:rsid w:val="006026FD"/>
    <w:rsid w:val="006927E9"/>
    <w:rsid w:val="006A17A5"/>
    <w:rsid w:val="006A65B9"/>
    <w:rsid w:val="007A27F3"/>
    <w:rsid w:val="00847B4A"/>
    <w:rsid w:val="008C3371"/>
    <w:rsid w:val="00964B31"/>
    <w:rsid w:val="00A21937"/>
    <w:rsid w:val="00A3665F"/>
    <w:rsid w:val="00AB6CA6"/>
    <w:rsid w:val="00AC32F6"/>
    <w:rsid w:val="00BA38CC"/>
    <w:rsid w:val="00BE3591"/>
    <w:rsid w:val="00BE5A1E"/>
    <w:rsid w:val="00C020F6"/>
    <w:rsid w:val="00C218D9"/>
    <w:rsid w:val="00C23108"/>
    <w:rsid w:val="00C24469"/>
    <w:rsid w:val="00C420F3"/>
    <w:rsid w:val="00C84653"/>
    <w:rsid w:val="00CA6A2E"/>
    <w:rsid w:val="00CA71D4"/>
    <w:rsid w:val="00D06EFF"/>
    <w:rsid w:val="00D15CC7"/>
    <w:rsid w:val="00D548A7"/>
    <w:rsid w:val="00D72BAD"/>
    <w:rsid w:val="00D85BEA"/>
    <w:rsid w:val="00E30970"/>
    <w:rsid w:val="00E55418"/>
    <w:rsid w:val="00E6000C"/>
    <w:rsid w:val="00E64FA5"/>
    <w:rsid w:val="00EE6A26"/>
    <w:rsid w:val="00EF2A45"/>
    <w:rsid w:val="00F00401"/>
    <w:rsid w:val="00F22705"/>
    <w:rsid w:val="00F259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0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C51"/>
    <w:pPr>
      <w:ind w:left="720"/>
      <w:contextualSpacing/>
    </w:pPr>
  </w:style>
  <w:style w:type="character" w:styleId="Emphasis">
    <w:name w:val="Emphasis"/>
    <w:basedOn w:val="DefaultParagraphFont"/>
    <w:uiPriority w:val="20"/>
    <w:qFormat/>
    <w:rsid w:val="00CA6A2E"/>
    <w:rPr>
      <w:i/>
      <w:iCs/>
    </w:rPr>
  </w:style>
  <w:style w:type="character" w:customStyle="1" w:styleId="apple-converted-space">
    <w:name w:val="apple-converted-space"/>
    <w:basedOn w:val="DefaultParagraphFont"/>
    <w:rsid w:val="00CA6A2E"/>
  </w:style>
  <w:style w:type="table" w:styleId="TableGrid">
    <w:name w:val="Table Grid"/>
    <w:basedOn w:val="TableNormal"/>
    <w:uiPriority w:val="59"/>
    <w:rsid w:val="006A17A5"/>
    <w:pPr>
      <w:spacing w:after="0" w:line="240" w:lineRule="auto"/>
    </w:pPr>
    <w:rPr>
      <w:rFonts w:ascii="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Tableau">
    <w:name w:val="Bullet Tableau"/>
    <w:basedOn w:val="Normal"/>
    <w:qFormat/>
    <w:rsid w:val="006A17A5"/>
    <w:pPr>
      <w:keepNext/>
      <w:keepLines/>
      <w:framePr w:hSpace="141" w:wrap="around" w:vAnchor="text" w:hAnchor="margin" w:y="402"/>
      <w:numPr>
        <w:numId w:val="2"/>
      </w:numPr>
      <w:tabs>
        <w:tab w:val="left" w:pos="7230"/>
      </w:tabs>
      <w:spacing w:beforeLines="60" w:afterLines="20" w:line="240" w:lineRule="auto"/>
      <w:ind w:left="714" w:hanging="357"/>
      <w:contextualSpacing/>
      <w:jc w:val="both"/>
    </w:pPr>
    <w:rPr>
      <w:rFonts w:ascii="Arial" w:eastAsiaTheme="minorHAnsi" w:hAnsi="Arial" w:cs="Arial"/>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dc:creator>
  <cp:keywords/>
  <dc:description/>
  <cp:lastModifiedBy>joelle</cp:lastModifiedBy>
  <cp:revision>58</cp:revision>
  <dcterms:created xsi:type="dcterms:W3CDTF">2015-12-08T10:35:00Z</dcterms:created>
  <dcterms:modified xsi:type="dcterms:W3CDTF">2015-12-18T16:01:00Z</dcterms:modified>
</cp:coreProperties>
</file>